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rFonts w:hint="eastAsia" w:eastAsia="宋体"/>
          <w:b/>
          <w:color w:val="000000"/>
          <w:kern w:val="0"/>
          <w:sz w:val="44"/>
          <w:lang w:val="en-US" w:eastAsia="zh-CN"/>
        </w:rPr>
      </w:pPr>
      <w:r>
        <w:rPr>
          <w:rFonts w:hint="eastAsia"/>
          <w:b/>
          <w:color w:val="000000"/>
          <w:kern w:val="0"/>
          <w:sz w:val="44"/>
          <w:lang w:val="en-US" w:eastAsia="zh-CN"/>
        </w:rPr>
        <w:t xml:space="preserve">     </w:t>
      </w:r>
      <w:r>
        <w:rPr>
          <w:rFonts w:hint="eastAsia"/>
          <w:b/>
          <w:color w:val="000000"/>
          <w:kern w:val="0"/>
          <w:sz w:val="44"/>
        </w:rPr>
        <w:t>行政处罚决定书</w:t>
      </w:r>
      <w:r>
        <w:rPr>
          <w:rFonts w:hint="eastAsia"/>
          <w:b w:val="0"/>
          <w:bCs/>
          <w:color w:val="000000"/>
          <w:kern w:val="0"/>
          <w:sz w:val="44"/>
          <w:lang w:val="en-US" w:eastAsia="zh-CN"/>
        </w:rPr>
        <w:t>(初稿）</w:t>
      </w:r>
    </w:p>
    <w:p>
      <w:pPr>
        <w:autoSpaceDE w:val="0"/>
        <w:autoSpaceDN w:val="0"/>
        <w:ind w:right="400"/>
        <w:jc w:val="center"/>
        <w:rPr>
          <w:rFonts w:ascii="仿宋_GB2312" w:hAnsi="仿宋" w:eastAsia="仿宋_GB2312"/>
          <w:color w:val="000000"/>
          <w:kern w:val="0"/>
          <w:sz w:val="24"/>
          <w:szCs w:val="24"/>
        </w:rPr>
      </w:pP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96</w:t>
      </w:r>
      <w:r>
        <w:rPr>
          <w:rFonts w:hint="eastAsia" w:ascii="仿宋_GB2312" w:hAnsi="仿宋" w:eastAsia="仿宋_GB2312"/>
          <w:color w:val="000000"/>
          <w:kern w:val="0"/>
          <w:sz w:val="28"/>
          <w:szCs w:val="28"/>
        </w:rPr>
        <w:t>号 第1页 共</w:t>
      </w:r>
      <w:r>
        <w:rPr>
          <w:rFonts w:hint="eastAsia" w:ascii="仿宋_GB2312" w:hAnsi="仿宋" w:eastAsia="仿宋_GB2312"/>
          <w:color w:val="000000"/>
          <w:kern w:val="0"/>
          <w:sz w:val="28"/>
          <w:szCs w:val="28"/>
          <w:lang w:val="en-US" w:eastAsia="zh-CN"/>
        </w:rPr>
        <w:t>5</w:t>
      </w:r>
      <w:r>
        <w:rPr>
          <w:rFonts w:hint="eastAsia" w:ascii="仿宋_GB2312" w:hAnsi="仿宋" w:eastAsia="仿宋_GB2312"/>
          <w:color w:val="000000"/>
          <w:kern w:val="0"/>
          <w:sz w:val="28"/>
          <w:szCs w:val="28"/>
        </w:rPr>
        <w:t>页</w:t>
      </w:r>
    </w:p>
    <w:p>
      <w:pPr>
        <w:spacing w:line="360" w:lineRule="auto"/>
        <w:rPr>
          <w:rFonts w:hint="eastAsia" w:ascii="仿宋" w:hAnsi="仿宋" w:eastAsia="仿宋" w:cs="仿宋"/>
          <w:b w:val="0"/>
          <w:bCs/>
          <w:color w:val="000000"/>
          <w:sz w:val="32"/>
          <w:szCs w:val="32"/>
          <w:u w:val="none"/>
          <w:lang w:val="en-US" w:eastAsia="zh-CN"/>
        </w:rPr>
      </w:pPr>
      <w:r>
        <w:rPr>
          <w:rFonts w:hint="eastAsia" w:ascii="仿宋_GB2312" w:hAnsi="仿宋_GB2312" w:eastAsia="仿宋_GB2312" w:cs="仿宋_GB2312"/>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5824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_GB2312" w:hAnsi="仿宋_GB2312" w:eastAsia="仿宋_GB2312" w:cs="仿宋_GB2312"/>
          <w:color w:val="000000"/>
          <w:kern w:val="0"/>
          <w:sz w:val="32"/>
          <w:szCs w:val="32"/>
        </w:rPr>
        <w:t>当事人：</w:t>
      </w:r>
      <w:r>
        <w:rPr>
          <w:rFonts w:hint="eastAsia" w:ascii="仿宋" w:hAnsi="仿宋" w:eastAsia="仿宋" w:cs="仿宋"/>
          <w:color w:val="auto"/>
          <w:sz w:val="32"/>
          <w:szCs w:val="32"/>
          <w:u w:val="none"/>
          <w:lang w:eastAsia="zh-CN"/>
        </w:rPr>
        <w:t>戴桂英</w:t>
      </w:r>
      <w:r>
        <w:rPr>
          <w:rFonts w:hint="eastAsia" w:ascii="仿宋" w:hAnsi="仿宋" w:eastAsia="仿宋" w:cs="仿宋"/>
          <w:b w:val="0"/>
          <w:bCs/>
          <w:color w:val="000000"/>
          <w:sz w:val="32"/>
          <w:szCs w:val="32"/>
          <w:u w:val="none"/>
          <w:lang w:val="en-US" w:eastAsia="zh-CN"/>
        </w:rPr>
        <w:t>(</w:t>
      </w:r>
      <w:r>
        <w:rPr>
          <w:rFonts w:hint="eastAsia" w:ascii="仿宋" w:hAnsi="仿宋" w:eastAsia="仿宋" w:cs="仿宋"/>
          <w:b w:val="0"/>
          <w:bCs/>
          <w:color w:val="000000"/>
          <w:sz w:val="32"/>
          <w:szCs w:val="32"/>
          <w:u w:val="none"/>
          <w:lang w:eastAsia="zh-CN"/>
        </w:rPr>
        <w:t>自然人</w:t>
      </w:r>
      <w:r>
        <w:rPr>
          <w:rFonts w:hint="eastAsia" w:ascii="仿宋" w:hAnsi="仿宋" w:eastAsia="仿宋" w:cs="仿宋"/>
          <w:b w:val="0"/>
          <w:bCs/>
          <w:color w:val="000000"/>
          <w:sz w:val="32"/>
          <w:szCs w:val="32"/>
          <w:u w:val="none"/>
          <w:lang w:val="en-US" w:eastAsia="zh-CN"/>
        </w:rPr>
        <w:t>)</w:t>
      </w:r>
    </w:p>
    <w:p>
      <w:pPr>
        <w:spacing w:line="360" w:lineRule="auto"/>
        <w:rPr>
          <w:rFonts w:hint="eastAsia" w:ascii="仿宋" w:hAnsi="仿宋" w:eastAsia="仿宋" w:cs="仿宋"/>
          <w:color w:val="auto"/>
          <w:sz w:val="32"/>
          <w:szCs w:val="32"/>
          <w:u w:val="none"/>
          <w:lang w:eastAsia="zh-CN"/>
        </w:rPr>
      </w:pPr>
      <w:r>
        <w:rPr>
          <w:rFonts w:hint="eastAsia" w:ascii="仿宋" w:hAnsi="仿宋" w:eastAsia="仿宋" w:cs="仿宋"/>
          <w:b w:val="0"/>
          <w:bCs/>
          <w:color w:val="000000"/>
          <w:sz w:val="32"/>
          <w:szCs w:val="32"/>
          <w:u w:val="none"/>
          <w:lang w:eastAsia="zh-CN"/>
        </w:rPr>
        <w:t>性别：</w:t>
      </w:r>
      <w:r>
        <w:rPr>
          <w:rFonts w:hint="eastAsia" w:ascii="仿宋" w:hAnsi="仿宋" w:eastAsia="仿宋" w:cs="仿宋"/>
          <w:color w:val="auto"/>
          <w:sz w:val="32"/>
          <w:szCs w:val="32"/>
          <w:u w:val="none"/>
          <w:lang w:eastAsia="zh-CN"/>
        </w:rPr>
        <w:t>女</w:t>
      </w:r>
      <w:r>
        <w:rPr>
          <w:rFonts w:hint="eastAsia" w:ascii="仿宋" w:hAnsi="仿宋" w:eastAsia="仿宋" w:cs="仿宋"/>
          <w:color w:val="auto"/>
          <w:sz w:val="32"/>
          <w:szCs w:val="32"/>
          <w:u w:val="none"/>
          <w:lang w:val="en-US" w:eastAsia="zh-CN"/>
        </w:rPr>
        <w:t xml:space="preserve"> </w:t>
      </w:r>
    </w:p>
    <w:p>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身份证号码</w:t>
      </w:r>
      <w:r>
        <w:rPr>
          <w:rFonts w:hint="eastAsia" w:ascii="仿宋" w:hAnsi="仿宋" w:eastAsia="仿宋" w:cs="仿宋"/>
          <w:color w:val="auto"/>
          <w:sz w:val="32"/>
          <w:szCs w:val="32"/>
          <w:u w:val="none"/>
        </w:rPr>
        <w:t>：</w:t>
      </w:r>
      <w:r>
        <w:rPr>
          <w:rFonts w:hint="eastAsia" w:ascii="仿宋" w:hAnsi="仿宋" w:eastAsia="仿宋" w:cs="仿宋"/>
          <w:color w:val="auto"/>
          <w:kern w:val="1"/>
          <w:sz w:val="32"/>
          <w:szCs w:val="32"/>
          <w:u w:val="none"/>
          <w:lang w:val="en-US" w:eastAsia="zh-CN"/>
        </w:rPr>
        <w:t>xxxxxxxxxxxxxxx</w:t>
      </w:r>
    </w:p>
    <w:p>
      <w:pPr>
        <w:spacing w:line="360" w:lineRule="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住址：</w:t>
      </w:r>
      <w:r>
        <w:rPr>
          <w:rFonts w:hint="eastAsia" w:ascii="仿宋" w:hAnsi="仿宋" w:eastAsia="仿宋" w:cs="仿宋"/>
          <w:color w:val="auto"/>
          <w:sz w:val="32"/>
          <w:szCs w:val="32"/>
          <w:lang w:eastAsia="zh-CN"/>
        </w:rPr>
        <w:t>江西省抚州市乐安县戴坊镇戴坊村戴坊三组</w:t>
      </w:r>
      <w:r>
        <w:rPr>
          <w:rFonts w:hint="eastAsia" w:ascii="仿宋" w:hAnsi="仿宋" w:eastAsia="仿宋" w:cs="仿宋"/>
          <w:color w:val="auto"/>
          <w:sz w:val="32"/>
          <w:szCs w:val="32"/>
          <w:lang w:val="en-US" w:eastAsia="zh-CN"/>
        </w:rPr>
        <w:t xml:space="preserve">13 </w:t>
      </w:r>
    </w:p>
    <w:p>
      <w:pPr>
        <w:spacing w:line="360" w:lineRule="auto"/>
        <w:rPr>
          <w:rFonts w:hint="eastAsia" w:ascii="仿宋" w:hAnsi="仿宋" w:eastAsia="仿宋" w:cs="仿宋"/>
          <w:color w:val="auto"/>
          <w:sz w:val="32"/>
          <w:szCs w:val="32"/>
          <w:lang w:val="en-US"/>
        </w:rPr>
      </w:pPr>
      <w:r>
        <w:rPr>
          <w:rFonts w:hint="eastAsia" w:ascii="仿宋" w:hAnsi="仿宋" w:eastAsia="仿宋" w:cs="仿宋"/>
          <w:color w:val="auto"/>
          <w:sz w:val="32"/>
          <w:szCs w:val="32"/>
          <w:lang w:eastAsia="zh-CN"/>
        </w:rPr>
        <w:t>经营场所：增城区</w:t>
      </w:r>
      <w:r>
        <w:rPr>
          <w:rFonts w:hint="eastAsia" w:ascii="仿宋" w:hAnsi="仿宋" w:eastAsia="仿宋" w:cs="仿宋"/>
          <w:color w:val="auto"/>
          <w:sz w:val="32"/>
          <w:szCs w:val="32"/>
          <w:u w:val="none"/>
          <w:lang w:eastAsia="zh-CN"/>
        </w:rPr>
        <w:t>新塘镇塘美村民营工业园一横</w:t>
      </w:r>
      <w:r>
        <w:rPr>
          <w:rFonts w:hint="eastAsia" w:ascii="仿宋" w:hAnsi="仿宋" w:eastAsia="仿宋" w:cs="仿宋"/>
          <w:color w:val="auto"/>
          <w:sz w:val="32"/>
          <w:szCs w:val="32"/>
          <w:u w:val="none"/>
          <w:lang w:val="en-US" w:eastAsia="zh-CN"/>
        </w:rPr>
        <w:t>7号“798”艺术园内“798超市”</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color w:val="000000"/>
          <w:sz w:val="32"/>
          <w:szCs w:val="32"/>
          <w:u w:val="none"/>
          <w:lang w:val="en-US" w:eastAsia="zh-CN"/>
        </w:rPr>
      </w:pP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2018年9月27日，本局执法人员根据市民打12345政府服务热线的举报线索，对</w:t>
      </w:r>
      <w:r>
        <w:rPr>
          <w:rFonts w:hint="eastAsia" w:ascii="仿宋" w:hAnsi="仿宋" w:eastAsia="仿宋" w:cs="仿宋"/>
          <w:color w:val="000000"/>
          <w:sz w:val="32"/>
          <w:szCs w:val="32"/>
          <w:lang w:eastAsia="zh-CN"/>
        </w:rPr>
        <w:t>你（单位）</w:t>
      </w:r>
      <w:r>
        <w:rPr>
          <w:rFonts w:hint="eastAsia" w:ascii="仿宋" w:hAnsi="仿宋" w:eastAsia="仿宋" w:cs="仿宋"/>
          <w:color w:val="000000"/>
          <w:sz w:val="32"/>
          <w:szCs w:val="32"/>
          <w:u w:val="none"/>
          <w:lang w:eastAsia="zh-CN"/>
        </w:rPr>
        <w:t>位于新塘镇塘美村民营工业园一横</w:t>
      </w:r>
      <w:r>
        <w:rPr>
          <w:rFonts w:hint="eastAsia" w:ascii="仿宋" w:hAnsi="仿宋" w:eastAsia="仿宋" w:cs="仿宋"/>
          <w:color w:val="000000"/>
          <w:sz w:val="32"/>
          <w:szCs w:val="32"/>
          <w:u w:val="none"/>
          <w:lang w:val="en-US" w:eastAsia="zh-CN"/>
        </w:rPr>
        <w:t>7号的“798超市”</w:t>
      </w:r>
      <w:r>
        <w:rPr>
          <w:rFonts w:hint="eastAsia" w:ascii="仿宋" w:hAnsi="仿宋" w:eastAsia="仿宋" w:cs="仿宋"/>
          <w:color w:val="000000"/>
          <w:sz w:val="32"/>
          <w:szCs w:val="32"/>
          <w:lang w:val="en-US" w:eastAsia="zh-CN"/>
        </w:rPr>
        <w:t>进行现场检查。经现场检查，执法人员在现场发现如下涉嫌超过保质期预包装食品：（1）</w:t>
      </w:r>
      <w:r>
        <w:rPr>
          <w:rFonts w:hint="eastAsia" w:ascii="仿宋" w:hAnsi="仿宋" w:eastAsia="仿宋" w:cs="仿宋"/>
          <w:sz w:val="32"/>
          <w:szCs w:val="32"/>
          <w:lang w:val="en-US" w:eastAsia="zh-CN"/>
        </w:rPr>
        <w:t>“三湘古镇”泡椒素牛柳</w:t>
      </w:r>
      <w:r>
        <w:rPr>
          <w:rFonts w:hint="eastAsia" w:ascii="仿宋" w:hAnsi="仿宋" w:eastAsia="仿宋" w:cs="仿宋"/>
          <w:color w:val="000000"/>
          <w:sz w:val="32"/>
          <w:szCs w:val="32"/>
          <w:lang w:eastAsia="zh-CN"/>
        </w:rPr>
        <w:t>（规格净含量</w:t>
      </w:r>
      <w:r>
        <w:rPr>
          <w:rFonts w:hint="eastAsia" w:ascii="仿宋" w:hAnsi="仿宋" w:eastAsia="仿宋" w:cs="仿宋"/>
          <w:color w:val="000000"/>
          <w:sz w:val="32"/>
          <w:szCs w:val="32"/>
          <w:lang w:val="en-US" w:eastAsia="zh-CN"/>
        </w:rPr>
        <w:t>150克/包）9包，产品上标注生产日期2018年5月20日，保质期120天；（2）</w:t>
      </w:r>
      <w:r>
        <w:rPr>
          <w:rFonts w:hint="eastAsia" w:ascii="仿宋" w:hAnsi="仿宋" w:eastAsia="仿宋" w:cs="仿宋"/>
          <w:sz w:val="32"/>
          <w:szCs w:val="32"/>
          <w:lang w:val="en-US" w:eastAsia="zh-CN"/>
        </w:rPr>
        <w:t>“三湘古镇”泡椒鱼翅</w:t>
      </w:r>
      <w:r>
        <w:rPr>
          <w:rFonts w:hint="eastAsia" w:ascii="仿宋" w:hAnsi="仿宋" w:eastAsia="仿宋" w:cs="仿宋"/>
          <w:color w:val="000000"/>
          <w:sz w:val="32"/>
          <w:szCs w:val="32"/>
          <w:lang w:eastAsia="zh-CN"/>
        </w:rPr>
        <w:t>（规格净含量</w:t>
      </w:r>
      <w:r>
        <w:rPr>
          <w:rFonts w:hint="eastAsia" w:ascii="仿宋" w:hAnsi="仿宋" w:eastAsia="仿宋" w:cs="仿宋"/>
          <w:color w:val="000000"/>
          <w:sz w:val="32"/>
          <w:szCs w:val="32"/>
          <w:lang w:val="en-US" w:eastAsia="zh-CN"/>
        </w:rPr>
        <w:t>150克/包）5包，产品身上标注生产日期2018年4月12日，保质期120天</w:t>
      </w:r>
      <w:r>
        <w:rPr>
          <w:rFonts w:hint="eastAsia" w:ascii="仿宋" w:hAnsi="仿宋" w:eastAsia="仿宋" w:cs="仿宋"/>
          <w:color w:val="000000"/>
          <w:sz w:val="32"/>
          <w:szCs w:val="32"/>
          <w:lang w:eastAsia="zh-CN"/>
        </w:rPr>
        <w:t>。现场你（单位）承认上述食品是本单位商品，但不能提供《营业执照》和《食品经营许可证》备查。你（单位）涉嫌未</w:t>
      </w:r>
      <w:r>
        <w:rPr>
          <w:rFonts w:hint="eastAsia" w:ascii="仿宋" w:hAnsi="仿宋" w:eastAsia="仿宋" w:cs="仿宋"/>
          <w:color w:val="000000"/>
          <w:sz w:val="32"/>
          <w:szCs w:val="32"/>
          <w:u w:val="none"/>
          <w:lang w:eastAsia="zh-CN"/>
        </w:rPr>
        <w:t>取得</w:t>
      </w:r>
      <w:r>
        <w:rPr>
          <w:rFonts w:hint="eastAsia" w:ascii="仿宋" w:hAnsi="仿宋" w:eastAsia="仿宋" w:cs="仿宋"/>
          <w:color w:val="000000"/>
          <w:sz w:val="32"/>
          <w:szCs w:val="32"/>
          <w:lang w:eastAsia="zh-CN"/>
        </w:rPr>
        <w:t>许可从事食品销售及销售超过保质期食品，同日</w:t>
      </w:r>
      <w:r>
        <w:rPr>
          <w:rFonts w:hint="eastAsia" w:ascii="仿宋" w:hAnsi="仿宋" w:eastAsia="仿宋" w:cs="仿宋"/>
          <w:color w:val="000000"/>
          <w:sz w:val="32"/>
          <w:szCs w:val="32"/>
          <w:lang w:val="en-US" w:eastAsia="zh-CN"/>
        </w:rPr>
        <w:t>本局</w:t>
      </w:r>
      <w:r>
        <w:rPr>
          <w:rFonts w:hint="eastAsia" w:ascii="仿宋" w:hAnsi="仿宋" w:eastAsia="仿宋" w:cs="仿宋"/>
          <w:color w:val="000000"/>
          <w:sz w:val="32"/>
          <w:szCs w:val="32"/>
          <w:lang w:eastAsia="zh-CN"/>
        </w:rPr>
        <w:t>对你（单位）立案查处并依法扣押上述涉案食品作进一步调查</w:t>
      </w:r>
      <w:r>
        <w:rPr>
          <w:rFonts w:hint="eastAsia" w:ascii="仿宋" w:hAnsi="仿宋" w:eastAsia="仿宋" w:cs="仿宋"/>
          <w:color w:val="000000"/>
          <w:sz w:val="32"/>
          <w:szCs w:val="32"/>
        </w:rPr>
        <w:t>。</w:t>
      </w:r>
    </w:p>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4"/>
          <w:szCs w:val="24"/>
        </w:rPr>
      </w:pP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96</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2</w:t>
      </w:r>
      <w:r>
        <w:rPr>
          <w:rFonts w:hint="eastAsia" w:ascii="仿宋_GB2312" w:hAnsi="仿宋" w:eastAsia="仿宋_GB2312"/>
          <w:color w:val="000000"/>
          <w:kern w:val="0"/>
          <w:sz w:val="28"/>
          <w:szCs w:val="28"/>
        </w:rPr>
        <w:t>页 共</w:t>
      </w:r>
      <w:r>
        <w:rPr>
          <w:rFonts w:hint="eastAsia" w:ascii="仿宋_GB2312" w:hAnsi="仿宋" w:eastAsia="仿宋_GB2312"/>
          <w:color w:val="000000"/>
          <w:kern w:val="0"/>
          <w:sz w:val="28"/>
          <w:szCs w:val="28"/>
          <w:lang w:val="en-US" w:eastAsia="zh-CN"/>
        </w:rPr>
        <w:t>5</w:t>
      </w:r>
      <w:r>
        <w:rPr>
          <w:rFonts w:hint="eastAsia" w:ascii="仿宋_GB2312" w:hAnsi="仿宋" w:eastAsia="仿宋_GB2312"/>
          <w:color w:val="000000"/>
          <w:kern w:val="0"/>
          <w:sz w:val="28"/>
          <w:szCs w:val="28"/>
        </w:rPr>
        <w:t>页</w:t>
      </w:r>
    </w:p>
    <w:p>
      <w:pPr>
        <w:spacing w:line="480" w:lineRule="auto"/>
        <w:rPr>
          <w:rFonts w:hint="eastAsia" w:ascii="仿宋" w:hAnsi="仿宋" w:eastAsia="仿宋" w:cs="仿宋"/>
          <w:color w:val="000000"/>
          <w:sz w:val="32"/>
          <w:szCs w:val="32"/>
          <w:lang w:eastAsia="zh-CN"/>
        </w:rPr>
      </w:pPr>
      <w:r>
        <w:rPr>
          <w:rFonts w:hint="eastAsia" w:ascii="仿宋_GB2312" w:hAnsi="仿宋_GB2312" w:eastAsia="仿宋_GB2312" w:cs="仿宋_GB2312"/>
          <w:color w:val="000000"/>
          <w:sz w:val="32"/>
          <w:szCs w:val="32"/>
        </w:rPr>
        <mc:AlternateContent>
          <mc:Choice Requires="wps">
            <w:drawing>
              <wp:anchor distT="0" distB="0" distL="114300" distR="114300" simplePos="0" relativeHeight="251750400" behindDoc="0" locked="0" layoutInCell="1" allowOverlap="1">
                <wp:simplePos x="0" y="0"/>
                <wp:positionH relativeFrom="column">
                  <wp:posOffset>0</wp:posOffset>
                </wp:positionH>
                <wp:positionV relativeFrom="paragraph">
                  <wp:posOffset>0</wp:posOffset>
                </wp:positionV>
                <wp:extent cx="5615940" cy="635"/>
                <wp:effectExtent l="0" t="0" r="0" b="0"/>
                <wp:wrapNone/>
                <wp:docPr id="2"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75040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RL8vq0QAAAAIBAAAPAAAAAAAAAAEAIAAAACIAAABkcnMvZG93bnJldi54bWxQSwEC&#10;FAAUAAAACACHTuJA2c4VwsIBAACOAwAADgAAAAAAAAABACAAAAAgAQAAZHJzL2Uyb0RvYy54bWxQ&#10;SwUGAAAAAAYABgBZAQAAVAUAAAAA&#10;">
                <v:fill on="f" focussize="0,0"/>
                <v:stroke weight="1.5pt" color="#000000" joinstyle="round"/>
                <v:imagedata o:title=""/>
                <o:lock v:ext="edit" aspectratio="f"/>
              </v:line>
            </w:pict>
          </mc:Fallback>
        </mc:AlternateContent>
      </w:r>
      <w:r>
        <w:rPr>
          <w:rFonts w:hint="eastAsia" w:ascii="仿宋_GB2312" w:hAnsi="仿宋_GB2312" w:eastAsia="仿宋_GB2312" w:cs="仿宋_GB2312"/>
          <w:color w:val="000000"/>
          <w:sz w:val="32"/>
          <w:szCs w:val="32"/>
          <w:lang w:val="en-US" w:eastAsia="zh-CN"/>
        </w:rPr>
        <w:t xml:space="preserve"> </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查明</w:t>
      </w:r>
      <w:r>
        <w:rPr>
          <w:rFonts w:hint="eastAsia" w:ascii="仿宋" w:hAnsi="仿宋" w:eastAsia="仿宋" w:cs="仿宋"/>
          <w:color w:val="000000"/>
          <w:sz w:val="32"/>
          <w:szCs w:val="32"/>
          <w:lang w:eastAsia="zh-CN"/>
        </w:rPr>
        <w:t>一</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你（单位）在未取得食品经营许可的情况下，自</w:t>
      </w:r>
      <w:r>
        <w:rPr>
          <w:rFonts w:hint="eastAsia" w:ascii="仿宋" w:hAnsi="仿宋" w:eastAsia="仿宋" w:cs="仿宋"/>
          <w:color w:val="000000"/>
          <w:sz w:val="32"/>
          <w:szCs w:val="32"/>
          <w:lang w:val="en-US" w:eastAsia="zh-CN"/>
        </w:rPr>
        <w:t>2018年6月20日开始，在</w:t>
      </w:r>
      <w:r>
        <w:rPr>
          <w:rFonts w:hint="eastAsia" w:ascii="仿宋" w:hAnsi="仿宋" w:eastAsia="仿宋" w:cs="仿宋"/>
          <w:color w:val="000000"/>
          <w:sz w:val="32"/>
          <w:szCs w:val="32"/>
          <w:u w:val="none"/>
          <w:lang w:eastAsia="zh-CN"/>
        </w:rPr>
        <w:t>新塘镇塘美村民营工业园一横</w:t>
      </w:r>
      <w:r>
        <w:rPr>
          <w:rFonts w:hint="eastAsia" w:ascii="仿宋" w:hAnsi="仿宋" w:eastAsia="仿宋" w:cs="仿宋"/>
          <w:color w:val="000000"/>
          <w:sz w:val="32"/>
          <w:szCs w:val="32"/>
          <w:u w:val="none"/>
          <w:lang w:val="en-US" w:eastAsia="zh-CN"/>
        </w:rPr>
        <w:t>7号</w:t>
      </w:r>
      <w:r>
        <w:rPr>
          <w:rFonts w:hint="eastAsia" w:ascii="仿宋" w:hAnsi="仿宋" w:eastAsia="仿宋" w:cs="仿宋"/>
          <w:color w:val="auto"/>
          <w:sz w:val="32"/>
          <w:szCs w:val="32"/>
          <w:u w:val="none"/>
          <w:lang w:val="en-US" w:eastAsia="zh-CN"/>
        </w:rPr>
        <w:t>“798”艺术园内“798超市”</w:t>
      </w:r>
      <w:r>
        <w:rPr>
          <w:rFonts w:hint="eastAsia" w:ascii="仿宋" w:hAnsi="仿宋" w:eastAsia="仿宋" w:cs="仿宋"/>
          <w:color w:val="000000"/>
          <w:sz w:val="32"/>
          <w:szCs w:val="32"/>
          <w:u w:val="none"/>
          <w:lang w:val="en-US" w:eastAsia="zh-CN"/>
        </w:rPr>
        <w:t>从事预包装食品、保健食品销售行为，至2018年9月27日被本局查获。至被查获时止，因</w:t>
      </w:r>
      <w:r>
        <w:rPr>
          <w:rFonts w:hint="eastAsia" w:ascii="仿宋" w:hAnsi="仿宋" w:eastAsia="仿宋" w:cs="仿宋"/>
          <w:color w:val="000000"/>
          <w:sz w:val="32"/>
          <w:szCs w:val="32"/>
          <w:lang w:eastAsia="zh-CN"/>
        </w:rPr>
        <w:t>你（单位）没有做财帐记录，你（单位）</w:t>
      </w:r>
      <w:r>
        <w:rPr>
          <w:rFonts w:hint="eastAsia" w:ascii="仿宋" w:hAnsi="仿宋" w:eastAsia="仿宋" w:cs="仿宋"/>
          <w:color w:val="000000"/>
          <w:sz w:val="32"/>
          <w:szCs w:val="32"/>
          <w:u w:val="none"/>
          <w:lang w:val="en-US" w:eastAsia="zh-CN"/>
        </w:rPr>
        <w:t>销售</w:t>
      </w:r>
      <w:r>
        <w:rPr>
          <w:rFonts w:hint="eastAsia" w:ascii="仿宋" w:hAnsi="仿宋" w:eastAsia="仿宋" w:cs="仿宋"/>
          <w:color w:val="000000"/>
          <w:sz w:val="32"/>
          <w:szCs w:val="32"/>
          <w:lang w:eastAsia="zh-CN"/>
        </w:rPr>
        <w:t>的</w:t>
      </w:r>
      <w:r>
        <w:rPr>
          <w:rFonts w:hint="eastAsia" w:ascii="仿宋" w:hAnsi="仿宋" w:eastAsia="仿宋" w:cs="仿宋"/>
          <w:color w:val="000000"/>
          <w:sz w:val="32"/>
          <w:szCs w:val="32"/>
          <w:u w:val="none"/>
          <w:lang w:val="en-US" w:eastAsia="zh-CN"/>
        </w:rPr>
        <w:t>预包装食品、保健食品总货值及违法所得无法计算。</w:t>
      </w:r>
      <w:r>
        <w:rPr>
          <w:rFonts w:hint="eastAsia" w:ascii="仿宋" w:hAnsi="仿宋" w:eastAsia="仿宋" w:cs="仿宋"/>
          <w:color w:val="000000"/>
          <w:sz w:val="32"/>
          <w:szCs w:val="32"/>
          <w:lang w:eastAsia="zh-CN"/>
        </w:rPr>
        <w:t>你（单位）该行为</w:t>
      </w:r>
      <w:r>
        <w:rPr>
          <w:rFonts w:hint="eastAsia" w:ascii="仿宋" w:hAnsi="仿宋" w:eastAsia="仿宋" w:cs="仿宋"/>
          <w:color w:val="000000"/>
          <w:sz w:val="32"/>
          <w:szCs w:val="32"/>
        </w:rPr>
        <w:t>违反</w:t>
      </w:r>
      <w:r>
        <w:rPr>
          <w:rFonts w:hint="eastAsia" w:ascii="仿宋" w:hAnsi="仿宋" w:eastAsia="仿宋" w:cs="仿宋"/>
          <w:color w:val="000000"/>
          <w:sz w:val="32"/>
          <w:szCs w:val="32"/>
          <w:lang w:eastAsia="zh-CN"/>
        </w:rPr>
        <w:t>了</w:t>
      </w:r>
      <w:r>
        <w:rPr>
          <w:rFonts w:hint="eastAsia" w:ascii="仿宋" w:hAnsi="仿宋" w:eastAsia="仿宋" w:cs="仿宋"/>
          <w:color w:val="000000"/>
          <w:sz w:val="32"/>
          <w:szCs w:val="32"/>
        </w:rPr>
        <w:t>《中华人民共和国食品安全法》</w:t>
      </w:r>
      <w:r>
        <w:rPr>
          <w:rFonts w:hint="eastAsia" w:ascii="仿宋" w:hAnsi="仿宋" w:eastAsia="仿宋" w:cs="仿宋"/>
          <w:color w:val="000000"/>
          <w:sz w:val="32"/>
          <w:szCs w:val="32"/>
          <w:lang w:eastAsia="zh-CN"/>
        </w:rPr>
        <w:t>第三十五条第一款“</w:t>
      </w:r>
      <w:r>
        <w:rPr>
          <w:rFonts w:hint="eastAsia" w:ascii="仿宋" w:hAnsi="仿宋" w:eastAsia="仿宋" w:cs="仿宋"/>
          <w:color w:val="3D3D3D"/>
          <w:sz w:val="32"/>
          <w:szCs w:val="32"/>
        </w:rPr>
        <w:t>国家对食品生产经营实行许可制度。从事食品生产、食品销售、餐饮服务，应当依法取得许可。</w:t>
      </w:r>
      <w:r>
        <w:rPr>
          <w:rFonts w:hint="eastAsia" w:ascii="仿宋" w:hAnsi="仿宋" w:eastAsia="仿宋" w:cs="仿宋"/>
          <w:bCs/>
          <w:color w:val="000000"/>
          <w:sz w:val="32"/>
          <w:szCs w:val="32"/>
        </w:rPr>
        <w:t>……”</w:t>
      </w:r>
      <w:r>
        <w:rPr>
          <w:rFonts w:hint="eastAsia" w:ascii="仿宋" w:hAnsi="仿宋" w:eastAsia="仿宋" w:cs="仿宋"/>
          <w:color w:val="3D3D3D"/>
          <w:sz w:val="32"/>
          <w:szCs w:val="32"/>
          <w:lang w:eastAsia="zh-CN"/>
        </w:rPr>
        <w:t>的</w:t>
      </w:r>
      <w:r>
        <w:rPr>
          <w:rFonts w:hint="eastAsia" w:ascii="仿宋" w:hAnsi="仿宋" w:eastAsia="仿宋" w:cs="仿宋"/>
          <w:color w:val="000000"/>
          <w:sz w:val="32"/>
          <w:szCs w:val="32"/>
        </w:rPr>
        <w:t>规定</w:t>
      </w:r>
      <w:r>
        <w:rPr>
          <w:rFonts w:hint="eastAsia" w:ascii="仿宋" w:hAnsi="仿宋" w:eastAsia="仿宋" w:cs="仿宋"/>
          <w:color w:val="000000"/>
          <w:sz w:val="32"/>
          <w:szCs w:val="32"/>
          <w:lang w:eastAsia="zh-CN"/>
        </w:rPr>
        <w:t>。</w:t>
      </w:r>
    </w:p>
    <w:p>
      <w:pPr>
        <w:spacing w:line="480" w:lineRule="auto"/>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查明</w:t>
      </w:r>
      <w:r>
        <w:rPr>
          <w:rFonts w:hint="eastAsia" w:ascii="仿宋" w:hAnsi="仿宋" w:eastAsia="仿宋" w:cs="仿宋"/>
          <w:color w:val="000000"/>
          <w:sz w:val="32"/>
          <w:szCs w:val="32"/>
          <w:lang w:eastAsia="zh-CN"/>
        </w:rPr>
        <w:t>二，你（单位）</w:t>
      </w:r>
      <w:r>
        <w:rPr>
          <w:rFonts w:hint="eastAsia" w:ascii="仿宋" w:hAnsi="仿宋" w:eastAsia="仿宋" w:cs="仿宋"/>
          <w:color w:val="000000"/>
          <w:sz w:val="32"/>
          <w:szCs w:val="32"/>
          <w:lang w:val="en-US" w:eastAsia="zh-CN"/>
        </w:rPr>
        <w:t>2018年6月28日从位于新塘镇新墩村新墩路的广州市增城美厂副食品经营部购进</w:t>
      </w:r>
      <w:r>
        <w:rPr>
          <w:rFonts w:hint="eastAsia" w:ascii="仿宋" w:hAnsi="仿宋" w:eastAsia="仿宋" w:cs="仿宋"/>
          <w:color w:val="000000"/>
          <w:sz w:val="32"/>
          <w:szCs w:val="32"/>
          <w:u w:val="none"/>
          <w:lang w:val="en-US" w:eastAsia="zh-CN"/>
        </w:rPr>
        <w:t>预包装食品</w:t>
      </w:r>
      <w:r>
        <w:rPr>
          <w:rFonts w:hint="eastAsia" w:ascii="仿宋" w:hAnsi="仿宋" w:eastAsia="仿宋" w:cs="仿宋"/>
          <w:color w:val="000000"/>
          <w:sz w:val="32"/>
          <w:szCs w:val="32"/>
          <w:lang w:val="en-US" w:eastAsia="zh-CN"/>
        </w:rPr>
        <w:t>：（1）</w:t>
      </w:r>
      <w:r>
        <w:rPr>
          <w:rFonts w:hint="eastAsia" w:ascii="仿宋" w:hAnsi="仿宋" w:eastAsia="仿宋" w:cs="仿宋"/>
          <w:sz w:val="32"/>
          <w:szCs w:val="32"/>
          <w:lang w:val="en-US" w:eastAsia="zh-CN"/>
        </w:rPr>
        <w:t>“三湘古镇”泡椒素牛柳，</w:t>
      </w:r>
      <w:r>
        <w:rPr>
          <w:rFonts w:hint="eastAsia" w:ascii="仿宋" w:hAnsi="仿宋" w:eastAsia="仿宋" w:cs="仿宋"/>
          <w:color w:val="000000"/>
          <w:sz w:val="32"/>
          <w:szCs w:val="32"/>
          <w:lang w:eastAsia="zh-CN"/>
        </w:rPr>
        <w:t>规格净含量</w:t>
      </w:r>
      <w:r>
        <w:rPr>
          <w:rFonts w:hint="eastAsia" w:ascii="仿宋" w:hAnsi="仿宋" w:eastAsia="仿宋" w:cs="仿宋"/>
          <w:color w:val="000000"/>
          <w:sz w:val="32"/>
          <w:szCs w:val="32"/>
          <w:lang w:val="en-US" w:eastAsia="zh-CN"/>
        </w:rPr>
        <w:t>150克/包，生产日期2018年5月20日，保质期120天，数量10包，购进单价2.1元/包；（2）</w:t>
      </w:r>
      <w:r>
        <w:rPr>
          <w:rFonts w:hint="eastAsia" w:ascii="仿宋" w:hAnsi="仿宋" w:eastAsia="仿宋" w:cs="仿宋"/>
          <w:sz w:val="32"/>
          <w:szCs w:val="32"/>
          <w:lang w:val="en-US" w:eastAsia="zh-CN"/>
        </w:rPr>
        <w:t>“三湘古镇”泡椒鱼翅，</w:t>
      </w:r>
      <w:r>
        <w:rPr>
          <w:rFonts w:hint="eastAsia" w:ascii="仿宋" w:hAnsi="仿宋" w:eastAsia="仿宋" w:cs="仿宋"/>
          <w:color w:val="000000"/>
          <w:sz w:val="32"/>
          <w:szCs w:val="32"/>
          <w:lang w:eastAsia="zh-CN"/>
        </w:rPr>
        <w:t>规格净含量</w:t>
      </w:r>
      <w:r>
        <w:rPr>
          <w:rFonts w:hint="eastAsia" w:ascii="仿宋" w:hAnsi="仿宋" w:eastAsia="仿宋" w:cs="仿宋"/>
          <w:color w:val="000000"/>
          <w:sz w:val="32"/>
          <w:szCs w:val="32"/>
          <w:lang w:val="en-US" w:eastAsia="zh-CN"/>
        </w:rPr>
        <w:t>150克/包，生产日期2018年4月12日，保质期120天，数量10包，购进单价2.1元/包，放在</w:t>
      </w:r>
      <w:r>
        <w:rPr>
          <w:rFonts w:hint="eastAsia" w:ascii="仿宋" w:hAnsi="仿宋" w:eastAsia="仿宋" w:cs="仿宋"/>
          <w:color w:val="000000"/>
          <w:sz w:val="32"/>
          <w:szCs w:val="32"/>
          <w:lang w:eastAsia="zh-CN"/>
        </w:rPr>
        <w:t>你（单位）</w:t>
      </w:r>
      <w:r>
        <w:rPr>
          <w:rFonts w:hint="eastAsia" w:ascii="仿宋" w:hAnsi="仿宋" w:eastAsia="仿宋" w:cs="仿宋"/>
          <w:color w:val="000000"/>
          <w:sz w:val="32"/>
          <w:szCs w:val="32"/>
          <w:lang w:val="en-US" w:eastAsia="zh-CN"/>
        </w:rPr>
        <w:t>位于</w:t>
      </w:r>
      <w:r>
        <w:rPr>
          <w:rFonts w:hint="eastAsia" w:ascii="仿宋" w:hAnsi="仿宋" w:eastAsia="仿宋" w:cs="仿宋"/>
          <w:color w:val="000000"/>
          <w:sz w:val="32"/>
          <w:szCs w:val="32"/>
          <w:u w:val="none"/>
          <w:lang w:eastAsia="zh-CN"/>
        </w:rPr>
        <w:t>新塘镇塘美村民营工业园一横</w:t>
      </w:r>
      <w:r>
        <w:rPr>
          <w:rFonts w:hint="eastAsia" w:ascii="仿宋" w:hAnsi="仿宋" w:eastAsia="仿宋" w:cs="仿宋"/>
          <w:color w:val="000000"/>
          <w:sz w:val="32"/>
          <w:szCs w:val="32"/>
          <w:u w:val="none"/>
          <w:lang w:val="en-US" w:eastAsia="zh-CN"/>
        </w:rPr>
        <w:t>7号</w:t>
      </w:r>
      <w:r>
        <w:rPr>
          <w:rFonts w:hint="eastAsia" w:ascii="仿宋" w:hAnsi="仿宋" w:eastAsia="仿宋" w:cs="仿宋"/>
          <w:color w:val="auto"/>
          <w:sz w:val="32"/>
          <w:szCs w:val="32"/>
          <w:u w:val="none"/>
          <w:lang w:val="en-US" w:eastAsia="zh-CN"/>
        </w:rPr>
        <w:t>“798”艺术园内“798超市”</w:t>
      </w:r>
      <w:r>
        <w:rPr>
          <w:rFonts w:hint="eastAsia" w:ascii="仿宋" w:hAnsi="仿宋" w:eastAsia="仿宋" w:cs="仿宋"/>
          <w:kern w:val="1"/>
          <w:sz w:val="32"/>
          <w:szCs w:val="32"/>
          <w:u w:val="none"/>
          <w:lang w:eastAsia="zh-CN"/>
        </w:rPr>
        <w:t>销售营利。截</w:t>
      </w:r>
      <w:r>
        <w:rPr>
          <w:rFonts w:hint="eastAsia" w:ascii="仿宋" w:hAnsi="仿宋" w:eastAsia="仿宋" w:cs="仿宋"/>
          <w:color w:val="auto"/>
          <w:sz w:val="32"/>
          <w:szCs w:val="32"/>
          <w:lang w:val="en-US" w:eastAsia="zh-CN"/>
        </w:rPr>
        <w:t>止2018年9月27日，</w:t>
      </w:r>
      <w:r>
        <w:rPr>
          <w:rFonts w:hint="eastAsia" w:ascii="仿宋" w:hAnsi="仿宋" w:eastAsia="仿宋" w:cs="仿宋"/>
          <w:kern w:val="1"/>
          <w:sz w:val="32"/>
          <w:szCs w:val="32"/>
          <w:u w:val="none"/>
          <w:lang w:eastAsia="zh-CN"/>
        </w:rPr>
        <w:t>上述</w:t>
      </w:r>
      <w:r>
        <w:rPr>
          <w:rFonts w:hint="eastAsia" w:ascii="仿宋" w:hAnsi="仿宋" w:eastAsia="仿宋" w:cs="仿宋"/>
          <w:kern w:val="1"/>
          <w:sz w:val="32"/>
          <w:szCs w:val="32"/>
          <w:u w:val="none"/>
          <w:lang w:val="en-US" w:eastAsia="zh-CN"/>
        </w:rPr>
        <w:t>2个</w:t>
      </w:r>
      <w:r>
        <w:rPr>
          <w:rFonts w:hint="eastAsia" w:ascii="仿宋" w:hAnsi="仿宋" w:eastAsia="仿宋" w:cs="仿宋"/>
          <w:kern w:val="1"/>
          <w:sz w:val="32"/>
          <w:szCs w:val="32"/>
          <w:u w:val="none"/>
          <w:lang w:eastAsia="zh-CN"/>
        </w:rPr>
        <w:t>食品均已超过</w:t>
      </w:r>
      <w:r>
        <w:rPr>
          <w:rFonts w:hint="eastAsia" w:ascii="仿宋" w:hAnsi="仿宋" w:eastAsia="仿宋" w:cs="仿宋"/>
          <w:color w:val="000000"/>
          <w:sz w:val="32"/>
          <w:szCs w:val="32"/>
          <w:lang w:val="en-US" w:eastAsia="zh-CN"/>
        </w:rPr>
        <w:t>保质期</w:t>
      </w:r>
      <w:r>
        <w:rPr>
          <w:rFonts w:hint="eastAsia" w:ascii="仿宋" w:hAnsi="仿宋" w:eastAsia="仿宋" w:cs="仿宋"/>
          <w:color w:val="auto"/>
          <w:sz w:val="32"/>
          <w:szCs w:val="32"/>
          <w:lang w:val="en-US" w:eastAsia="zh-CN"/>
        </w:rPr>
        <w:t>，但你（单位）仍在销售，同日被本局现场查获。至被本局查获时止，你（单位）</w:t>
      </w: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2891" w:firstLineChars="900"/>
        <w:jc w:val="both"/>
        <w:textAlignment w:val="auto"/>
        <w:outlineLvl w:val="9"/>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 w:val="24"/>
          <w:szCs w:val="24"/>
        </w:rPr>
      </w:pPr>
      <w:r>
        <w:rPr>
          <w:rFonts w:ascii="仿宋_GB2312" w:hAnsi="Arial" w:eastAsia="仿宋_GB2312" w:cs="Arial"/>
          <w:color w:val="000000"/>
          <w:szCs w:val="21"/>
        </w:rPr>
        <mc:AlternateContent>
          <mc:Choice Requires="wps">
            <w:drawing>
              <wp:anchor distT="0" distB="0" distL="114300" distR="114300" simplePos="0" relativeHeight="251703296" behindDoc="0" locked="0" layoutInCell="1" allowOverlap="1">
                <wp:simplePos x="0" y="0"/>
                <wp:positionH relativeFrom="column">
                  <wp:posOffset>-66675</wp:posOffset>
                </wp:positionH>
                <wp:positionV relativeFrom="paragraph">
                  <wp:posOffset>340995</wp:posOffset>
                </wp:positionV>
                <wp:extent cx="5615940" cy="635"/>
                <wp:effectExtent l="0" t="0" r="0" b="0"/>
                <wp:wrapNone/>
                <wp:docPr id="4" name="直线 7"/>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25pt;margin-top:26.85pt;height:0.05pt;width:442.2pt;z-index:251703296;mso-width-relative:page;mso-height-relative:page;" filled="f" stroked="t" coordsize="21600,21600" o:gfxdata="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8wWANcAAAAJAQAADwAAAAAAAAABACAAAAAiAAAA&#10;ZHJzL2Rvd25yZXYueG1sUEsBAhQAFAAAAAgAh07iQCedQyPPAQAAkAMAAA4AAAAAAAAAAQAgAAAA&#10;JgEAAGRycy9lMm9Eb2MueG1sUEsFBgAAAAAGAAYAWQEAAGcFA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96</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  共</w:t>
      </w:r>
      <w:r>
        <w:rPr>
          <w:rFonts w:hint="eastAsia" w:ascii="仿宋_GB2312" w:hAnsi="仿宋" w:eastAsia="仿宋_GB2312"/>
          <w:color w:val="000000"/>
          <w:kern w:val="0"/>
          <w:sz w:val="28"/>
          <w:szCs w:val="28"/>
          <w:lang w:val="en-US" w:eastAsia="zh-CN"/>
        </w:rPr>
        <w:t>5</w:t>
      </w:r>
      <w:r>
        <w:rPr>
          <w:rFonts w:hint="eastAsia" w:ascii="仿宋_GB2312" w:hAnsi="仿宋" w:eastAsia="仿宋_GB2312"/>
          <w:color w:val="000000"/>
          <w:kern w:val="0"/>
          <w:sz w:val="28"/>
          <w:szCs w:val="28"/>
        </w:rPr>
        <w:t>页</w:t>
      </w:r>
    </w:p>
    <w:p>
      <w:pPr>
        <w:spacing w:line="480" w:lineRule="auto"/>
        <w:rPr>
          <w:rFonts w:hint="eastAsia" w:ascii="仿宋" w:hAnsi="仿宋" w:eastAsia="仿宋" w:cs="仿宋"/>
          <w:color w:val="000000"/>
          <w:sz w:val="32"/>
          <w:szCs w:val="32"/>
        </w:rPr>
      </w:pPr>
      <w:r>
        <w:rPr>
          <w:rFonts w:hint="eastAsia" w:ascii="仿宋" w:hAnsi="仿宋" w:eastAsia="仿宋" w:cs="仿宋"/>
          <w:color w:val="auto"/>
          <w:sz w:val="32"/>
          <w:szCs w:val="32"/>
          <w:lang w:val="en-US" w:eastAsia="zh-CN"/>
        </w:rPr>
        <w:t>各销出上述</w:t>
      </w:r>
      <w:r>
        <w:rPr>
          <w:rFonts w:hint="eastAsia" w:ascii="仿宋" w:hAnsi="仿宋" w:eastAsia="仿宋" w:cs="仿宋"/>
          <w:kern w:val="1"/>
          <w:sz w:val="32"/>
          <w:szCs w:val="32"/>
          <w:u w:val="none"/>
          <w:lang w:val="en-US" w:eastAsia="zh-CN"/>
        </w:rPr>
        <w:t>2个</w:t>
      </w:r>
      <w:r>
        <w:rPr>
          <w:rFonts w:hint="eastAsia" w:ascii="仿宋" w:hAnsi="仿宋" w:eastAsia="仿宋" w:cs="仿宋"/>
          <w:color w:val="auto"/>
          <w:sz w:val="32"/>
          <w:szCs w:val="32"/>
          <w:lang w:val="en-US" w:eastAsia="zh-CN"/>
        </w:rPr>
        <w:t>食品：</w:t>
      </w:r>
      <w:r>
        <w:rPr>
          <w:rFonts w:hint="eastAsia" w:ascii="仿宋" w:hAnsi="仿宋" w:eastAsia="仿宋" w:cs="仿宋"/>
          <w:color w:val="000000"/>
          <w:sz w:val="32"/>
          <w:szCs w:val="32"/>
          <w:lang w:val="en-US" w:eastAsia="zh-CN"/>
        </w:rPr>
        <w:t>（1）</w:t>
      </w:r>
      <w:r>
        <w:rPr>
          <w:rFonts w:hint="eastAsia" w:ascii="仿宋" w:hAnsi="仿宋" w:eastAsia="仿宋" w:cs="仿宋"/>
          <w:sz w:val="32"/>
          <w:szCs w:val="32"/>
          <w:lang w:val="en-US" w:eastAsia="zh-CN"/>
        </w:rPr>
        <w:t>“三湘古镇”泡椒素牛柳，销出1</w:t>
      </w:r>
    </w:p>
    <w:p>
      <w:pPr>
        <w:adjustRightInd/>
        <w:snapToGrid/>
        <w:spacing w:before="225" w:after="0" w:line="480" w:lineRule="auto"/>
        <w:rPr>
          <w:rFonts w:hint="eastAsia" w:ascii="仿宋" w:hAnsi="仿宋" w:eastAsia="仿宋" w:cs="仿宋"/>
          <w:b/>
          <w:bCs/>
          <w:color w:val="000000"/>
          <w:kern w:val="0"/>
          <w:sz w:val="32"/>
          <w:szCs w:val="32"/>
        </w:rPr>
      </w:pPr>
      <w:r>
        <w:rPr>
          <w:rFonts w:hint="eastAsia" w:ascii="仿宋" w:hAnsi="仿宋" w:eastAsia="仿宋" w:cs="仿宋"/>
          <w:sz w:val="32"/>
          <w:szCs w:val="32"/>
          <w:lang w:val="en-US" w:eastAsia="zh-CN"/>
        </w:rPr>
        <w:t>包，</w:t>
      </w:r>
      <w:r>
        <w:rPr>
          <w:rFonts w:hint="eastAsia" w:ascii="仿宋" w:hAnsi="仿宋" w:eastAsia="仿宋" w:cs="仿宋"/>
          <w:color w:val="000000"/>
          <w:sz w:val="32"/>
          <w:szCs w:val="32"/>
          <w:lang w:val="en-US" w:eastAsia="zh-CN"/>
        </w:rPr>
        <w:t>销售单价4元/包；（2）</w:t>
      </w:r>
      <w:r>
        <w:rPr>
          <w:rFonts w:hint="eastAsia" w:ascii="仿宋" w:hAnsi="仿宋" w:eastAsia="仿宋" w:cs="仿宋"/>
          <w:sz w:val="32"/>
          <w:szCs w:val="32"/>
          <w:lang w:val="en-US" w:eastAsia="zh-CN"/>
        </w:rPr>
        <w:t>“三湘古镇”泡椒鱼翅，销出5包，</w:t>
      </w:r>
      <w:r>
        <w:rPr>
          <w:rFonts w:hint="eastAsia" w:ascii="仿宋" w:hAnsi="仿宋" w:eastAsia="仿宋" w:cs="仿宋"/>
          <w:color w:val="000000"/>
          <w:sz w:val="32"/>
          <w:szCs w:val="32"/>
          <w:lang w:val="en-US" w:eastAsia="zh-CN"/>
        </w:rPr>
        <w:t>销售单价4元/包.经计算，</w:t>
      </w:r>
      <w:r>
        <w:rPr>
          <w:rFonts w:hint="eastAsia" w:ascii="仿宋" w:hAnsi="仿宋" w:eastAsia="仿宋" w:cs="仿宋"/>
          <w:color w:val="000000"/>
          <w:sz w:val="32"/>
          <w:szCs w:val="32"/>
          <w:lang w:eastAsia="zh-CN"/>
        </w:rPr>
        <w:t>你（单位）</w:t>
      </w:r>
      <w:r>
        <w:rPr>
          <w:rFonts w:hint="eastAsia" w:ascii="仿宋" w:hAnsi="仿宋" w:eastAsia="仿宋" w:cs="仿宋"/>
          <w:color w:val="000000"/>
          <w:sz w:val="32"/>
          <w:szCs w:val="32"/>
          <w:lang w:val="en-US" w:eastAsia="zh-CN"/>
        </w:rPr>
        <w:t>涉案食品</w:t>
      </w:r>
      <w:r>
        <w:rPr>
          <w:rFonts w:hint="eastAsia" w:ascii="仿宋" w:hAnsi="仿宋" w:eastAsia="仿宋" w:cs="仿宋"/>
          <w:color w:val="000000"/>
          <w:sz w:val="32"/>
          <w:szCs w:val="32"/>
        </w:rPr>
        <w:t>货值</w:t>
      </w:r>
      <w:r>
        <w:rPr>
          <w:rFonts w:hint="eastAsia" w:ascii="仿宋" w:hAnsi="仿宋" w:eastAsia="仿宋" w:cs="仿宋"/>
          <w:color w:val="000000"/>
          <w:sz w:val="32"/>
          <w:szCs w:val="32"/>
          <w:lang w:val="en-US" w:eastAsia="zh-CN"/>
        </w:rPr>
        <w:t>80元，</w:t>
      </w:r>
      <w:r>
        <w:rPr>
          <w:rFonts w:hint="eastAsia" w:ascii="仿宋" w:hAnsi="仿宋" w:eastAsia="仿宋" w:cs="仿宋"/>
          <w:color w:val="000000"/>
          <w:sz w:val="32"/>
          <w:szCs w:val="32"/>
        </w:rPr>
        <w:t>违法所得</w:t>
      </w:r>
      <w:r>
        <w:rPr>
          <w:rFonts w:hint="eastAsia" w:ascii="仿宋" w:hAnsi="仿宋" w:eastAsia="仿宋" w:cs="仿宋"/>
          <w:color w:val="000000"/>
          <w:sz w:val="32"/>
          <w:szCs w:val="32"/>
          <w:lang w:val="en-US" w:eastAsia="zh-CN"/>
        </w:rPr>
        <w:t>11.4元</w:t>
      </w:r>
      <w:r>
        <w:rPr>
          <w:rFonts w:hint="eastAsia" w:ascii="仿宋" w:hAnsi="仿宋" w:eastAsia="仿宋" w:cs="仿宋"/>
          <w:color w:val="000000"/>
          <w:sz w:val="32"/>
          <w:szCs w:val="32"/>
          <w:lang w:eastAsia="zh-CN"/>
        </w:rPr>
        <w:t>。你（单位）该行为</w:t>
      </w:r>
      <w:r>
        <w:rPr>
          <w:rFonts w:hint="eastAsia" w:ascii="仿宋" w:hAnsi="仿宋" w:eastAsia="仿宋" w:cs="仿宋"/>
          <w:color w:val="000000"/>
          <w:sz w:val="32"/>
          <w:szCs w:val="32"/>
        </w:rPr>
        <w:t>违反</w:t>
      </w:r>
      <w:r>
        <w:rPr>
          <w:rFonts w:hint="eastAsia" w:ascii="仿宋" w:hAnsi="仿宋" w:eastAsia="仿宋" w:cs="仿宋"/>
          <w:color w:val="000000"/>
          <w:sz w:val="32"/>
          <w:szCs w:val="32"/>
          <w:lang w:eastAsia="zh-CN"/>
        </w:rPr>
        <w:t>了</w:t>
      </w:r>
      <w:r>
        <w:rPr>
          <w:rFonts w:hint="eastAsia" w:ascii="仿宋" w:hAnsi="仿宋" w:eastAsia="仿宋" w:cs="仿宋"/>
          <w:color w:val="000000"/>
          <w:sz w:val="32"/>
          <w:szCs w:val="32"/>
        </w:rPr>
        <w:t>《中华人民共和国食品安全法》第三十</w:t>
      </w:r>
      <w:r>
        <w:rPr>
          <w:rFonts w:hint="eastAsia" w:ascii="仿宋" w:hAnsi="仿宋" w:eastAsia="仿宋" w:cs="仿宋"/>
          <w:color w:val="000000"/>
          <w:sz w:val="32"/>
          <w:szCs w:val="32"/>
          <w:lang w:eastAsia="zh-CN"/>
        </w:rPr>
        <w:t>四</w:t>
      </w:r>
      <w:r>
        <w:rPr>
          <w:rFonts w:hint="eastAsia" w:ascii="仿宋" w:hAnsi="仿宋" w:eastAsia="仿宋" w:cs="仿宋"/>
          <w:color w:val="000000"/>
          <w:sz w:val="32"/>
          <w:szCs w:val="32"/>
        </w:rPr>
        <w:t>条第</w:t>
      </w:r>
      <w:r>
        <w:rPr>
          <w:rFonts w:hint="eastAsia" w:ascii="仿宋" w:hAnsi="仿宋" w:eastAsia="仿宋" w:cs="仿宋"/>
          <w:color w:val="000000"/>
          <w:sz w:val="32"/>
          <w:szCs w:val="32"/>
          <w:lang w:eastAsia="zh-CN"/>
        </w:rPr>
        <w:t>（十）项“</w:t>
      </w:r>
      <w:r>
        <w:rPr>
          <w:rFonts w:hint="eastAsia" w:ascii="仿宋" w:hAnsi="仿宋" w:eastAsia="仿宋" w:cs="仿宋"/>
          <w:color w:val="3D3D3D"/>
          <w:sz w:val="32"/>
          <w:szCs w:val="32"/>
        </w:rPr>
        <w:t>禁止生产经营下列食品、食品添加剂、食品相关产品：</w:t>
      </w:r>
      <w:r>
        <w:rPr>
          <w:rFonts w:hint="eastAsia" w:ascii="仿宋" w:hAnsi="仿宋" w:eastAsia="仿宋" w:cs="仿宋"/>
          <w:bCs/>
          <w:color w:val="000000"/>
          <w:sz w:val="32"/>
          <w:szCs w:val="32"/>
        </w:rPr>
        <w:t>……</w:t>
      </w:r>
      <w:r>
        <w:rPr>
          <w:rFonts w:hint="eastAsia" w:ascii="仿宋" w:hAnsi="仿宋" w:eastAsia="仿宋" w:cs="仿宋"/>
          <w:bCs/>
          <w:color w:val="000000"/>
          <w:sz w:val="32"/>
          <w:szCs w:val="32"/>
          <w:lang w:eastAsia="zh-CN"/>
        </w:rPr>
        <w:t>；</w:t>
      </w:r>
      <w:r>
        <w:rPr>
          <w:rFonts w:hint="eastAsia" w:ascii="仿宋" w:hAnsi="仿宋" w:eastAsia="仿宋" w:cs="仿宋"/>
          <w:color w:val="3D3D3D"/>
          <w:sz w:val="32"/>
          <w:szCs w:val="32"/>
        </w:rPr>
        <w:t>（十）标注虚假生产日期、保质期或者超过保质期的食品、食品添加剂；</w:t>
      </w:r>
      <w:r>
        <w:rPr>
          <w:rFonts w:hint="eastAsia" w:ascii="仿宋" w:hAnsi="仿宋" w:eastAsia="仿宋" w:cs="仿宋"/>
          <w:bCs/>
          <w:color w:val="000000"/>
          <w:sz w:val="32"/>
          <w:szCs w:val="32"/>
        </w:rPr>
        <w:t>”</w:t>
      </w:r>
      <w:r>
        <w:rPr>
          <w:rFonts w:hint="eastAsia" w:ascii="仿宋" w:hAnsi="仿宋" w:eastAsia="仿宋" w:cs="仿宋"/>
          <w:bCs/>
          <w:color w:val="000000"/>
          <w:sz w:val="32"/>
          <w:szCs w:val="32"/>
          <w:lang w:eastAsia="zh-CN"/>
        </w:rPr>
        <w:t>的</w:t>
      </w:r>
      <w:r>
        <w:rPr>
          <w:rFonts w:hint="eastAsia" w:ascii="仿宋" w:hAnsi="仿宋" w:eastAsia="仿宋" w:cs="仿宋"/>
          <w:color w:val="000000"/>
          <w:sz w:val="32"/>
          <w:szCs w:val="32"/>
        </w:rPr>
        <w:t>规定</w:t>
      </w:r>
      <w:r>
        <w:rPr>
          <w:rFonts w:hint="eastAsia" w:ascii="仿宋" w:hAnsi="仿宋" w:eastAsia="仿宋" w:cs="仿宋"/>
          <w:color w:val="000000"/>
          <w:sz w:val="32"/>
          <w:szCs w:val="32"/>
          <w:u w:val="none"/>
          <w:lang w:val="en-US" w:eastAsia="zh-CN"/>
        </w:rPr>
        <w:t>。</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相关证据：</w:t>
      </w:r>
    </w:p>
    <w:p>
      <w:pPr>
        <w:widowControl/>
        <w:spacing w:line="360" w:lineRule="auto"/>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sz w:val="32"/>
          <w:szCs w:val="32"/>
          <w:lang w:eastAsia="zh-CN"/>
        </w:rPr>
        <w:t>戴桂英</w:t>
      </w:r>
      <w:r>
        <w:rPr>
          <w:rFonts w:hint="eastAsia" w:ascii="仿宋" w:hAnsi="仿宋" w:eastAsia="仿宋" w:cs="仿宋"/>
          <w:color w:val="000000"/>
          <w:sz w:val="32"/>
          <w:szCs w:val="32"/>
        </w:rPr>
        <w:t>身份证复印件</w:t>
      </w:r>
      <w:r>
        <w:rPr>
          <w:rFonts w:hint="eastAsia" w:ascii="仿宋" w:hAnsi="仿宋" w:eastAsia="仿宋" w:cs="仿宋"/>
          <w:color w:val="000000"/>
          <w:sz w:val="32"/>
          <w:szCs w:val="32"/>
          <w:lang w:eastAsia="zh-CN"/>
        </w:rPr>
        <w:t>、受委托人戴星兴</w:t>
      </w:r>
      <w:r>
        <w:rPr>
          <w:rFonts w:hint="eastAsia" w:ascii="仿宋" w:hAnsi="仿宋" w:eastAsia="仿宋" w:cs="仿宋"/>
          <w:color w:val="000000"/>
          <w:sz w:val="32"/>
          <w:szCs w:val="32"/>
        </w:rPr>
        <w:t>身份证复印件</w:t>
      </w:r>
      <w:r>
        <w:rPr>
          <w:rFonts w:hint="eastAsia" w:ascii="仿宋" w:hAnsi="仿宋" w:eastAsia="仿宋" w:cs="仿宋"/>
          <w:color w:val="000000"/>
          <w:sz w:val="32"/>
          <w:szCs w:val="32"/>
          <w:lang w:eastAsia="zh-CN"/>
        </w:rPr>
        <w:t>、《委托书》原件</w:t>
      </w:r>
      <w:r>
        <w:rPr>
          <w:rFonts w:hint="eastAsia" w:ascii="仿宋" w:hAnsi="仿宋" w:eastAsia="仿宋" w:cs="仿宋"/>
          <w:color w:val="000000"/>
          <w:sz w:val="32"/>
          <w:szCs w:val="32"/>
        </w:rPr>
        <w:t>各1份；2.现场检查笔录、询问调查笔录各1份；3.现场检查照片</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张</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4、供货者广州市增城美厂副食品经营部提供的本单位《食品经营许可证》复印件、涉案食品《检验报告》复印件、发货票据复印件各1份</w:t>
      </w:r>
      <w:r>
        <w:rPr>
          <w:rFonts w:hint="eastAsia" w:ascii="仿宋" w:hAnsi="仿宋" w:eastAsia="仿宋" w:cs="仿宋"/>
          <w:color w:val="000000"/>
          <w:sz w:val="32"/>
          <w:szCs w:val="32"/>
        </w:rPr>
        <w:t>。</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keepNext w:val="0"/>
        <w:keepLines w:val="0"/>
        <w:pageBreakBefore w:val="0"/>
        <w:widowControl/>
        <w:numPr>
          <w:ilvl w:val="0"/>
          <w:numId w:val="1"/>
        </w:numPr>
        <w:kinsoku/>
        <w:wordWrap/>
        <w:overflowPunct/>
        <w:topLinePunct w:val="0"/>
        <w:autoSpaceDE/>
        <w:autoSpaceDN/>
        <w:bidi w:val="0"/>
        <w:adjustRightInd/>
        <w:snapToGrid/>
        <w:spacing w:line="480" w:lineRule="auto"/>
        <w:ind w:left="0" w:leftChars="0" w:right="0" w:rightChars="0" w:firstLine="640" w:firstLineChars="200"/>
        <w:jc w:val="left"/>
        <w:textAlignment w:val="auto"/>
        <w:outlineLvl w:val="9"/>
        <w:rPr>
          <w:rFonts w:hint="eastAsia" w:ascii="仿宋" w:hAnsi="仿宋" w:eastAsia="仿宋" w:cs="仿宋"/>
          <w:bCs/>
          <w:sz w:val="32"/>
          <w:szCs w:val="32"/>
        </w:rPr>
      </w:pPr>
      <w:r>
        <w:rPr>
          <w:rFonts w:hint="eastAsia" w:ascii="仿宋" w:hAnsi="仿宋" w:eastAsia="仿宋" w:cs="仿宋"/>
          <w:color w:val="000000"/>
          <w:sz w:val="32"/>
          <w:szCs w:val="32"/>
        </w:rPr>
        <w:t>对于</w:t>
      </w:r>
      <w:r>
        <w:rPr>
          <w:rFonts w:hint="eastAsia" w:ascii="仿宋" w:hAnsi="仿宋" w:eastAsia="仿宋" w:cs="仿宋"/>
          <w:bCs/>
          <w:color w:val="000000"/>
          <w:sz w:val="32"/>
          <w:szCs w:val="32"/>
        </w:rPr>
        <w:t>你（单位）</w:t>
      </w:r>
      <w:r>
        <w:rPr>
          <w:rFonts w:hint="eastAsia" w:ascii="仿宋" w:hAnsi="仿宋" w:eastAsia="仿宋" w:cs="仿宋"/>
          <w:color w:val="000000"/>
          <w:kern w:val="2"/>
          <w:sz w:val="32"/>
          <w:szCs w:val="32"/>
          <w:lang w:val="en-US" w:eastAsia="zh-CN" w:bidi="ar-SA"/>
        </w:rPr>
        <w:t>未取得食品</w:t>
      </w:r>
      <w:r>
        <w:rPr>
          <w:rFonts w:hint="eastAsia" w:ascii="仿宋" w:hAnsi="仿宋" w:eastAsia="仿宋" w:cs="仿宋"/>
          <w:color w:val="000000"/>
          <w:sz w:val="32"/>
          <w:szCs w:val="32"/>
          <w:lang w:eastAsia="zh-CN"/>
        </w:rPr>
        <w:t>经营许可</w:t>
      </w:r>
      <w:r>
        <w:rPr>
          <w:rFonts w:hint="eastAsia" w:ascii="仿宋" w:hAnsi="仿宋" w:eastAsia="仿宋" w:cs="仿宋"/>
          <w:color w:val="000000"/>
          <w:kern w:val="2"/>
          <w:sz w:val="32"/>
          <w:szCs w:val="32"/>
          <w:lang w:val="en-US" w:eastAsia="zh-CN" w:bidi="ar-SA"/>
        </w:rPr>
        <w:t>从事</w:t>
      </w:r>
      <w:r>
        <w:rPr>
          <w:rFonts w:hint="eastAsia" w:ascii="仿宋" w:hAnsi="仿宋" w:eastAsia="仿宋" w:cs="仿宋"/>
          <w:color w:val="000000"/>
          <w:sz w:val="32"/>
          <w:szCs w:val="32"/>
          <w:u w:val="none"/>
          <w:lang w:val="en-US" w:eastAsia="zh-CN"/>
        </w:rPr>
        <w:t>预包装食品、保健食品销售的行为，货值及违法所得无法计算，鉴于</w:t>
      </w:r>
      <w:r>
        <w:rPr>
          <w:rFonts w:hint="eastAsia" w:ascii="仿宋" w:hAnsi="仿宋" w:eastAsia="仿宋" w:cs="仿宋"/>
          <w:color w:val="000000"/>
          <w:sz w:val="32"/>
          <w:szCs w:val="32"/>
          <w:lang w:eastAsia="zh-CN"/>
        </w:rPr>
        <w:t>未造成严重危害后果，案发后较</w:t>
      </w:r>
      <w:r>
        <w:rPr>
          <w:rFonts w:hint="eastAsia" w:ascii="仿宋" w:hAnsi="仿宋" w:eastAsia="仿宋" w:cs="仿宋"/>
          <w:sz w:val="32"/>
          <w:szCs w:val="32"/>
        </w:rPr>
        <w:t>配合</w:t>
      </w:r>
      <w:r>
        <w:rPr>
          <w:rFonts w:hint="eastAsia" w:ascii="仿宋" w:hAnsi="仿宋" w:eastAsia="仿宋" w:cs="仿宋"/>
          <w:sz w:val="32"/>
          <w:szCs w:val="32"/>
          <w:lang w:eastAsia="zh-CN"/>
        </w:rPr>
        <w:t>调查</w:t>
      </w:r>
      <w:r>
        <w:rPr>
          <w:rFonts w:hint="eastAsia" w:ascii="仿宋" w:hAnsi="仿宋" w:eastAsia="仿宋" w:cs="仿宋"/>
          <w:color w:val="000000"/>
          <w:sz w:val="32"/>
          <w:szCs w:val="32"/>
          <w:lang w:eastAsia="zh-CN"/>
        </w:rPr>
        <w:t>，依据</w:t>
      </w:r>
      <w:r>
        <w:rPr>
          <w:rFonts w:hint="eastAsia" w:ascii="仿宋" w:hAnsi="仿宋" w:eastAsia="仿宋" w:cs="仿宋"/>
          <w:color w:val="000000"/>
          <w:sz w:val="32"/>
          <w:szCs w:val="32"/>
        </w:rPr>
        <w:t>《中华人民共和国食品安全法》第一百二十</w:t>
      </w:r>
      <w:r>
        <w:rPr>
          <w:rFonts w:hint="eastAsia" w:ascii="仿宋" w:hAnsi="仿宋" w:eastAsia="仿宋" w:cs="仿宋"/>
          <w:color w:val="000000"/>
          <w:sz w:val="32"/>
          <w:szCs w:val="32"/>
          <w:lang w:eastAsia="zh-CN"/>
        </w:rPr>
        <w:t>二</w:t>
      </w:r>
      <w:r>
        <w:rPr>
          <w:rFonts w:hint="eastAsia" w:ascii="仿宋" w:hAnsi="仿宋" w:eastAsia="仿宋" w:cs="仿宋"/>
          <w:color w:val="000000"/>
          <w:sz w:val="32"/>
          <w:szCs w:val="32"/>
        </w:rPr>
        <w:t>条第一款</w:t>
      </w:r>
      <w:r>
        <w:rPr>
          <w:rFonts w:hint="eastAsia" w:ascii="仿宋" w:hAnsi="仿宋" w:eastAsia="仿宋" w:cs="仿宋"/>
          <w:color w:val="000000"/>
          <w:sz w:val="32"/>
          <w:szCs w:val="32"/>
          <w:lang w:eastAsia="zh-CN"/>
        </w:rPr>
        <w:t>”</w:t>
      </w:r>
      <w:r>
        <w:rPr>
          <w:rFonts w:hint="eastAsia" w:ascii="仿宋" w:hAnsi="仿宋" w:eastAsia="仿宋" w:cs="仿宋"/>
          <w:color w:val="3D3D3D"/>
          <w:sz w:val="32"/>
          <w:szCs w:val="32"/>
        </w:rPr>
        <w:t>违反本法规定，未取得食品生产经营许可从事食品生产经营活动，或者未取得食品添加剂生产许可从事食品添加剂生产活动的，由县级以上人民政府</w:t>
      </w:r>
    </w:p>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4"/>
          <w:szCs w:val="24"/>
        </w:rPr>
      </w:pP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96</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4</w:t>
      </w:r>
      <w:r>
        <w:rPr>
          <w:rFonts w:hint="eastAsia" w:ascii="仿宋_GB2312" w:hAnsi="仿宋" w:eastAsia="仿宋_GB2312"/>
          <w:color w:val="000000"/>
          <w:kern w:val="0"/>
          <w:sz w:val="28"/>
          <w:szCs w:val="28"/>
        </w:rPr>
        <w:t>页 共</w:t>
      </w:r>
      <w:r>
        <w:rPr>
          <w:rFonts w:hint="eastAsia" w:ascii="仿宋_GB2312" w:hAnsi="仿宋" w:eastAsia="仿宋_GB2312"/>
          <w:color w:val="000000"/>
          <w:kern w:val="0"/>
          <w:sz w:val="28"/>
          <w:szCs w:val="28"/>
          <w:lang w:val="en-US" w:eastAsia="zh-CN"/>
        </w:rPr>
        <w:t>5</w:t>
      </w:r>
      <w:r>
        <w:rPr>
          <w:rFonts w:hint="eastAsia" w:ascii="仿宋_GB2312" w:hAnsi="仿宋" w:eastAsia="仿宋_GB2312"/>
          <w:color w:val="000000"/>
          <w:kern w:val="0"/>
          <w:sz w:val="28"/>
          <w:szCs w:val="28"/>
        </w:rPr>
        <w:t>页</w:t>
      </w:r>
    </w:p>
    <w:p>
      <w:pPr>
        <w:spacing w:line="360" w:lineRule="auto"/>
        <w:rPr>
          <w:rFonts w:hint="eastAsia" w:ascii="仿宋" w:hAnsi="仿宋" w:eastAsia="仿宋" w:cs="仿宋"/>
          <w:bCs/>
          <w:sz w:val="32"/>
          <w:szCs w:val="32"/>
        </w:rPr>
      </w:pPr>
      <w:r>
        <w:rPr>
          <w:rFonts w:hint="eastAsia" w:ascii="仿宋" w:hAnsi="仿宋" w:eastAsia="仿宋" w:cs="仿宋"/>
          <w:color w:val="3D3D3D"/>
          <w:sz w:val="32"/>
          <w:szCs w:val="32"/>
        </w:rPr>
        <w:t>食品药品监督管理部门没收违法所得和违法生产经营的食品、</w:t>
      </w:r>
      <w:bookmarkStart w:id="0" w:name="_GoBack"/>
      <w:bookmarkEnd w:id="0"/>
      <w:r>
        <w:rPr>
          <w:rFonts w:hint="eastAsia" w:ascii="仿宋" w:hAnsi="仿宋" w:eastAsia="仿宋" w:cs="仿宋"/>
          <w:color w:val="000000"/>
          <w:sz w:val="32"/>
          <w:szCs w:val="32"/>
        </w:rPr>
        <mc:AlternateContent>
          <mc:Choice Requires="wps">
            <w:drawing>
              <wp:anchor distT="0" distB="0" distL="114300" distR="114300" simplePos="0" relativeHeight="251751424" behindDoc="0" locked="0" layoutInCell="1" allowOverlap="1">
                <wp:simplePos x="0" y="0"/>
                <wp:positionH relativeFrom="column">
                  <wp:posOffset>0</wp:posOffset>
                </wp:positionH>
                <wp:positionV relativeFrom="paragraph">
                  <wp:posOffset>0</wp:posOffset>
                </wp:positionV>
                <wp:extent cx="5615940" cy="635"/>
                <wp:effectExtent l="0" t="0" r="0" b="0"/>
                <wp:wrapNone/>
                <wp:docPr id="6"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751424;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RL8vq0QAAAAIBAAAPAAAAAAAAAAEAIAAAACIAAABkcnMvZG93bnJldi54bWxQSwEC&#10;FAAUAAAACACHTuJAR26ZTMIBAACOAwAADgAAAAAAAAABACAAAAAgAQAAZHJzL2Uyb0RvYy54bWxQ&#10;SwUGAAAAAAYABgBZAQAAVAUAAAAA&#10;">
                <v:fill on="f" focussize="0,0"/>
                <v:stroke weight="1.5pt" color="#000000" joinstyle="round"/>
                <v:imagedata o:title=""/>
                <o:lock v:ext="edit" aspectratio="f"/>
              </v:line>
            </w:pict>
          </mc:Fallback>
        </mc:AlternateContent>
      </w:r>
      <w:r>
        <w:rPr>
          <w:rFonts w:hint="eastAsia" w:ascii="仿宋" w:hAnsi="仿宋" w:eastAsia="仿宋" w:cs="仿宋"/>
          <w:color w:val="3D3D3D"/>
          <w:sz w:val="32"/>
          <w:szCs w:val="32"/>
        </w:rPr>
        <w:t>食品添加剂以及用于违法生产经营的工具、设备、原料等物品；违法生产经营的食品、食品添加剂货值金额不足一万元的，并处五万元以上十万元以下罚款；货值金额一万元以上的，并处货值金额十倍以上二十倍以下罚款。</w:t>
      </w:r>
      <w:r>
        <w:rPr>
          <w:rFonts w:hint="eastAsia" w:ascii="仿宋" w:hAnsi="仿宋" w:eastAsia="仿宋" w:cs="仿宋"/>
          <w:color w:val="3D3D3D"/>
          <w:sz w:val="32"/>
          <w:szCs w:val="32"/>
          <w:lang w:eastAsia="zh-CN"/>
        </w:rPr>
        <w:t>”的</w:t>
      </w:r>
      <w:r>
        <w:rPr>
          <w:rFonts w:hint="eastAsia" w:ascii="仿宋" w:hAnsi="仿宋" w:eastAsia="仿宋" w:cs="仿宋"/>
          <w:color w:val="000000"/>
          <w:sz w:val="32"/>
          <w:szCs w:val="32"/>
          <w:lang w:eastAsia="zh-CN"/>
        </w:rPr>
        <w:t>规定</w:t>
      </w:r>
      <w:r>
        <w:rPr>
          <w:rFonts w:hint="eastAsia" w:ascii="仿宋" w:hAnsi="仿宋" w:eastAsia="仿宋" w:cs="仿宋"/>
          <w:sz w:val="32"/>
          <w:szCs w:val="32"/>
        </w:rPr>
        <w:t>，</w:t>
      </w:r>
      <w:r>
        <w:rPr>
          <w:rFonts w:hint="eastAsia" w:ascii="仿宋" w:hAnsi="仿宋" w:eastAsia="仿宋" w:cs="仿宋"/>
          <w:sz w:val="32"/>
          <w:szCs w:val="32"/>
          <w:lang w:eastAsia="zh-CN"/>
        </w:rPr>
        <w:t>本局决定</w:t>
      </w:r>
      <w:r>
        <w:rPr>
          <w:rFonts w:hint="eastAsia" w:ascii="仿宋" w:hAnsi="仿宋" w:eastAsia="仿宋" w:cs="仿宋"/>
          <w:color w:val="000000"/>
          <w:sz w:val="32"/>
          <w:szCs w:val="32"/>
        </w:rPr>
        <w:t>对</w:t>
      </w:r>
      <w:r>
        <w:rPr>
          <w:rFonts w:hint="eastAsia" w:ascii="仿宋" w:hAnsi="仿宋" w:eastAsia="仿宋" w:cs="仿宋"/>
          <w:sz w:val="32"/>
          <w:szCs w:val="32"/>
          <w:lang w:eastAsia="zh-CN"/>
        </w:rPr>
        <w:t>你（单位）</w:t>
      </w:r>
      <w:r>
        <w:rPr>
          <w:rFonts w:hint="eastAsia" w:ascii="仿宋" w:hAnsi="仿宋" w:eastAsia="仿宋" w:cs="仿宋"/>
          <w:bCs/>
          <w:sz w:val="32"/>
          <w:szCs w:val="32"/>
          <w:lang w:eastAsia="zh-CN"/>
        </w:rPr>
        <w:t>从</w:t>
      </w:r>
      <w:r>
        <w:rPr>
          <w:rFonts w:hint="eastAsia" w:ascii="仿宋" w:hAnsi="仿宋" w:eastAsia="仿宋" w:cs="仿宋"/>
          <w:bCs/>
          <w:sz w:val="32"/>
          <w:szCs w:val="32"/>
        </w:rPr>
        <w:t>轻处罚如下：</w:t>
      </w:r>
      <w:r>
        <w:rPr>
          <w:rFonts w:hint="eastAsia" w:ascii="仿宋" w:hAnsi="仿宋" w:eastAsia="仿宋" w:cs="仿宋"/>
          <w:bCs/>
          <w:sz w:val="32"/>
          <w:szCs w:val="32"/>
          <w:lang w:val="en-US" w:eastAsia="zh-CN"/>
        </w:rPr>
        <w:t>处50</w:t>
      </w:r>
      <w:r>
        <w:rPr>
          <w:rFonts w:hint="eastAsia" w:ascii="仿宋" w:hAnsi="仿宋" w:eastAsia="仿宋" w:cs="仿宋"/>
          <w:bCs/>
          <w:sz w:val="32"/>
          <w:szCs w:val="32"/>
        </w:rPr>
        <w:t>000元罚款。</w:t>
      </w:r>
    </w:p>
    <w:p>
      <w:pPr>
        <w:keepNext w:val="0"/>
        <w:keepLines w:val="0"/>
        <w:pageBreakBefore w:val="0"/>
        <w:widowControl/>
        <w:numPr>
          <w:ilvl w:val="0"/>
          <w:numId w:val="1"/>
        </w:numPr>
        <w:kinsoku/>
        <w:wordWrap/>
        <w:overflowPunct/>
        <w:topLinePunct w:val="0"/>
        <w:autoSpaceDE/>
        <w:autoSpaceDN/>
        <w:bidi w:val="0"/>
        <w:adjustRightInd/>
        <w:snapToGrid/>
        <w:spacing w:line="480" w:lineRule="auto"/>
        <w:ind w:left="0" w:leftChars="0" w:right="0" w:rightChars="0"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对于</w:t>
      </w:r>
      <w:r>
        <w:rPr>
          <w:rFonts w:hint="eastAsia" w:ascii="仿宋" w:hAnsi="仿宋" w:eastAsia="仿宋" w:cs="仿宋"/>
          <w:bCs/>
          <w:color w:val="000000"/>
          <w:sz w:val="32"/>
          <w:szCs w:val="32"/>
        </w:rPr>
        <w:t>你（单位）</w:t>
      </w:r>
      <w:r>
        <w:rPr>
          <w:rFonts w:hint="eastAsia" w:ascii="仿宋" w:hAnsi="仿宋" w:eastAsia="仿宋" w:cs="仿宋"/>
          <w:bCs/>
          <w:color w:val="000000"/>
          <w:sz w:val="32"/>
          <w:szCs w:val="32"/>
          <w:lang w:eastAsia="zh-CN"/>
        </w:rPr>
        <w:t>销售超过保质期</w:t>
      </w:r>
      <w:r>
        <w:rPr>
          <w:rFonts w:hint="eastAsia" w:ascii="仿宋" w:hAnsi="仿宋" w:eastAsia="仿宋" w:cs="仿宋"/>
          <w:color w:val="000000"/>
          <w:sz w:val="32"/>
          <w:szCs w:val="32"/>
          <w:u w:val="none"/>
          <w:lang w:val="en-US" w:eastAsia="zh-CN"/>
        </w:rPr>
        <w:t>预包装食品的行为，鉴于</w:t>
      </w:r>
      <w:r>
        <w:rPr>
          <w:rFonts w:hint="eastAsia" w:ascii="仿宋" w:hAnsi="仿宋" w:eastAsia="仿宋" w:cs="仿宋"/>
          <w:color w:val="000000"/>
          <w:sz w:val="32"/>
          <w:szCs w:val="32"/>
          <w:lang w:eastAsia="zh-CN"/>
        </w:rPr>
        <w:t>涉案食品</w:t>
      </w:r>
      <w:r>
        <w:rPr>
          <w:rFonts w:hint="eastAsia" w:ascii="仿宋" w:hAnsi="仿宋" w:eastAsia="仿宋" w:cs="仿宋"/>
          <w:color w:val="000000"/>
          <w:sz w:val="32"/>
          <w:szCs w:val="32"/>
        </w:rPr>
        <w:t>货值</w:t>
      </w:r>
      <w:r>
        <w:rPr>
          <w:rFonts w:hint="eastAsia" w:ascii="仿宋" w:hAnsi="仿宋" w:eastAsia="仿宋" w:cs="仿宋"/>
          <w:color w:val="000000"/>
          <w:sz w:val="32"/>
          <w:szCs w:val="32"/>
          <w:lang w:eastAsia="zh-CN"/>
        </w:rPr>
        <w:t>较小，未造成严重危害后果，案发后较</w:t>
      </w:r>
      <w:r>
        <w:rPr>
          <w:rFonts w:hint="eastAsia" w:ascii="仿宋" w:hAnsi="仿宋" w:eastAsia="仿宋" w:cs="仿宋"/>
          <w:sz w:val="32"/>
          <w:szCs w:val="32"/>
        </w:rPr>
        <w:t>配合</w:t>
      </w:r>
      <w:r>
        <w:rPr>
          <w:rFonts w:hint="eastAsia" w:ascii="仿宋" w:hAnsi="仿宋" w:eastAsia="仿宋" w:cs="仿宋"/>
          <w:sz w:val="32"/>
          <w:szCs w:val="32"/>
          <w:lang w:eastAsia="zh-CN"/>
        </w:rPr>
        <w:t>调查</w:t>
      </w:r>
      <w:r>
        <w:rPr>
          <w:rFonts w:hint="eastAsia" w:ascii="仿宋" w:hAnsi="仿宋" w:eastAsia="仿宋" w:cs="仿宋"/>
          <w:sz w:val="32"/>
          <w:szCs w:val="32"/>
        </w:rPr>
        <w:t>，</w:t>
      </w:r>
      <w:r>
        <w:rPr>
          <w:rFonts w:hint="eastAsia" w:ascii="仿宋" w:hAnsi="仿宋" w:eastAsia="仿宋" w:cs="仿宋"/>
          <w:color w:val="000000"/>
          <w:sz w:val="32"/>
          <w:szCs w:val="32"/>
          <w:lang w:eastAsia="zh-CN"/>
        </w:rPr>
        <w:t>依据</w:t>
      </w:r>
      <w:r>
        <w:rPr>
          <w:rFonts w:hint="eastAsia" w:ascii="仿宋" w:hAnsi="仿宋" w:eastAsia="仿宋" w:cs="仿宋"/>
          <w:color w:val="000000"/>
          <w:sz w:val="32"/>
          <w:szCs w:val="32"/>
        </w:rPr>
        <w:t>《中华人民共和国食品安全法》第一百二十</w:t>
      </w:r>
      <w:r>
        <w:rPr>
          <w:rFonts w:hint="eastAsia" w:ascii="仿宋" w:hAnsi="仿宋" w:eastAsia="仿宋" w:cs="仿宋"/>
          <w:color w:val="000000"/>
          <w:sz w:val="32"/>
          <w:szCs w:val="32"/>
          <w:lang w:eastAsia="zh-CN"/>
        </w:rPr>
        <w:t>四</w:t>
      </w:r>
      <w:r>
        <w:rPr>
          <w:rFonts w:hint="eastAsia" w:ascii="仿宋" w:hAnsi="仿宋" w:eastAsia="仿宋" w:cs="仿宋"/>
          <w:color w:val="000000"/>
          <w:sz w:val="32"/>
          <w:szCs w:val="32"/>
        </w:rPr>
        <w:t>条第一款</w:t>
      </w:r>
      <w:r>
        <w:rPr>
          <w:rFonts w:hint="eastAsia" w:ascii="仿宋" w:hAnsi="仿宋" w:eastAsia="仿宋" w:cs="仿宋"/>
          <w:color w:val="000000"/>
          <w:sz w:val="32"/>
          <w:szCs w:val="32"/>
          <w:lang w:eastAsia="zh-CN"/>
        </w:rPr>
        <w:t>第（五）项“</w:t>
      </w:r>
      <w:r>
        <w:rPr>
          <w:rFonts w:hint="eastAsia" w:ascii="仿宋" w:hAnsi="仿宋" w:eastAsia="仿宋" w:cs="仿宋"/>
          <w:color w:val="3D3D3D"/>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Pr>
          <w:rFonts w:hint="eastAsia" w:ascii="仿宋" w:hAnsi="仿宋" w:eastAsia="仿宋" w:cs="仿宋"/>
          <w:bCs/>
          <w:color w:val="000000"/>
          <w:sz w:val="32"/>
          <w:szCs w:val="32"/>
        </w:rPr>
        <w:t>……</w:t>
      </w:r>
      <w:r>
        <w:rPr>
          <w:rFonts w:hint="eastAsia" w:ascii="仿宋" w:hAnsi="仿宋" w:eastAsia="仿宋" w:cs="仿宋"/>
          <w:bCs/>
          <w:color w:val="000000"/>
          <w:sz w:val="32"/>
          <w:szCs w:val="32"/>
          <w:lang w:eastAsia="zh-CN"/>
        </w:rPr>
        <w:t>；</w:t>
      </w:r>
      <w:r>
        <w:rPr>
          <w:rFonts w:hint="eastAsia" w:ascii="仿宋" w:hAnsi="仿宋" w:eastAsia="仿宋" w:cs="仿宋"/>
          <w:color w:val="3D3D3D"/>
          <w:sz w:val="32"/>
          <w:szCs w:val="32"/>
        </w:rPr>
        <w:t>（五）生产经营标注虚假生产日期、保质期或者超过保质期的食品、食品添加剂；</w:t>
      </w:r>
      <w:r>
        <w:rPr>
          <w:rFonts w:hint="eastAsia" w:ascii="仿宋" w:hAnsi="仿宋" w:eastAsia="仿宋" w:cs="仿宋"/>
          <w:color w:val="3D3D3D"/>
          <w:sz w:val="32"/>
          <w:szCs w:val="32"/>
          <w:lang w:eastAsia="zh-CN"/>
        </w:rPr>
        <w:t>”的</w:t>
      </w:r>
      <w:r>
        <w:rPr>
          <w:rFonts w:hint="eastAsia" w:ascii="仿宋" w:hAnsi="仿宋" w:eastAsia="仿宋" w:cs="仿宋"/>
          <w:color w:val="000000"/>
          <w:sz w:val="32"/>
          <w:szCs w:val="32"/>
          <w:lang w:eastAsia="zh-CN"/>
        </w:rPr>
        <w:t>规定</w:t>
      </w:r>
      <w:r>
        <w:rPr>
          <w:rFonts w:hint="eastAsia" w:ascii="仿宋" w:hAnsi="仿宋" w:eastAsia="仿宋" w:cs="仿宋"/>
          <w:sz w:val="32"/>
          <w:szCs w:val="32"/>
        </w:rPr>
        <w:t>，</w:t>
      </w:r>
      <w:r>
        <w:rPr>
          <w:rFonts w:hint="eastAsia" w:ascii="仿宋" w:hAnsi="仿宋" w:eastAsia="仿宋" w:cs="仿宋"/>
          <w:sz w:val="32"/>
          <w:szCs w:val="32"/>
          <w:lang w:eastAsia="zh-CN"/>
        </w:rPr>
        <w:t>本局</w:t>
      </w:r>
      <w:r>
        <w:rPr>
          <w:rFonts w:hint="eastAsia" w:ascii="仿宋" w:hAnsi="仿宋" w:eastAsia="仿宋" w:cs="仿宋"/>
          <w:color w:val="000000"/>
          <w:sz w:val="32"/>
          <w:szCs w:val="32"/>
          <w:lang w:eastAsia="zh-CN"/>
        </w:rPr>
        <w:t>决定</w:t>
      </w:r>
      <w:r>
        <w:rPr>
          <w:rFonts w:hint="eastAsia" w:ascii="仿宋" w:hAnsi="仿宋" w:eastAsia="仿宋" w:cs="仿宋"/>
          <w:sz w:val="32"/>
          <w:szCs w:val="32"/>
          <w:lang w:eastAsia="zh-CN"/>
        </w:rPr>
        <w:t>你（单位）</w:t>
      </w:r>
      <w:r>
        <w:rPr>
          <w:rFonts w:hint="eastAsia" w:ascii="仿宋" w:hAnsi="仿宋" w:eastAsia="仿宋" w:cs="仿宋"/>
          <w:bCs/>
          <w:sz w:val="32"/>
          <w:szCs w:val="32"/>
          <w:lang w:eastAsia="zh-CN"/>
        </w:rPr>
        <w:t>从</w:t>
      </w:r>
      <w:r>
        <w:rPr>
          <w:rFonts w:hint="eastAsia" w:ascii="仿宋" w:hAnsi="仿宋" w:eastAsia="仿宋" w:cs="仿宋"/>
          <w:bCs/>
          <w:sz w:val="32"/>
          <w:szCs w:val="32"/>
        </w:rPr>
        <w:t>轻处罚如下：</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一）没收违法经营的食品：</w:t>
      </w:r>
      <w:r>
        <w:rPr>
          <w:rFonts w:hint="eastAsia" w:ascii="仿宋" w:hAnsi="仿宋" w:eastAsia="仿宋" w:cs="仿宋"/>
          <w:sz w:val="32"/>
          <w:szCs w:val="32"/>
          <w:lang w:val="en-US" w:eastAsia="zh-CN"/>
        </w:rPr>
        <w:t>“三湘古镇”泡椒素牛柳1包</w:t>
      </w:r>
      <w:r>
        <w:rPr>
          <w:rFonts w:hint="eastAsia" w:ascii="仿宋" w:hAnsi="仿宋" w:eastAsia="仿宋" w:cs="仿宋"/>
          <w:color w:val="000000"/>
          <w:sz w:val="32"/>
          <w:szCs w:val="32"/>
          <w:lang w:eastAsia="zh-CN"/>
        </w:rPr>
        <w:t>（规格净含量</w:t>
      </w:r>
      <w:r>
        <w:rPr>
          <w:rFonts w:hint="eastAsia" w:ascii="仿宋" w:hAnsi="仿宋" w:eastAsia="仿宋" w:cs="仿宋"/>
          <w:color w:val="000000"/>
          <w:sz w:val="32"/>
          <w:szCs w:val="32"/>
          <w:lang w:val="en-US" w:eastAsia="zh-CN"/>
        </w:rPr>
        <w:t>150克/包，产品上标注生产日期2018年5月20日，保质</w:t>
      </w:r>
    </w:p>
    <w:p>
      <w:pPr>
        <w:keepNext w:val="0"/>
        <w:keepLines w:val="0"/>
        <w:pageBreakBefore w:val="0"/>
        <w:widowControl/>
        <w:numPr>
          <w:ilvl w:val="0"/>
          <w:numId w:val="0"/>
        </w:numPr>
        <w:kinsoku/>
        <w:wordWrap/>
        <w:overflowPunct/>
        <w:topLinePunct w:val="0"/>
        <w:autoSpaceDE/>
        <w:autoSpaceDN/>
        <w:bidi w:val="0"/>
        <w:adjustRightInd/>
        <w:snapToGrid/>
        <w:spacing w:line="480" w:lineRule="auto"/>
        <w:ind w:right="0" w:rightChars="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期120天）、</w:t>
      </w:r>
      <w:r>
        <w:rPr>
          <w:rFonts w:hint="eastAsia" w:ascii="仿宋" w:hAnsi="仿宋" w:eastAsia="仿宋" w:cs="仿宋"/>
          <w:sz w:val="32"/>
          <w:szCs w:val="32"/>
          <w:lang w:val="en-US" w:eastAsia="zh-CN"/>
        </w:rPr>
        <w:t>“三湘古镇”泡椒鱼翅5包</w:t>
      </w:r>
      <w:r>
        <w:rPr>
          <w:rFonts w:hint="eastAsia" w:ascii="仿宋" w:hAnsi="仿宋" w:eastAsia="仿宋" w:cs="仿宋"/>
          <w:color w:val="000000"/>
          <w:sz w:val="32"/>
          <w:szCs w:val="32"/>
          <w:lang w:eastAsia="zh-CN"/>
        </w:rPr>
        <w:t>（规格净含量</w:t>
      </w:r>
      <w:r>
        <w:rPr>
          <w:rFonts w:hint="eastAsia" w:ascii="仿宋" w:hAnsi="仿宋" w:eastAsia="仿宋" w:cs="仿宋"/>
          <w:color w:val="000000"/>
          <w:sz w:val="32"/>
          <w:szCs w:val="32"/>
          <w:lang w:val="en-US" w:eastAsia="zh-CN"/>
        </w:rPr>
        <w:t>150克/</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ind w:leftChars="200" w:right="0" w:rightChars="0"/>
        <w:jc w:val="left"/>
        <w:textAlignment w:val="auto"/>
        <w:rPr>
          <w:rFonts w:hint="eastAsia" w:ascii="仿宋" w:hAnsi="仿宋" w:eastAsia="仿宋" w:cs="仿宋"/>
          <w:color w:val="000000"/>
          <w:sz w:val="32"/>
          <w:szCs w:val="32"/>
          <w:lang w:eastAsia="zh-CN"/>
        </w:rPr>
      </w:pP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2891" w:firstLineChars="900"/>
        <w:jc w:val="both"/>
        <w:textAlignment w:val="auto"/>
        <w:outlineLvl w:val="9"/>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 w:val="24"/>
          <w:szCs w:val="24"/>
        </w:rPr>
      </w:pPr>
      <w:r>
        <w:rPr>
          <w:rFonts w:ascii="仿宋_GB2312" w:hAnsi="Arial" w:eastAsia="仿宋_GB2312" w:cs="Arial"/>
          <w:color w:val="000000"/>
          <w:szCs w:val="21"/>
        </w:rPr>
        <mc:AlternateContent>
          <mc:Choice Requires="wps">
            <w:drawing>
              <wp:anchor distT="0" distB="0" distL="114300" distR="114300" simplePos="0" relativeHeight="251749376" behindDoc="0" locked="0" layoutInCell="1" allowOverlap="1">
                <wp:simplePos x="0" y="0"/>
                <wp:positionH relativeFrom="column">
                  <wp:posOffset>-66675</wp:posOffset>
                </wp:positionH>
                <wp:positionV relativeFrom="paragraph">
                  <wp:posOffset>340995</wp:posOffset>
                </wp:positionV>
                <wp:extent cx="5615940" cy="635"/>
                <wp:effectExtent l="0" t="0" r="0" b="0"/>
                <wp:wrapNone/>
                <wp:docPr id="3" name="直线 7"/>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25pt;margin-top:26.85pt;height:0.05pt;width:442.2pt;z-index:251749376;mso-width-relative:page;mso-height-relative:page;" filled="f" stroked="t" coordsize="21600,21600" o:gfxdata="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8wWANcAAAAJAQAADwAAAAAAAAABACAAAAAiAAAA&#10;ZHJzL2Rvd25yZXYueG1sUEsBAhQAFAAAAAgAh07iQBNwmAjPAQAAkAMAAA4AAAAAAAAAAQAgAAAA&#10;JgEAAGRycy9lMm9Eb2MueG1sUEsFBgAAAAAGAAYAWQEAAGcFA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96</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5</w:t>
      </w:r>
      <w:r>
        <w:rPr>
          <w:rFonts w:hint="eastAsia" w:ascii="仿宋_GB2312" w:hAnsi="仿宋" w:eastAsia="仿宋_GB2312"/>
          <w:color w:val="000000"/>
          <w:kern w:val="0"/>
          <w:sz w:val="28"/>
          <w:szCs w:val="28"/>
        </w:rPr>
        <w:t>页  共</w:t>
      </w:r>
      <w:r>
        <w:rPr>
          <w:rFonts w:hint="eastAsia" w:ascii="仿宋_GB2312" w:hAnsi="仿宋" w:eastAsia="仿宋_GB2312"/>
          <w:color w:val="000000"/>
          <w:kern w:val="0"/>
          <w:sz w:val="28"/>
          <w:szCs w:val="28"/>
          <w:lang w:val="en-US" w:eastAsia="zh-CN"/>
        </w:rPr>
        <w:t>5</w:t>
      </w:r>
      <w:r>
        <w:rPr>
          <w:rFonts w:hint="eastAsia" w:ascii="仿宋_GB2312" w:hAnsi="仿宋" w:eastAsia="仿宋_GB2312"/>
          <w:color w:val="000000"/>
          <w:kern w:val="0"/>
          <w:sz w:val="28"/>
          <w:szCs w:val="28"/>
        </w:rPr>
        <w:t>页</w:t>
      </w:r>
    </w:p>
    <w:p>
      <w:pPr>
        <w:keepNext w:val="0"/>
        <w:keepLines w:val="0"/>
        <w:pageBreakBefore w:val="0"/>
        <w:widowControl/>
        <w:numPr>
          <w:ilvl w:val="0"/>
          <w:numId w:val="0"/>
        </w:numPr>
        <w:kinsoku/>
        <w:wordWrap/>
        <w:overflowPunct/>
        <w:topLinePunct w:val="0"/>
        <w:autoSpaceDE/>
        <w:autoSpaceDN/>
        <w:bidi w:val="0"/>
        <w:adjustRightInd/>
        <w:snapToGrid/>
        <w:spacing w:line="480" w:lineRule="auto"/>
        <w:ind w:right="0" w:rightChars="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包，产品身上标注生产日期2018年4月12日，保质期120天）；</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二）没收违法所得</w:t>
      </w:r>
      <w:r>
        <w:rPr>
          <w:rFonts w:hint="eastAsia" w:ascii="仿宋" w:hAnsi="仿宋" w:eastAsia="仿宋" w:cs="仿宋"/>
          <w:color w:val="000000"/>
          <w:sz w:val="32"/>
          <w:szCs w:val="32"/>
          <w:lang w:val="en-US" w:eastAsia="zh-CN"/>
        </w:rPr>
        <w:t>11.4元；（三）</w:t>
      </w:r>
      <w:r>
        <w:rPr>
          <w:rFonts w:hint="eastAsia" w:ascii="仿宋" w:hAnsi="仿宋" w:eastAsia="仿宋" w:cs="仿宋"/>
          <w:bCs/>
          <w:sz w:val="32"/>
          <w:szCs w:val="32"/>
          <w:lang w:val="en-US" w:eastAsia="zh-CN"/>
        </w:rPr>
        <w:t>处50</w:t>
      </w:r>
      <w:r>
        <w:rPr>
          <w:rFonts w:hint="eastAsia" w:ascii="仿宋" w:hAnsi="仿宋" w:eastAsia="仿宋" w:cs="仿宋"/>
          <w:bCs/>
          <w:sz w:val="32"/>
          <w:szCs w:val="32"/>
        </w:rPr>
        <w:t>000元罚款。</w:t>
      </w:r>
      <w:r>
        <w:rPr>
          <w:rFonts w:hint="eastAsia" w:ascii="仿宋" w:hAnsi="仿宋" w:eastAsia="仿宋" w:cs="仿宋"/>
          <w:bCs/>
          <w:color w:val="000000"/>
          <w:sz w:val="32"/>
          <w:szCs w:val="32"/>
        </w:rPr>
        <w:t xml:space="preserve"> </w:t>
      </w:r>
    </w:p>
    <w:p>
      <w:pPr>
        <w:keepNext w:val="0"/>
        <w:keepLines w:val="0"/>
        <w:pageBreakBefore w:val="0"/>
        <w:kinsoku/>
        <w:wordWrap/>
        <w:overflowPunct/>
        <w:topLinePunct w:val="0"/>
        <w:bidi w:val="0"/>
        <w:adjustRightInd w:val="0"/>
        <w:snapToGrid/>
        <w:spacing w:line="480" w:lineRule="auto"/>
        <w:ind w:left="0" w:leftChars="0"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sz w:val="32"/>
          <w:szCs w:val="32"/>
        </w:rPr>
        <w:t>请你单位在接到本处罚决定书之日起15日内将罚没款缴到广州市非税收入缴款通知书</w:t>
      </w:r>
      <w:r>
        <w:rPr>
          <w:rFonts w:hint="eastAsia" w:ascii="仿宋" w:hAnsi="仿宋" w:eastAsia="仿宋" w:cs="仿宋"/>
          <w:sz w:val="32"/>
          <w:szCs w:val="32"/>
        </w:rPr>
        <w:t>上指定的</w:t>
      </w:r>
      <w:r>
        <w:rPr>
          <w:rFonts w:hint="eastAsia" w:ascii="仿宋" w:hAnsi="仿宋" w:eastAsia="仿宋" w:cs="仿宋"/>
          <w:color w:val="000000"/>
          <w:kern w:val="0"/>
          <w:sz w:val="32"/>
          <w:szCs w:val="32"/>
        </w:rPr>
        <w:t>银行。逾期不缴纳罚没款的，根据《中华人民共和国行政处罚法》第五十一条第一项的规定，每日按罚款数额的3%加处罚款，并将依法申请人民法</w:t>
      </w:r>
    </w:p>
    <w:p>
      <w:pPr>
        <w:keepNext w:val="0"/>
        <w:keepLines w:val="0"/>
        <w:pageBreakBefore w:val="0"/>
        <w:kinsoku/>
        <w:wordWrap/>
        <w:overflowPunct/>
        <w:topLinePunct w:val="0"/>
        <w:bidi w:val="0"/>
        <w:adjustRightInd w:val="0"/>
        <w:snapToGrid/>
        <w:spacing w:line="480" w:lineRule="auto"/>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院强制执行。</w:t>
      </w:r>
    </w:p>
    <w:p>
      <w:pPr>
        <w:pStyle w:val="7"/>
        <w:keepNext w:val="0"/>
        <w:keepLines w:val="0"/>
        <w:pageBreakBefore w:val="0"/>
        <w:kinsoku/>
        <w:wordWrap/>
        <w:overflowPunct/>
        <w:topLinePunct w:val="0"/>
        <w:bidi w:val="0"/>
        <w:snapToGrid/>
        <w:spacing w:before="0" w:after="0" w:line="480" w:lineRule="auto"/>
        <w:ind w:left="0" w:leftChars="0"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如不服本处罚决定，可在接到本处罚决定书之日起60日内向广州市食品药品监督管理局或者广州市增城区人民政府申请行政复议，复议机关地址和电话分别为广州市荔湾区彭城东路</w:t>
      </w:r>
    </w:p>
    <w:p>
      <w:pPr>
        <w:pStyle w:val="7"/>
        <w:keepNext w:val="0"/>
        <w:keepLines w:val="0"/>
        <w:pageBreakBefore w:val="0"/>
        <w:kinsoku/>
        <w:wordWrap/>
        <w:overflowPunct/>
        <w:topLinePunct w:val="0"/>
        <w:bidi w:val="0"/>
        <w:snapToGrid/>
        <w:spacing w:before="0" w:after="0" w:line="480" w:lineRule="auto"/>
        <w:ind w:left="0" w:leftChars="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16号、81743215和广州市增城区荔城街惠民路1号426室、</w:t>
      </w:r>
    </w:p>
    <w:p>
      <w:pPr>
        <w:keepNext w:val="0"/>
        <w:keepLines w:val="0"/>
        <w:pageBreakBefore w:val="0"/>
        <w:kinsoku/>
        <w:wordWrap/>
        <w:overflowPunct/>
        <w:topLinePunct w:val="0"/>
        <w:autoSpaceDE/>
        <w:autoSpaceDN/>
        <w:bidi w:val="0"/>
        <w:adjustRightInd w:val="0"/>
        <w:snapToGrid/>
        <w:spacing w:line="480" w:lineRule="auto"/>
        <w:ind w:left="0" w:leftChars="0" w:right="0" w:rightChars="0"/>
        <w:jc w:val="both"/>
        <w:textAlignment w:val="auto"/>
        <w:outlineLvl w:val="9"/>
        <w:rPr>
          <w:rFonts w:hint="eastAsia" w:ascii="仿宋" w:hAnsi="仿宋" w:eastAsia="仿宋" w:cs="仿宋"/>
          <w:b/>
          <w:color w:val="000000"/>
          <w:sz w:val="32"/>
          <w:szCs w:val="32"/>
        </w:rPr>
      </w:pPr>
      <w:r>
        <w:rPr>
          <w:rFonts w:hint="eastAsia" w:ascii="仿宋" w:hAnsi="仿宋" w:eastAsia="仿宋" w:cs="仿宋"/>
          <w:color w:val="000000"/>
          <w:sz w:val="32"/>
          <w:szCs w:val="32"/>
        </w:rPr>
        <w:t>32829072，也可以于6个月内依法向广州铁路运输第一法院提</w:t>
      </w:r>
    </w:p>
    <w:p>
      <w:pPr>
        <w:pStyle w:val="7"/>
        <w:keepNext w:val="0"/>
        <w:keepLines w:val="0"/>
        <w:pageBreakBefore w:val="0"/>
        <w:kinsoku/>
        <w:wordWrap/>
        <w:overflowPunct/>
        <w:topLinePunct w:val="0"/>
        <w:bidi w:val="0"/>
        <w:snapToGrid/>
        <w:spacing w:before="0" w:after="0" w:line="480" w:lineRule="auto"/>
        <w:ind w:left="0" w:leftChars="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sz w:val="32"/>
          <w:szCs w:val="32"/>
        </w:rPr>
        <w:t>起行政诉讼。</w:t>
      </w:r>
      <w:r>
        <w:rPr>
          <w:rFonts w:hint="eastAsia" w:ascii="仿宋" w:hAnsi="仿宋" w:eastAsia="仿宋" w:cs="仿宋"/>
          <w:color w:val="000000"/>
          <w:kern w:val="0"/>
          <w:sz w:val="32"/>
          <w:szCs w:val="32"/>
        </w:rPr>
        <w:t xml:space="preserve">     </w:t>
      </w:r>
    </w:p>
    <w:p>
      <w:pPr>
        <w:pStyle w:val="7"/>
        <w:keepNext w:val="0"/>
        <w:keepLines w:val="0"/>
        <w:pageBreakBefore w:val="0"/>
        <w:kinsoku/>
        <w:wordWrap/>
        <w:overflowPunct/>
        <w:topLinePunct w:val="0"/>
        <w:bidi w:val="0"/>
        <w:snapToGrid/>
        <w:spacing w:before="0" w:after="0" w:line="480" w:lineRule="auto"/>
        <w:ind w:left="0" w:leftChars="0"/>
        <w:jc w:val="left"/>
        <w:textAlignment w:val="auto"/>
        <w:outlineLvl w:val="9"/>
        <w:rPr>
          <w:rFonts w:hint="eastAsia" w:ascii="仿宋" w:hAnsi="仿宋" w:eastAsia="仿宋" w:cs="仿宋"/>
          <w:color w:val="000000"/>
          <w:kern w:val="0"/>
          <w:sz w:val="32"/>
          <w:szCs w:val="32"/>
        </w:rPr>
      </w:pPr>
    </w:p>
    <w:p>
      <w:pPr>
        <w:pStyle w:val="7"/>
        <w:keepNext w:val="0"/>
        <w:keepLines w:val="0"/>
        <w:pageBreakBefore w:val="0"/>
        <w:kinsoku/>
        <w:wordWrap/>
        <w:overflowPunct/>
        <w:topLinePunct w:val="0"/>
        <w:bidi w:val="0"/>
        <w:snapToGrid/>
        <w:spacing w:before="0" w:after="0" w:line="500" w:lineRule="exact"/>
        <w:ind w:left="0" w:leftChars="0"/>
        <w:jc w:val="left"/>
        <w:textAlignment w:val="auto"/>
        <w:outlineLvl w:val="9"/>
        <w:rPr>
          <w:rFonts w:hint="eastAsia" w:ascii="仿宋" w:hAnsi="仿宋" w:eastAsia="仿宋" w:cs="仿宋"/>
          <w:color w:val="000000"/>
          <w:kern w:val="0"/>
          <w:sz w:val="32"/>
          <w:szCs w:val="32"/>
        </w:rPr>
      </w:pPr>
    </w:p>
    <w:p>
      <w:pPr>
        <w:keepNext w:val="0"/>
        <w:keepLines w:val="0"/>
        <w:pageBreakBefore w:val="0"/>
        <w:widowControl/>
        <w:kinsoku/>
        <w:wordWrap/>
        <w:overflowPunct/>
        <w:topLinePunct w:val="0"/>
        <w:bidi w:val="0"/>
        <w:snapToGrid/>
        <w:spacing w:line="500" w:lineRule="exact"/>
        <w:jc w:val="left"/>
        <w:textAlignment w:val="auto"/>
        <w:outlineLvl w:val="9"/>
        <w:rPr>
          <w:rFonts w:hint="eastAsia" w:ascii="仿宋" w:hAnsi="仿宋" w:eastAsia="仿宋" w:cs="仿宋"/>
          <w:color w:val="000000"/>
          <w:kern w:val="0"/>
          <w:sz w:val="32"/>
          <w:szCs w:val="32"/>
        </w:rPr>
      </w:pPr>
    </w:p>
    <w:p>
      <w:pPr>
        <w:keepNext w:val="0"/>
        <w:keepLines w:val="0"/>
        <w:pageBreakBefore w:val="0"/>
        <w:widowControl/>
        <w:kinsoku/>
        <w:wordWrap/>
        <w:overflowPunct/>
        <w:topLinePunct w:val="0"/>
        <w:bidi w:val="0"/>
        <w:snapToGrid/>
        <w:spacing w:line="500" w:lineRule="exact"/>
        <w:ind w:firstLine="3520" w:firstLineChars="11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广州市增城区食品药品监督管理局</w:t>
      </w:r>
    </w:p>
    <w:p>
      <w:pPr>
        <w:keepNext w:val="0"/>
        <w:keepLines w:val="0"/>
        <w:pageBreakBefore w:val="0"/>
        <w:widowControl/>
        <w:kinsoku/>
        <w:wordWrap/>
        <w:overflowPunct/>
        <w:topLinePunct w:val="0"/>
        <w:bidi w:val="0"/>
        <w:snapToGrid/>
        <w:spacing w:line="500" w:lineRule="exact"/>
        <w:ind w:left="0" w:leftChars="0" w:firstLine="4800" w:firstLineChars="1500"/>
        <w:jc w:val="left"/>
        <w:textAlignment w:val="auto"/>
        <w:outlineLvl w:val="9"/>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2018年 月 日</w:t>
      </w:r>
    </w:p>
    <w:p>
      <w:pPr>
        <w:keepNext w:val="0"/>
        <w:keepLines w:val="0"/>
        <w:pageBreakBefore w:val="0"/>
        <w:kinsoku/>
        <w:wordWrap/>
        <w:overflowPunct/>
        <w:topLinePunct w:val="0"/>
        <w:autoSpaceDE w:val="0"/>
        <w:autoSpaceDN w:val="0"/>
        <w:bidi w:val="0"/>
        <w:snapToGrid/>
        <w:spacing w:line="500" w:lineRule="exact"/>
        <w:ind w:left="0" w:leftChars="0" w:right="400"/>
        <w:jc w:val="center"/>
        <w:textAlignment w:val="auto"/>
        <w:rPr>
          <w:rFonts w:hint="eastAsia" w:ascii="仿宋_GB2312" w:hAnsi="仿宋_GB2312" w:eastAsia="仿宋_GB2312" w:cs="仿宋_GB2312"/>
          <w:color w:val="000000"/>
          <w:kern w:val="0"/>
          <w:sz w:val="24"/>
          <w:szCs w:val="24"/>
        </w:rPr>
      </w:pPr>
    </w:p>
    <w:sectPr>
      <w:headerReference r:id="rId3" w:type="default"/>
      <w:footerReference r:id="rId4" w:type="default"/>
      <w:pgSz w:w="11906" w:h="16838"/>
      <w:pgMar w:top="1440" w:right="1418" w:bottom="816" w:left="179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33813"/>
    <w:multiLevelType w:val="singleLevel"/>
    <w:tmpl w:val="AFC3381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8BF"/>
    <w:rsid w:val="00041B57"/>
    <w:rsid w:val="000477A9"/>
    <w:rsid w:val="00051C4E"/>
    <w:rsid w:val="00070A16"/>
    <w:rsid w:val="00091769"/>
    <w:rsid w:val="000A0226"/>
    <w:rsid w:val="000B213A"/>
    <w:rsid w:val="000D1110"/>
    <w:rsid w:val="00103DAE"/>
    <w:rsid w:val="00126D06"/>
    <w:rsid w:val="0015632D"/>
    <w:rsid w:val="00170831"/>
    <w:rsid w:val="001724F1"/>
    <w:rsid w:val="00172662"/>
    <w:rsid w:val="00172A27"/>
    <w:rsid w:val="00174A2E"/>
    <w:rsid w:val="00186E6C"/>
    <w:rsid w:val="00190F95"/>
    <w:rsid w:val="00196E84"/>
    <w:rsid w:val="001F61FC"/>
    <w:rsid w:val="00210CC1"/>
    <w:rsid w:val="00212A10"/>
    <w:rsid w:val="00214984"/>
    <w:rsid w:val="00242517"/>
    <w:rsid w:val="002509EA"/>
    <w:rsid w:val="00250C5A"/>
    <w:rsid w:val="002613FC"/>
    <w:rsid w:val="00271E8D"/>
    <w:rsid w:val="00294F73"/>
    <w:rsid w:val="00295E48"/>
    <w:rsid w:val="00297BFC"/>
    <w:rsid w:val="002A19EA"/>
    <w:rsid w:val="002A3D72"/>
    <w:rsid w:val="002E0939"/>
    <w:rsid w:val="002E1853"/>
    <w:rsid w:val="002F1423"/>
    <w:rsid w:val="00320D30"/>
    <w:rsid w:val="0033779E"/>
    <w:rsid w:val="00341E64"/>
    <w:rsid w:val="003424C4"/>
    <w:rsid w:val="0034382A"/>
    <w:rsid w:val="00347BA8"/>
    <w:rsid w:val="00350594"/>
    <w:rsid w:val="00354231"/>
    <w:rsid w:val="00355A0D"/>
    <w:rsid w:val="003A3AA8"/>
    <w:rsid w:val="003A57EE"/>
    <w:rsid w:val="003A7C0A"/>
    <w:rsid w:val="003B6508"/>
    <w:rsid w:val="003C2908"/>
    <w:rsid w:val="003C343C"/>
    <w:rsid w:val="003C796A"/>
    <w:rsid w:val="003E3219"/>
    <w:rsid w:val="00406B2B"/>
    <w:rsid w:val="00417A77"/>
    <w:rsid w:val="00454B1A"/>
    <w:rsid w:val="00466A34"/>
    <w:rsid w:val="00467C3A"/>
    <w:rsid w:val="0047064C"/>
    <w:rsid w:val="00470DB1"/>
    <w:rsid w:val="004A02DE"/>
    <w:rsid w:val="004B057C"/>
    <w:rsid w:val="004B635A"/>
    <w:rsid w:val="005003F4"/>
    <w:rsid w:val="00510C4A"/>
    <w:rsid w:val="005132B7"/>
    <w:rsid w:val="00517A45"/>
    <w:rsid w:val="00542650"/>
    <w:rsid w:val="005433B4"/>
    <w:rsid w:val="00557038"/>
    <w:rsid w:val="00575329"/>
    <w:rsid w:val="00590AA2"/>
    <w:rsid w:val="005A156D"/>
    <w:rsid w:val="005A2720"/>
    <w:rsid w:val="005B33E3"/>
    <w:rsid w:val="005B4DD5"/>
    <w:rsid w:val="005C74CA"/>
    <w:rsid w:val="005F3093"/>
    <w:rsid w:val="005F412D"/>
    <w:rsid w:val="005F6525"/>
    <w:rsid w:val="005F6961"/>
    <w:rsid w:val="00620B38"/>
    <w:rsid w:val="00630D1B"/>
    <w:rsid w:val="00645D72"/>
    <w:rsid w:val="006565F2"/>
    <w:rsid w:val="00682FE2"/>
    <w:rsid w:val="00685CAC"/>
    <w:rsid w:val="00692167"/>
    <w:rsid w:val="006A4A5B"/>
    <w:rsid w:val="006B78CB"/>
    <w:rsid w:val="006D2383"/>
    <w:rsid w:val="006D4FCF"/>
    <w:rsid w:val="006E3527"/>
    <w:rsid w:val="00732438"/>
    <w:rsid w:val="0073316A"/>
    <w:rsid w:val="0074054B"/>
    <w:rsid w:val="007502F7"/>
    <w:rsid w:val="00766C4C"/>
    <w:rsid w:val="007D2D20"/>
    <w:rsid w:val="00801522"/>
    <w:rsid w:val="00823ED8"/>
    <w:rsid w:val="00825718"/>
    <w:rsid w:val="0089247D"/>
    <w:rsid w:val="008A3410"/>
    <w:rsid w:val="008B4458"/>
    <w:rsid w:val="008E1D54"/>
    <w:rsid w:val="00901AFA"/>
    <w:rsid w:val="00915A2F"/>
    <w:rsid w:val="00934EC9"/>
    <w:rsid w:val="00966A89"/>
    <w:rsid w:val="00991A38"/>
    <w:rsid w:val="009C2121"/>
    <w:rsid w:val="009C3765"/>
    <w:rsid w:val="009C430F"/>
    <w:rsid w:val="00A04BFA"/>
    <w:rsid w:val="00A47DB0"/>
    <w:rsid w:val="00A828B8"/>
    <w:rsid w:val="00A836D6"/>
    <w:rsid w:val="00A944BF"/>
    <w:rsid w:val="00AA1B06"/>
    <w:rsid w:val="00AC01FA"/>
    <w:rsid w:val="00B05171"/>
    <w:rsid w:val="00B13FCC"/>
    <w:rsid w:val="00B16AB9"/>
    <w:rsid w:val="00B177AC"/>
    <w:rsid w:val="00B25CB0"/>
    <w:rsid w:val="00B57C34"/>
    <w:rsid w:val="00B65E42"/>
    <w:rsid w:val="00B6624F"/>
    <w:rsid w:val="00B7799A"/>
    <w:rsid w:val="00B8083B"/>
    <w:rsid w:val="00B850CF"/>
    <w:rsid w:val="00B97D3B"/>
    <w:rsid w:val="00BA4365"/>
    <w:rsid w:val="00BA606B"/>
    <w:rsid w:val="00BC1BE5"/>
    <w:rsid w:val="00BC1CA9"/>
    <w:rsid w:val="00BD7D03"/>
    <w:rsid w:val="00BF181D"/>
    <w:rsid w:val="00C23FBA"/>
    <w:rsid w:val="00C31414"/>
    <w:rsid w:val="00C50B19"/>
    <w:rsid w:val="00C65800"/>
    <w:rsid w:val="00CA45EC"/>
    <w:rsid w:val="00CC7A9F"/>
    <w:rsid w:val="00CD0472"/>
    <w:rsid w:val="00D16E3A"/>
    <w:rsid w:val="00D33028"/>
    <w:rsid w:val="00D34A26"/>
    <w:rsid w:val="00D43501"/>
    <w:rsid w:val="00D50CCF"/>
    <w:rsid w:val="00DC20B7"/>
    <w:rsid w:val="00E11A4D"/>
    <w:rsid w:val="00E43ACC"/>
    <w:rsid w:val="00E77F43"/>
    <w:rsid w:val="00E95B02"/>
    <w:rsid w:val="00EA4DD5"/>
    <w:rsid w:val="00EC211C"/>
    <w:rsid w:val="00EE02C1"/>
    <w:rsid w:val="00F0063A"/>
    <w:rsid w:val="00F03668"/>
    <w:rsid w:val="00F16439"/>
    <w:rsid w:val="00F20057"/>
    <w:rsid w:val="00F2659A"/>
    <w:rsid w:val="00F324AA"/>
    <w:rsid w:val="00F47E15"/>
    <w:rsid w:val="00F51FDC"/>
    <w:rsid w:val="00F605E2"/>
    <w:rsid w:val="00F81037"/>
    <w:rsid w:val="00FA494B"/>
    <w:rsid w:val="00FA5DA7"/>
    <w:rsid w:val="00FB2D28"/>
    <w:rsid w:val="00FC1960"/>
    <w:rsid w:val="00FC2486"/>
    <w:rsid w:val="00FD1645"/>
    <w:rsid w:val="00FD19A6"/>
    <w:rsid w:val="00FD4865"/>
    <w:rsid w:val="00FD670C"/>
    <w:rsid w:val="00FF5F12"/>
    <w:rsid w:val="013633C7"/>
    <w:rsid w:val="013D4F27"/>
    <w:rsid w:val="0178323D"/>
    <w:rsid w:val="01971FC8"/>
    <w:rsid w:val="01A06A27"/>
    <w:rsid w:val="01AF79BA"/>
    <w:rsid w:val="01CB7561"/>
    <w:rsid w:val="0218517A"/>
    <w:rsid w:val="02391FCE"/>
    <w:rsid w:val="02477024"/>
    <w:rsid w:val="02802A0F"/>
    <w:rsid w:val="02825F75"/>
    <w:rsid w:val="02886966"/>
    <w:rsid w:val="029516ED"/>
    <w:rsid w:val="02CF7423"/>
    <w:rsid w:val="02DB461A"/>
    <w:rsid w:val="02E27DE3"/>
    <w:rsid w:val="03087D78"/>
    <w:rsid w:val="032022A3"/>
    <w:rsid w:val="03815E9D"/>
    <w:rsid w:val="03A80498"/>
    <w:rsid w:val="03AD0DA5"/>
    <w:rsid w:val="03ED2C0E"/>
    <w:rsid w:val="04393B54"/>
    <w:rsid w:val="047643D4"/>
    <w:rsid w:val="05221ADE"/>
    <w:rsid w:val="057D772B"/>
    <w:rsid w:val="058B6879"/>
    <w:rsid w:val="059F569A"/>
    <w:rsid w:val="05BB3157"/>
    <w:rsid w:val="05BC1176"/>
    <w:rsid w:val="05C55370"/>
    <w:rsid w:val="05C84768"/>
    <w:rsid w:val="05C94EB1"/>
    <w:rsid w:val="05F955E5"/>
    <w:rsid w:val="06295B57"/>
    <w:rsid w:val="0641448A"/>
    <w:rsid w:val="065370E5"/>
    <w:rsid w:val="065D21A5"/>
    <w:rsid w:val="0662439A"/>
    <w:rsid w:val="069C26A8"/>
    <w:rsid w:val="07194579"/>
    <w:rsid w:val="071A79E0"/>
    <w:rsid w:val="07DF78D7"/>
    <w:rsid w:val="080C72A7"/>
    <w:rsid w:val="08426752"/>
    <w:rsid w:val="089772C3"/>
    <w:rsid w:val="08B604FF"/>
    <w:rsid w:val="090A4EA7"/>
    <w:rsid w:val="098055C4"/>
    <w:rsid w:val="09975595"/>
    <w:rsid w:val="09EF4349"/>
    <w:rsid w:val="0A722167"/>
    <w:rsid w:val="0C005F8E"/>
    <w:rsid w:val="0C546B0A"/>
    <w:rsid w:val="0C561423"/>
    <w:rsid w:val="0C5F5AA9"/>
    <w:rsid w:val="0C673795"/>
    <w:rsid w:val="0C692A8D"/>
    <w:rsid w:val="0C9203C4"/>
    <w:rsid w:val="0CFC2487"/>
    <w:rsid w:val="0D223459"/>
    <w:rsid w:val="0DAF607B"/>
    <w:rsid w:val="0DC62163"/>
    <w:rsid w:val="0E2777BF"/>
    <w:rsid w:val="0E68666F"/>
    <w:rsid w:val="0E930358"/>
    <w:rsid w:val="0EA6580A"/>
    <w:rsid w:val="0EBC5E77"/>
    <w:rsid w:val="0F231DA7"/>
    <w:rsid w:val="0F5077A7"/>
    <w:rsid w:val="0FED510B"/>
    <w:rsid w:val="102E03BD"/>
    <w:rsid w:val="10883750"/>
    <w:rsid w:val="112D589C"/>
    <w:rsid w:val="114106CD"/>
    <w:rsid w:val="114572C2"/>
    <w:rsid w:val="11747855"/>
    <w:rsid w:val="11F72DE8"/>
    <w:rsid w:val="122A2978"/>
    <w:rsid w:val="123F53CA"/>
    <w:rsid w:val="1280062C"/>
    <w:rsid w:val="12A60323"/>
    <w:rsid w:val="12B227C6"/>
    <w:rsid w:val="12B920FA"/>
    <w:rsid w:val="12E12BD0"/>
    <w:rsid w:val="12F437E4"/>
    <w:rsid w:val="14136074"/>
    <w:rsid w:val="147305E8"/>
    <w:rsid w:val="147E086B"/>
    <w:rsid w:val="14C54A0C"/>
    <w:rsid w:val="14EA1FBD"/>
    <w:rsid w:val="154E515E"/>
    <w:rsid w:val="15E004C7"/>
    <w:rsid w:val="15E95DF4"/>
    <w:rsid w:val="15EC4689"/>
    <w:rsid w:val="15F368CF"/>
    <w:rsid w:val="160C3CB7"/>
    <w:rsid w:val="16160B12"/>
    <w:rsid w:val="166D15A4"/>
    <w:rsid w:val="168B1483"/>
    <w:rsid w:val="173155B2"/>
    <w:rsid w:val="1733434A"/>
    <w:rsid w:val="17923D42"/>
    <w:rsid w:val="179706CB"/>
    <w:rsid w:val="17D053D4"/>
    <w:rsid w:val="181131D1"/>
    <w:rsid w:val="18220E45"/>
    <w:rsid w:val="182A54EC"/>
    <w:rsid w:val="189F7F07"/>
    <w:rsid w:val="18D94C5F"/>
    <w:rsid w:val="18E862CE"/>
    <w:rsid w:val="192330EA"/>
    <w:rsid w:val="193757EC"/>
    <w:rsid w:val="198773B8"/>
    <w:rsid w:val="19C409B4"/>
    <w:rsid w:val="19F34609"/>
    <w:rsid w:val="19FB68D9"/>
    <w:rsid w:val="1A0D3A4C"/>
    <w:rsid w:val="1A2B0FAE"/>
    <w:rsid w:val="1A580620"/>
    <w:rsid w:val="1ABA004E"/>
    <w:rsid w:val="1AF756C7"/>
    <w:rsid w:val="1B046969"/>
    <w:rsid w:val="1B320257"/>
    <w:rsid w:val="1BA73255"/>
    <w:rsid w:val="1BDB151A"/>
    <w:rsid w:val="1C264DEB"/>
    <w:rsid w:val="1C6228C9"/>
    <w:rsid w:val="1C8F05E5"/>
    <w:rsid w:val="1CBA113D"/>
    <w:rsid w:val="1D3B4054"/>
    <w:rsid w:val="1DF724B9"/>
    <w:rsid w:val="1EA4154A"/>
    <w:rsid w:val="1EAD6E69"/>
    <w:rsid w:val="1EE33567"/>
    <w:rsid w:val="1EF5125B"/>
    <w:rsid w:val="1F3B7FDC"/>
    <w:rsid w:val="1F68620B"/>
    <w:rsid w:val="1F7A385B"/>
    <w:rsid w:val="1FC75560"/>
    <w:rsid w:val="1FDF390C"/>
    <w:rsid w:val="202C0CE4"/>
    <w:rsid w:val="20480EC3"/>
    <w:rsid w:val="204975D7"/>
    <w:rsid w:val="207A57BE"/>
    <w:rsid w:val="209A6AAE"/>
    <w:rsid w:val="20C22698"/>
    <w:rsid w:val="20E03407"/>
    <w:rsid w:val="20E7427C"/>
    <w:rsid w:val="20F51A46"/>
    <w:rsid w:val="213F235B"/>
    <w:rsid w:val="21466F91"/>
    <w:rsid w:val="215F0C4D"/>
    <w:rsid w:val="216475C5"/>
    <w:rsid w:val="21CC50FF"/>
    <w:rsid w:val="22353210"/>
    <w:rsid w:val="22BD58AC"/>
    <w:rsid w:val="22D54E41"/>
    <w:rsid w:val="22E7441C"/>
    <w:rsid w:val="22FC4D64"/>
    <w:rsid w:val="233C6E0F"/>
    <w:rsid w:val="2350311B"/>
    <w:rsid w:val="237D7884"/>
    <w:rsid w:val="23A77FCC"/>
    <w:rsid w:val="24784F98"/>
    <w:rsid w:val="24F604C2"/>
    <w:rsid w:val="25056C70"/>
    <w:rsid w:val="252234CE"/>
    <w:rsid w:val="25323B46"/>
    <w:rsid w:val="256320EA"/>
    <w:rsid w:val="256632F4"/>
    <w:rsid w:val="2579439E"/>
    <w:rsid w:val="26071651"/>
    <w:rsid w:val="261D013D"/>
    <w:rsid w:val="26417AF9"/>
    <w:rsid w:val="264A2CED"/>
    <w:rsid w:val="26961581"/>
    <w:rsid w:val="26961B3D"/>
    <w:rsid w:val="26E261E0"/>
    <w:rsid w:val="27082387"/>
    <w:rsid w:val="272851AB"/>
    <w:rsid w:val="272F6E90"/>
    <w:rsid w:val="27546272"/>
    <w:rsid w:val="27D63795"/>
    <w:rsid w:val="288C18E4"/>
    <w:rsid w:val="28AB32E5"/>
    <w:rsid w:val="28BC6FB5"/>
    <w:rsid w:val="28EC6D10"/>
    <w:rsid w:val="291679FD"/>
    <w:rsid w:val="293B6D8B"/>
    <w:rsid w:val="294523FD"/>
    <w:rsid w:val="29D205C1"/>
    <w:rsid w:val="29F0601A"/>
    <w:rsid w:val="2A1A573E"/>
    <w:rsid w:val="2A382D76"/>
    <w:rsid w:val="2A5B3CD7"/>
    <w:rsid w:val="2AD26003"/>
    <w:rsid w:val="2B2A133A"/>
    <w:rsid w:val="2B421474"/>
    <w:rsid w:val="2B952CA0"/>
    <w:rsid w:val="2BE74986"/>
    <w:rsid w:val="2C2771A0"/>
    <w:rsid w:val="2C3D24A1"/>
    <w:rsid w:val="2C7D2766"/>
    <w:rsid w:val="2C8B3963"/>
    <w:rsid w:val="2CAA10EC"/>
    <w:rsid w:val="2CC54C6F"/>
    <w:rsid w:val="2CD701C5"/>
    <w:rsid w:val="2CEA4E6A"/>
    <w:rsid w:val="2D0933B4"/>
    <w:rsid w:val="2D833ED5"/>
    <w:rsid w:val="2DBC764F"/>
    <w:rsid w:val="2E333519"/>
    <w:rsid w:val="2E333D30"/>
    <w:rsid w:val="2E6656B4"/>
    <w:rsid w:val="2EF12D34"/>
    <w:rsid w:val="2EFA3816"/>
    <w:rsid w:val="2F6337D4"/>
    <w:rsid w:val="2F667951"/>
    <w:rsid w:val="2FA44A68"/>
    <w:rsid w:val="2FE370CF"/>
    <w:rsid w:val="30026C55"/>
    <w:rsid w:val="300400C6"/>
    <w:rsid w:val="301A6D0C"/>
    <w:rsid w:val="301F016E"/>
    <w:rsid w:val="30295AFB"/>
    <w:rsid w:val="307A6476"/>
    <w:rsid w:val="3084627D"/>
    <w:rsid w:val="30D81656"/>
    <w:rsid w:val="30E21B6E"/>
    <w:rsid w:val="30EF090F"/>
    <w:rsid w:val="30F1735E"/>
    <w:rsid w:val="310851C6"/>
    <w:rsid w:val="314C1543"/>
    <w:rsid w:val="31C22C53"/>
    <w:rsid w:val="31D85513"/>
    <w:rsid w:val="320E15BD"/>
    <w:rsid w:val="321A47FF"/>
    <w:rsid w:val="322A3EDD"/>
    <w:rsid w:val="32390B02"/>
    <w:rsid w:val="32871D3E"/>
    <w:rsid w:val="32AA7E70"/>
    <w:rsid w:val="32B81C5D"/>
    <w:rsid w:val="32B82ABA"/>
    <w:rsid w:val="32C44CAA"/>
    <w:rsid w:val="32D31DC3"/>
    <w:rsid w:val="32E45BB1"/>
    <w:rsid w:val="330E0F50"/>
    <w:rsid w:val="330F3FD0"/>
    <w:rsid w:val="3371686B"/>
    <w:rsid w:val="34871454"/>
    <w:rsid w:val="351211C5"/>
    <w:rsid w:val="351F6530"/>
    <w:rsid w:val="35777A47"/>
    <w:rsid w:val="357D59F0"/>
    <w:rsid w:val="3581522F"/>
    <w:rsid w:val="35826316"/>
    <w:rsid w:val="35B63E07"/>
    <w:rsid w:val="35BC507C"/>
    <w:rsid w:val="35D4601B"/>
    <w:rsid w:val="362C2C3B"/>
    <w:rsid w:val="367E655F"/>
    <w:rsid w:val="36CB0B16"/>
    <w:rsid w:val="371C21C3"/>
    <w:rsid w:val="371F6A8B"/>
    <w:rsid w:val="37BF4855"/>
    <w:rsid w:val="37E03CA5"/>
    <w:rsid w:val="38207737"/>
    <w:rsid w:val="38D54565"/>
    <w:rsid w:val="38FF1980"/>
    <w:rsid w:val="39142EA9"/>
    <w:rsid w:val="393A0EA0"/>
    <w:rsid w:val="39CC1515"/>
    <w:rsid w:val="3AE5214D"/>
    <w:rsid w:val="3AFA7FF3"/>
    <w:rsid w:val="3B1D500A"/>
    <w:rsid w:val="3B4170E0"/>
    <w:rsid w:val="3B653916"/>
    <w:rsid w:val="3BB47E6A"/>
    <w:rsid w:val="3C5B0786"/>
    <w:rsid w:val="3C7A1941"/>
    <w:rsid w:val="3CC40DFD"/>
    <w:rsid w:val="3D1B23DB"/>
    <w:rsid w:val="3D34068E"/>
    <w:rsid w:val="3D3A5AAB"/>
    <w:rsid w:val="3D496F05"/>
    <w:rsid w:val="3DAC5E2F"/>
    <w:rsid w:val="3E026E01"/>
    <w:rsid w:val="3E060311"/>
    <w:rsid w:val="3E0A7E38"/>
    <w:rsid w:val="3E7F533E"/>
    <w:rsid w:val="3E8313E1"/>
    <w:rsid w:val="3E891EE4"/>
    <w:rsid w:val="3ED2138E"/>
    <w:rsid w:val="3F023807"/>
    <w:rsid w:val="3F677C6C"/>
    <w:rsid w:val="3F681A7D"/>
    <w:rsid w:val="40040E07"/>
    <w:rsid w:val="40216BE5"/>
    <w:rsid w:val="4056227D"/>
    <w:rsid w:val="40C70D29"/>
    <w:rsid w:val="40F16A62"/>
    <w:rsid w:val="41096900"/>
    <w:rsid w:val="41150C8B"/>
    <w:rsid w:val="41BB2EE1"/>
    <w:rsid w:val="41FF1827"/>
    <w:rsid w:val="420F7381"/>
    <w:rsid w:val="42250281"/>
    <w:rsid w:val="4235051A"/>
    <w:rsid w:val="423D4BED"/>
    <w:rsid w:val="423E4438"/>
    <w:rsid w:val="42AA6EEB"/>
    <w:rsid w:val="42E70A3B"/>
    <w:rsid w:val="42FA0E43"/>
    <w:rsid w:val="432D2D6E"/>
    <w:rsid w:val="43825C02"/>
    <w:rsid w:val="43A221EF"/>
    <w:rsid w:val="43C046D6"/>
    <w:rsid w:val="43F23BF5"/>
    <w:rsid w:val="440F0471"/>
    <w:rsid w:val="4467081F"/>
    <w:rsid w:val="44692957"/>
    <w:rsid w:val="44925EFF"/>
    <w:rsid w:val="44D12396"/>
    <w:rsid w:val="44FD7551"/>
    <w:rsid w:val="45005576"/>
    <w:rsid w:val="457B6973"/>
    <w:rsid w:val="45B23666"/>
    <w:rsid w:val="45B956EE"/>
    <w:rsid w:val="46130083"/>
    <w:rsid w:val="46913392"/>
    <w:rsid w:val="46DB4468"/>
    <w:rsid w:val="46DE4F75"/>
    <w:rsid w:val="46E72624"/>
    <w:rsid w:val="477544C8"/>
    <w:rsid w:val="47A440E5"/>
    <w:rsid w:val="47AB7EA1"/>
    <w:rsid w:val="47B13824"/>
    <w:rsid w:val="485D5019"/>
    <w:rsid w:val="487C19F7"/>
    <w:rsid w:val="48896094"/>
    <w:rsid w:val="48901C6A"/>
    <w:rsid w:val="49003FBF"/>
    <w:rsid w:val="493F0F77"/>
    <w:rsid w:val="4947050D"/>
    <w:rsid w:val="49B6275A"/>
    <w:rsid w:val="4A0D77C9"/>
    <w:rsid w:val="4AD74252"/>
    <w:rsid w:val="4AF94D8A"/>
    <w:rsid w:val="4AFB4CA1"/>
    <w:rsid w:val="4B032863"/>
    <w:rsid w:val="4B68420E"/>
    <w:rsid w:val="4B735E3F"/>
    <w:rsid w:val="4BC67131"/>
    <w:rsid w:val="4BDE4F7C"/>
    <w:rsid w:val="4C110F07"/>
    <w:rsid w:val="4C6D0424"/>
    <w:rsid w:val="4C996B1F"/>
    <w:rsid w:val="4C9F3D8F"/>
    <w:rsid w:val="4CAC7576"/>
    <w:rsid w:val="4CE648A8"/>
    <w:rsid w:val="4D0E2826"/>
    <w:rsid w:val="4D5979A9"/>
    <w:rsid w:val="4D6C02F1"/>
    <w:rsid w:val="4DBC0BF4"/>
    <w:rsid w:val="4DF52BF6"/>
    <w:rsid w:val="4E362F06"/>
    <w:rsid w:val="4E4F5489"/>
    <w:rsid w:val="4EA21A45"/>
    <w:rsid w:val="4EA31467"/>
    <w:rsid w:val="4EEC7093"/>
    <w:rsid w:val="4F164B79"/>
    <w:rsid w:val="4F291F46"/>
    <w:rsid w:val="4F3D63A7"/>
    <w:rsid w:val="4F3F3AF0"/>
    <w:rsid w:val="4F6948B8"/>
    <w:rsid w:val="4F6C0575"/>
    <w:rsid w:val="4F866A06"/>
    <w:rsid w:val="4FAD28F3"/>
    <w:rsid w:val="4FB80C31"/>
    <w:rsid w:val="500132DA"/>
    <w:rsid w:val="50305887"/>
    <w:rsid w:val="50622A0D"/>
    <w:rsid w:val="50903291"/>
    <w:rsid w:val="50906A11"/>
    <w:rsid w:val="50B060A0"/>
    <w:rsid w:val="50B64E44"/>
    <w:rsid w:val="50C6298E"/>
    <w:rsid w:val="50CD5344"/>
    <w:rsid w:val="50D019FA"/>
    <w:rsid w:val="512E5246"/>
    <w:rsid w:val="51C041FC"/>
    <w:rsid w:val="51F56D6D"/>
    <w:rsid w:val="520D4AA9"/>
    <w:rsid w:val="52116759"/>
    <w:rsid w:val="524A4636"/>
    <w:rsid w:val="52727C4A"/>
    <w:rsid w:val="527973FB"/>
    <w:rsid w:val="528C3D00"/>
    <w:rsid w:val="52933A03"/>
    <w:rsid w:val="533D2212"/>
    <w:rsid w:val="536947CA"/>
    <w:rsid w:val="53C3602D"/>
    <w:rsid w:val="53DA0E43"/>
    <w:rsid w:val="53DA50C6"/>
    <w:rsid w:val="53E41547"/>
    <w:rsid w:val="53E91739"/>
    <w:rsid w:val="54553414"/>
    <w:rsid w:val="546223B4"/>
    <w:rsid w:val="546C4E62"/>
    <w:rsid w:val="54862EB5"/>
    <w:rsid w:val="54997CBD"/>
    <w:rsid w:val="54AE3328"/>
    <w:rsid w:val="54F24F18"/>
    <w:rsid w:val="553455B8"/>
    <w:rsid w:val="55C26F2D"/>
    <w:rsid w:val="55DB199B"/>
    <w:rsid w:val="567D477E"/>
    <w:rsid w:val="569545E8"/>
    <w:rsid w:val="56F01246"/>
    <w:rsid w:val="57072C74"/>
    <w:rsid w:val="571F30FD"/>
    <w:rsid w:val="57612EAF"/>
    <w:rsid w:val="577838ED"/>
    <w:rsid w:val="578B05A4"/>
    <w:rsid w:val="57A445A4"/>
    <w:rsid w:val="57CC6A03"/>
    <w:rsid w:val="57F661B0"/>
    <w:rsid w:val="580124CA"/>
    <w:rsid w:val="58270A93"/>
    <w:rsid w:val="58933BB8"/>
    <w:rsid w:val="589D4361"/>
    <w:rsid w:val="58BB196C"/>
    <w:rsid w:val="59421558"/>
    <w:rsid w:val="599042E4"/>
    <w:rsid w:val="59CC6BB7"/>
    <w:rsid w:val="59CD3496"/>
    <w:rsid w:val="59D53236"/>
    <w:rsid w:val="5A050210"/>
    <w:rsid w:val="5A2418DD"/>
    <w:rsid w:val="5A8768FD"/>
    <w:rsid w:val="5ADD3E25"/>
    <w:rsid w:val="5B1A76A3"/>
    <w:rsid w:val="5B4438A9"/>
    <w:rsid w:val="5B5E0386"/>
    <w:rsid w:val="5BD21E43"/>
    <w:rsid w:val="5BFE4CFD"/>
    <w:rsid w:val="5CC94FAF"/>
    <w:rsid w:val="5CDC2F76"/>
    <w:rsid w:val="5CEA044F"/>
    <w:rsid w:val="5CF61B75"/>
    <w:rsid w:val="5D036163"/>
    <w:rsid w:val="5D61352D"/>
    <w:rsid w:val="5D7D75A4"/>
    <w:rsid w:val="5D845F98"/>
    <w:rsid w:val="5DD001D4"/>
    <w:rsid w:val="5DEB476D"/>
    <w:rsid w:val="5E1A150F"/>
    <w:rsid w:val="5E230FA3"/>
    <w:rsid w:val="5E3A52E3"/>
    <w:rsid w:val="5E677562"/>
    <w:rsid w:val="5E6F4175"/>
    <w:rsid w:val="5EDB7048"/>
    <w:rsid w:val="5EED3509"/>
    <w:rsid w:val="5F2E6ADC"/>
    <w:rsid w:val="5F576B3A"/>
    <w:rsid w:val="5FB1229F"/>
    <w:rsid w:val="5FB260EF"/>
    <w:rsid w:val="5FBC42A2"/>
    <w:rsid w:val="5FD0005D"/>
    <w:rsid w:val="601B4847"/>
    <w:rsid w:val="60891A5B"/>
    <w:rsid w:val="609F2AD7"/>
    <w:rsid w:val="60BC251F"/>
    <w:rsid w:val="613244E0"/>
    <w:rsid w:val="61670C73"/>
    <w:rsid w:val="6186408C"/>
    <w:rsid w:val="61926854"/>
    <w:rsid w:val="61F07246"/>
    <w:rsid w:val="6261409C"/>
    <w:rsid w:val="62BE133E"/>
    <w:rsid w:val="62E33902"/>
    <w:rsid w:val="62FE3BAF"/>
    <w:rsid w:val="63192E26"/>
    <w:rsid w:val="636D26E2"/>
    <w:rsid w:val="63714D11"/>
    <w:rsid w:val="63B3264D"/>
    <w:rsid w:val="640E6E45"/>
    <w:rsid w:val="6468565F"/>
    <w:rsid w:val="64CF6CD4"/>
    <w:rsid w:val="656227B0"/>
    <w:rsid w:val="65720D7B"/>
    <w:rsid w:val="65CC1669"/>
    <w:rsid w:val="666745CF"/>
    <w:rsid w:val="666C4A9D"/>
    <w:rsid w:val="67182467"/>
    <w:rsid w:val="671A579A"/>
    <w:rsid w:val="671B56FD"/>
    <w:rsid w:val="689F789A"/>
    <w:rsid w:val="68A0525C"/>
    <w:rsid w:val="68DE2F09"/>
    <w:rsid w:val="69057F1C"/>
    <w:rsid w:val="692E5863"/>
    <w:rsid w:val="693E1C3F"/>
    <w:rsid w:val="694D1C1F"/>
    <w:rsid w:val="69637900"/>
    <w:rsid w:val="69832745"/>
    <w:rsid w:val="699A1B78"/>
    <w:rsid w:val="69B46FA9"/>
    <w:rsid w:val="69EB578B"/>
    <w:rsid w:val="6A393D21"/>
    <w:rsid w:val="6AF07F19"/>
    <w:rsid w:val="6B321ABC"/>
    <w:rsid w:val="6B40058A"/>
    <w:rsid w:val="6B4F4710"/>
    <w:rsid w:val="6B621AC0"/>
    <w:rsid w:val="6B7831D4"/>
    <w:rsid w:val="6B92046C"/>
    <w:rsid w:val="6C601764"/>
    <w:rsid w:val="6CEE1EE4"/>
    <w:rsid w:val="6CF171EC"/>
    <w:rsid w:val="6CF64E6A"/>
    <w:rsid w:val="6D2C0523"/>
    <w:rsid w:val="6D2C66D8"/>
    <w:rsid w:val="6D4A76FB"/>
    <w:rsid w:val="6DE6213D"/>
    <w:rsid w:val="6E04572D"/>
    <w:rsid w:val="6E0C40AE"/>
    <w:rsid w:val="6EA908CD"/>
    <w:rsid w:val="6EBC7FB2"/>
    <w:rsid w:val="6EE51274"/>
    <w:rsid w:val="6EFB0069"/>
    <w:rsid w:val="6F5A6EB2"/>
    <w:rsid w:val="6F9A2D5E"/>
    <w:rsid w:val="6FA847FF"/>
    <w:rsid w:val="6FD068FC"/>
    <w:rsid w:val="6FDA78EA"/>
    <w:rsid w:val="701A2F5D"/>
    <w:rsid w:val="707C3128"/>
    <w:rsid w:val="709F0092"/>
    <w:rsid w:val="710A63CD"/>
    <w:rsid w:val="711C6782"/>
    <w:rsid w:val="71821D0B"/>
    <w:rsid w:val="718F4F3E"/>
    <w:rsid w:val="72327CDB"/>
    <w:rsid w:val="723C57B5"/>
    <w:rsid w:val="7241752C"/>
    <w:rsid w:val="724F44DF"/>
    <w:rsid w:val="7274567D"/>
    <w:rsid w:val="729E35FC"/>
    <w:rsid w:val="72A234FC"/>
    <w:rsid w:val="72D70CE0"/>
    <w:rsid w:val="72F7706A"/>
    <w:rsid w:val="73486E96"/>
    <w:rsid w:val="734D7D71"/>
    <w:rsid w:val="739F4B94"/>
    <w:rsid w:val="73C2579C"/>
    <w:rsid w:val="73CE4081"/>
    <w:rsid w:val="742F06AC"/>
    <w:rsid w:val="74765578"/>
    <w:rsid w:val="748661E8"/>
    <w:rsid w:val="74A12A1B"/>
    <w:rsid w:val="74E02C25"/>
    <w:rsid w:val="751E4B58"/>
    <w:rsid w:val="75660390"/>
    <w:rsid w:val="75DD54A7"/>
    <w:rsid w:val="76100594"/>
    <w:rsid w:val="76EB1E00"/>
    <w:rsid w:val="77085216"/>
    <w:rsid w:val="771A4371"/>
    <w:rsid w:val="776053E3"/>
    <w:rsid w:val="77700299"/>
    <w:rsid w:val="77763558"/>
    <w:rsid w:val="77A7407D"/>
    <w:rsid w:val="77CA2AF5"/>
    <w:rsid w:val="77F74886"/>
    <w:rsid w:val="780250DD"/>
    <w:rsid w:val="780F2D15"/>
    <w:rsid w:val="7884120D"/>
    <w:rsid w:val="78AE47CF"/>
    <w:rsid w:val="78C83755"/>
    <w:rsid w:val="78CE4C87"/>
    <w:rsid w:val="78D04D56"/>
    <w:rsid w:val="798F6BFB"/>
    <w:rsid w:val="79BD4A0E"/>
    <w:rsid w:val="79D135DD"/>
    <w:rsid w:val="7A221D8A"/>
    <w:rsid w:val="7A294005"/>
    <w:rsid w:val="7A3B3EB8"/>
    <w:rsid w:val="7A7C24DB"/>
    <w:rsid w:val="7AB227E0"/>
    <w:rsid w:val="7AE27B0C"/>
    <w:rsid w:val="7B670CBF"/>
    <w:rsid w:val="7B8A27D8"/>
    <w:rsid w:val="7BB11A02"/>
    <w:rsid w:val="7BE53D9C"/>
    <w:rsid w:val="7BFD137B"/>
    <w:rsid w:val="7C1D37AB"/>
    <w:rsid w:val="7C1F5225"/>
    <w:rsid w:val="7C5A5F26"/>
    <w:rsid w:val="7C617C7F"/>
    <w:rsid w:val="7CDB66B6"/>
    <w:rsid w:val="7D016BDD"/>
    <w:rsid w:val="7D6D564A"/>
    <w:rsid w:val="7D6F24B7"/>
    <w:rsid w:val="7D75704D"/>
    <w:rsid w:val="7DAD6BD5"/>
    <w:rsid w:val="7DCC674D"/>
    <w:rsid w:val="7E2443F1"/>
    <w:rsid w:val="7EBD59E0"/>
    <w:rsid w:val="7EBE6E90"/>
    <w:rsid w:val="7EC715AB"/>
    <w:rsid w:val="7EEB07E2"/>
    <w:rsid w:val="7EF73F03"/>
    <w:rsid w:val="7F1725D2"/>
    <w:rsid w:val="7FA71941"/>
    <w:rsid w:val="7FAA4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customStyle="1" w:styleId="7">
    <w:name w:val="p17"/>
    <w:basedOn w:val="8"/>
    <w:qFormat/>
    <w:uiPriority w:val="0"/>
    <w:pPr>
      <w:widowControl/>
      <w:spacing w:before="100" w:after="100"/>
      <w:jc w:val="left"/>
    </w:pPr>
    <w:rPr>
      <w:rFonts w:ascii="宋体" w:hAnsi="宋体" w:cs="宋体"/>
      <w:kern w:val="0"/>
      <w:sz w:val="24"/>
      <w:szCs w:val="24"/>
    </w:rPr>
  </w:style>
  <w:style w:type="paragraph" w:customStyle="1" w:styleId="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5"/>
    <w:link w:val="3"/>
    <w:semiHidden/>
    <w:qFormat/>
    <w:uiPriority w:val="99"/>
    <w:rPr>
      <w:kern w:val="2"/>
      <w:sz w:val="18"/>
      <w:szCs w:val="18"/>
    </w:rPr>
  </w:style>
  <w:style w:type="character" w:customStyle="1" w:styleId="10">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245</Words>
  <Characters>1402</Characters>
  <Lines>11</Lines>
  <Paragraphs>3</Paragraphs>
  <TotalTime>0</TotalTime>
  <ScaleCrop>false</ScaleCrop>
  <LinksUpToDate>false</LinksUpToDate>
  <CharactersWithSpaces>1644</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2018-08-10T07:19:00Z</cp:lastPrinted>
  <dcterms:modified xsi:type="dcterms:W3CDTF">2018-12-29T09:19:34Z</dcterms:modified>
  <dc:title>食品药品行政处罚文书</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