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12</w:t>
      </w:r>
      <w:r>
        <w:rPr>
          <w:rFonts w:hint="eastAsia" w:ascii="仿宋_GB2312" w:hAnsi="仿宋" w:eastAsia="仿宋_GB2312"/>
          <w:color w:val="000000"/>
          <w:kern w:val="0"/>
          <w:sz w:val="20"/>
        </w:rPr>
        <w:t>号           第1页  共3页</w:t>
      </w:r>
    </w:p>
    <w:p>
      <w:pPr>
        <w:rPr>
          <w:rFonts w:ascii="仿宋_GB2312" w:hAnsi="仿宋_GB2312" w:eastAsia="仿宋_GB2312" w:cs="仿宋_GB2312"/>
          <w:bCs/>
          <w:color w:val="000000"/>
          <w:kern w:val="0"/>
          <w:sz w:val="32"/>
          <w:szCs w:val="32"/>
        </w:rPr>
      </w:pPr>
      <w:r>
        <w:rPr>
          <w:rFonts w:ascii="仿宋_GB2312" w:hAnsi="仿宋" w:eastAsia="仿宋_GB2312"/>
          <w:color w:val="000000"/>
          <w:sz w:val="32"/>
          <w:szCs w:val="32"/>
        </w:rPr>
        <w:pict>
          <v:line id="Line 2" o:spid="_x0000_s1026" o:spt="20" style="position:absolute;left:0pt;margin-left:0pt;margin-top:0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color w:val="000000"/>
          <w:kern w:val="0"/>
          <w:sz w:val="32"/>
          <w:szCs w:val="32"/>
        </w:rPr>
        <w:t>当事人：陈将子</w:t>
      </w:r>
    </w:p>
    <w:p>
      <w:pPr>
        <w:rPr>
          <w:rFonts w:hint="eastAsia" w:ascii="仿宋_GB2312" w:hAnsi="仿宋_GB2312" w:eastAsia="仿宋_GB2312" w:cs="仿宋_GB2312"/>
          <w:bCs/>
          <w:color w:val="000000"/>
          <w:kern w:val="0"/>
          <w:sz w:val="32"/>
          <w:szCs w:val="32"/>
          <w:lang w:val="en-US" w:eastAsia="zh-CN"/>
        </w:rPr>
      </w:pPr>
      <w:r>
        <w:rPr>
          <w:rFonts w:hint="eastAsia" w:ascii="仿宋_GB2312" w:hAnsi="仿宋_GB2312" w:eastAsia="仿宋_GB2312" w:cs="仿宋_GB2312"/>
          <w:bCs/>
          <w:color w:val="000000"/>
          <w:kern w:val="0"/>
          <w:sz w:val="32"/>
          <w:szCs w:val="32"/>
        </w:rPr>
        <w:t>身份证号码：</w:t>
      </w:r>
      <w:r>
        <w:rPr>
          <w:rFonts w:hint="eastAsia" w:ascii="仿宋_GB2312" w:hAnsi="仿宋_GB2312" w:eastAsia="仿宋_GB2312" w:cs="仿宋_GB2312"/>
          <w:bCs/>
          <w:color w:val="000000"/>
          <w:kern w:val="0"/>
          <w:sz w:val="32"/>
          <w:szCs w:val="32"/>
          <w:lang w:val="en-US" w:eastAsia="zh-CN"/>
        </w:rPr>
        <w:t>XXXXXXXXXXXXXXXXXXXX</w:t>
      </w:r>
    </w:p>
    <w:p>
      <w:pPr>
        <w:rPr>
          <w:rFonts w:ascii="仿宋_GB2312" w:hAnsi="仿宋" w:eastAsia="仿宋_GB2312"/>
          <w:color w:val="000000"/>
          <w:sz w:val="32"/>
          <w:szCs w:val="32"/>
        </w:rPr>
      </w:pPr>
      <w:r>
        <w:rPr>
          <w:rFonts w:hint="eastAsia" w:ascii="仿宋_GB2312" w:hAnsi="仿宋_GB2312" w:eastAsia="仿宋_GB2312" w:cs="仿宋_GB2312"/>
          <w:bCs/>
          <w:color w:val="000000"/>
          <w:kern w:val="0"/>
          <w:sz w:val="32"/>
          <w:szCs w:val="32"/>
        </w:rPr>
        <w:t>住址：江西省樟树市阁山镇东站居委高兴组24号</w:t>
      </w:r>
    </w:p>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违法事实：</w:t>
      </w:r>
    </w:p>
    <w:p>
      <w:pPr>
        <w:widowControl/>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2018年1月5日，我局执法人员依法对你位于广州市增城新塘镇白石村白石路107号的商店进行现场检查。现场检查发现你商店未经许可从事食品销售的经营活动。经调查，你于2017年11月28日开始经营商店，从事食品销售的经营活动，因你无法提供进货单据及销售记录，故无法计算涉案货值和违法所得。你的上述行为违反了《中华人民共和国食品安全法》第三十五条第一款“</w:t>
      </w:r>
      <w:r>
        <w:rPr>
          <w:rFonts w:ascii="仿宋_GB2312" w:hAnsi="仿宋" w:eastAsia="仿宋_GB2312"/>
          <w:bCs/>
          <w:color w:val="000000"/>
          <w:sz w:val="32"/>
          <w:szCs w:val="32"/>
        </w:rPr>
        <w:t>国家对食品生产经营实行许可制度。从事食品生产、食品销售、餐饮服务，应当依法取得许可。但是，销售食用农产品，不需要取得许可。</w:t>
      </w:r>
      <w:r>
        <w:rPr>
          <w:rFonts w:hint="eastAsia" w:ascii="仿宋_GB2312" w:hAnsi="仿宋" w:eastAsia="仿宋_GB2312"/>
          <w:bCs/>
          <w:color w:val="000000"/>
          <w:sz w:val="32"/>
          <w:szCs w:val="32"/>
        </w:rPr>
        <w:t>”的规定。</w:t>
      </w:r>
    </w:p>
    <w:p>
      <w:pPr>
        <w:widowControl/>
        <w:rPr>
          <w:rFonts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相关证据：</w:t>
      </w:r>
    </w:p>
    <w:p>
      <w:pPr>
        <w:widowControl/>
        <w:ind w:firstLine="640" w:firstLineChars="200"/>
        <w:jc w:val="left"/>
        <w:rPr>
          <w:rFonts w:hint="eastAsia" w:ascii="仿宋_GB2312" w:hAnsi="仿宋" w:eastAsia="仿宋_GB2312"/>
          <w:color w:val="000000"/>
          <w:sz w:val="32"/>
          <w:szCs w:val="32"/>
        </w:rPr>
      </w:pPr>
      <w:r>
        <w:rPr>
          <w:rFonts w:hint="eastAsia" w:ascii="仿宋_GB2312" w:hAnsi="仿宋" w:eastAsia="仿宋_GB2312"/>
          <w:color w:val="000000"/>
          <w:sz w:val="32"/>
          <w:szCs w:val="32"/>
        </w:rPr>
        <w:t>1、当事人陈将子身份证复印件1份；2、现场检查笔录和询问调查笔录各1份；3、现场检查照片2张；4、租赁合同复印件1份；5、《营业执照》、《食品经营许可证》受理通知书复印件各1份。</w:t>
      </w:r>
    </w:p>
    <w:p>
      <w:pPr>
        <w:widowControl/>
        <w:rPr>
          <w:rFonts w:hint="eastAsia" w:ascii="黑体" w:hAnsi="黑体" w:eastAsia="黑体"/>
          <w:b/>
          <w:color w:val="000000"/>
          <w:sz w:val="32"/>
        </w:rPr>
      </w:pPr>
    </w:p>
    <w:p>
      <w:pPr>
        <w:widowControl/>
        <w:jc w:val="center"/>
        <w:rPr>
          <w:rFonts w:ascii="仿宋_GB2312" w:hAnsi="仿宋" w:eastAsia="仿宋_GB2312"/>
          <w:color w:val="000000"/>
          <w:sz w:val="32"/>
          <w:szCs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行政处罚决定书(拟稿)</w:t>
      </w:r>
    </w:p>
    <w:p>
      <w:pPr>
        <w:autoSpaceDE w:val="0"/>
        <w:autoSpaceDN w:val="0"/>
        <w:ind w:right="400"/>
        <w:jc w:val="center"/>
        <w:rPr>
          <w:rFonts w:ascii="仿宋_GB2312" w:hAnsi="仿宋" w:eastAsia="仿宋_GB2312"/>
          <w:color w:val="000000"/>
          <w:kern w:val="0"/>
          <w:sz w:val="20"/>
        </w:rPr>
      </w:pP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12</w:t>
      </w:r>
      <w:r>
        <w:rPr>
          <w:rFonts w:hint="eastAsia" w:ascii="仿宋_GB2312" w:hAnsi="仿宋" w:eastAsia="仿宋_GB2312"/>
          <w:color w:val="000000"/>
          <w:kern w:val="0"/>
          <w:sz w:val="20"/>
        </w:rPr>
        <w:t>号           第2页  共3页</w:t>
      </w:r>
    </w:p>
    <w:p>
      <w:pPr>
        <w:widowControl/>
        <w:jc w:val="left"/>
        <w:rPr>
          <w:rFonts w:hint="eastAsia" w:ascii="仿宋_GB2312" w:hAnsi="仿宋_GB2312" w:eastAsia="仿宋_GB2312" w:cs="仿宋_GB2312"/>
          <w:b/>
          <w:bCs/>
          <w:color w:val="000000"/>
          <w:kern w:val="0"/>
          <w:sz w:val="32"/>
          <w:szCs w:val="32"/>
        </w:rPr>
      </w:pPr>
      <w:r>
        <w:rPr>
          <w:rFonts w:ascii="仿宋_GB2312" w:hAnsi="仿宋_GB2312" w:eastAsia="仿宋_GB2312" w:cs="仿宋_GB2312"/>
          <w:b/>
          <w:bCs/>
          <w:color w:val="000000"/>
          <w:kern w:val="0"/>
          <w:sz w:val="32"/>
          <w:szCs w:val="32"/>
        </w:rPr>
        <w:pict>
          <v:line id="_x0000_s1032" o:spid="_x0000_s1032" o:spt="20" style="position:absolute;left:0pt;margin-left:-15pt;margin-top:5.5pt;height:0.05pt;width:442.2pt;z-index:251658240;mso-width-relative:page;mso-height-relative:page;" coordsize="21600,21600">
            <v:path arrowok="t"/>
            <v:fill focussize="0,0"/>
            <v:stroke weight="1.5pt"/>
            <v:imagedata o:title=""/>
            <o:lock v:ext="edit"/>
          </v:line>
        </w:pict>
      </w:r>
      <w:r>
        <w:rPr>
          <w:rFonts w:hint="eastAsia" w:ascii="仿宋_GB2312" w:hAnsi="仿宋_GB2312" w:eastAsia="仿宋_GB2312" w:cs="仿宋_GB2312"/>
          <w:b/>
          <w:bCs/>
          <w:color w:val="000000"/>
          <w:kern w:val="0"/>
          <w:sz w:val="32"/>
          <w:szCs w:val="32"/>
        </w:rPr>
        <w:t>行政处罚依据和种类：</w:t>
      </w:r>
    </w:p>
    <w:p>
      <w:pPr>
        <w:widowControl/>
        <w:ind w:firstLine="640" w:firstLineChars="200"/>
        <w:jc w:val="left"/>
        <w:rPr>
          <w:rFonts w:ascii="仿宋_GB2312" w:hAnsi="仿宋" w:eastAsia="仿宋_GB2312"/>
          <w:b/>
          <w:color w:val="000000"/>
          <w:sz w:val="32"/>
          <w:szCs w:val="32"/>
        </w:rPr>
      </w:pPr>
      <w:r>
        <w:rPr>
          <w:rFonts w:hint="eastAsia" w:ascii="仿宋_GB2312" w:hAnsi="仿宋" w:eastAsia="仿宋_GB2312"/>
          <w:color w:val="000000"/>
          <w:sz w:val="32"/>
          <w:szCs w:val="32"/>
        </w:rPr>
        <w:t>对于你未经许可从事食品经营的行为，依据《中华人民共和国食品安全法》第一百二十二条第一款 “</w:t>
      </w:r>
      <w:r>
        <w:rPr>
          <w:rFonts w:ascii="仿宋_GB2312" w:hAnsi="仿宋" w:eastAsia="仿宋_GB2312"/>
          <w:color w:val="000000"/>
          <w:sz w:val="32"/>
          <w:szCs w:val="32"/>
        </w:rPr>
        <w:t>违反本法规定，未取得食品生产经营许可从事食品生产经营活动，或者未取得食品添加剂生产许可从事食品添加剂生产活动的，由县级以上人民政府食品药品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_GB2312" w:hAnsi="仿宋" w:eastAsia="仿宋_GB2312"/>
          <w:color w:val="000000"/>
          <w:sz w:val="32"/>
          <w:szCs w:val="32"/>
        </w:rPr>
        <w:t>”的规定，鉴于你违法行为轻微并及时纠正，且危害后果较为轻微，配合调查，并积极办证，本局决定对你减轻处罚如下：处10000元罚款。</w:t>
      </w:r>
    </w:p>
    <w:p>
      <w:pPr>
        <w:adjustRightInd w:val="0"/>
        <w:ind w:firstLine="640" w:firstLineChars="200"/>
        <w:rPr>
          <w:rFonts w:hint="eastAsia" w:ascii="仿宋_GB2312" w:hAnsi="仿宋_GB2312" w:eastAsia="仿宋_GB2312" w:cs="仿宋_GB2312"/>
          <w:color w:val="000000"/>
          <w:kern w:val="0"/>
          <w:sz w:val="32"/>
          <w:szCs w:val="32"/>
        </w:rPr>
      </w:pPr>
      <w:r>
        <w:rPr>
          <w:rFonts w:hint="eastAsia" w:ascii="仿宋_GB2312" w:hAnsi="仿宋" w:eastAsia="仿宋_GB2312"/>
          <w:color w:val="000000"/>
          <w:sz w:val="32"/>
          <w:szCs w:val="32"/>
        </w:rPr>
        <w:t>请你单位在接到本处罚决定书之日起15日内将罚没款缴到广州市非税收入缴款通知书</w:t>
      </w:r>
      <w:r>
        <w:rPr>
          <w:rFonts w:hint="eastAsia" w:ascii="仿宋_GB2312" w:hAnsi="仿宋_GB2312" w:eastAsia="仿宋_GB2312" w:cs="仿宋_GB2312"/>
          <w:sz w:val="32"/>
          <w:szCs w:val="32"/>
        </w:rPr>
        <w:t>上指定的</w:t>
      </w:r>
      <w:r>
        <w:rPr>
          <w:rFonts w:hint="eastAsia" w:ascii="仿宋_GB2312" w:hAnsi="仿宋_GB2312" w:eastAsia="仿宋_GB2312" w:cs="仿宋_GB2312"/>
          <w:color w:val="000000"/>
          <w:kern w:val="0"/>
          <w:sz w:val="32"/>
          <w:szCs w:val="32"/>
        </w:rPr>
        <w:t>银行。逾期不缴纳罚没款的，根据《中华人民共和国行政处罚法》第五十一条第一项的规定，每日按罚款数额的3%加处罚款，并将依法申请人民法院强制执行。</w:t>
      </w:r>
    </w:p>
    <w:p>
      <w:pPr>
        <w:adjustRightInd w:val="0"/>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如不服本处罚决定，可在接到本处罚决定书之日起60日内向广州市食品药品监督管理局或者广州市增城区人民</w:t>
      </w:r>
    </w:p>
    <w:p>
      <w:pPr>
        <w:pStyle w:val="6"/>
        <w:spacing w:before="0" w:after="0"/>
        <w:jc w:val="center"/>
        <w:rPr>
          <w:rFonts w:ascii="黑体" w:hAnsi="黑体" w:eastAsia="黑体"/>
          <w:b/>
          <w:color w:val="000000"/>
          <w:sz w:val="32"/>
        </w:rPr>
      </w:pPr>
      <w:r>
        <w:rPr>
          <w:rFonts w:hint="eastAsia" w:ascii="黑体" w:hAnsi="黑体" w:eastAsia="黑体"/>
          <w:b/>
          <w:color w:val="000000"/>
          <w:sz w:val="32"/>
        </w:rPr>
        <w:t>食品药品行政处罚文书</w:t>
      </w:r>
    </w:p>
    <w:p>
      <w:pPr>
        <w:autoSpaceDE w:val="0"/>
        <w:autoSpaceDN w:val="0"/>
        <w:jc w:val="center"/>
        <w:rPr>
          <w:b/>
          <w:color w:val="000000"/>
          <w:kern w:val="0"/>
          <w:sz w:val="44"/>
        </w:rPr>
      </w:pPr>
      <w:r>
        <w:rPr>
          <w:rFonts w:hint="eastAsia"/>
          <w:b/>
          <w:color w:val="000000"/>
          <w:kern w:val="0"/>
          <w:sz w:val="44"/>
        </w:rPr>
        <w:t>行政处罚决定书(副页)</w:t>
      </w:r>
    </w:p>
    <w:p>
      <w:pPr>
        <w:autoSpaceDE w:val="0"/>
        <w:autoSpaceDN w:val="0"/>
        <w:ind w:right="400"/>
        <w:jc w:val="center"/>
        <w:rPr>
          <w:rFonts w:ascii="仿宋_GB2312" w:hAnsi="仿宋" w:eastAsia="仿宋_GB2312"/>
          <w:color w:val="000000"/>
          <w:kern w:val="0"/>
          <w:sz w:val="20"/>
        </w:rPr>
      </w:pPr>
      <w:r>
        <w:rPr>
          <w:rFonts w:ascii="仿宋_GB2312" w:hAnsi="Arial" w:eastAsia="仿宋_GB2312" w:cs="Arial"/>
          <w:color w:val="000000"/>
          <w:szCs w:val="21"/>
        </w:rPr>
        <w:pict>
          <v:line id="_x0000_s1034" o:spid="_x0000_s1034" o:spt="20" style="position:absolute;left:0pt;margin-left:-2.25pt;margin-top:14.85pt;height:0.05pt;width:442.2pt;z-index:251658240;mso-width-relative:page;mso-height-relative:page;" coordsize="21600,21600">
            <v:path arrowok="t"/>
            <v:fill focussize="0,0"/>
            <v:stroke weight="1.5pt"/>
            <v:imagedata o:title=""/>
            <o:lock v:ext="edit"/>
          </v:line>
        </w:pict>
      </w:r>
      <w:r>
        <w:rPr>
          <w:rFonts w:hint="eastAsia" w:ascii="仿宋_GB2312" w:hAnsi="仿宋" w:eastAsia="仿宋_GB2312"/>
          <w:color w:val="000000"/>
          <w:sz w:val="20"/>
        </w:rPr>
        <w:t xml:space="preserve">                        （</w:t>
      </w:r>
      <w:r>
        <w:rPr>
          <w:rFonts w:hint="eastAsia" w:ascii="仿宋_GB2312" w:hAnsi="仿宋" w:eastAsia="仿宋_GB2312"/>
          <w:color w:val="000000"/>
        </w:rPr>
        <w:t>增新</w:t>
      </w:r>
      <w:r>
        <w:rPr>
          <w:rFonts w:hint="eastAsia" w:ascii="仿宋_GB2312" w:hAnsi="仿宋" w:eastAsia="仿宋_GB2312"/>
          <w:color w:val="000000"/>
          <w:sz w:val="20"/>
        </w:rPr>
        <w:t>）食药监食</w:t>
      </w:r>
      <w:r>
        <w:rPr>
          <w:rFonts w:hint="eastAsia" w:ascii="仿宋_GB2312" w:hAnsi="仿宋" w:eastAsia="仿宋_GB2312"/>
          <w:color w:val="000000"/>
          <w:kern w:val="0"/>
          <w:sz w:val="20"/>
        </w:rPr>
        <w:t>罚</w:t>
      </w:r>
      <w:r>
        <w:rPr>
          <w:rFonts w:hint="eastAsia" w:ascii="仿宋_GB2312" w:hAnsi="仿宋" w:eastAsia="仿宋_GB2312"/>
          <w:color w:val="000000"/>
          <w:sz w:val="20"/>
        </w:rPr>
        <w:t>〔2018〕</w:t>
      </w:r>
      <w:r>
        <w:rPr>
          <w:rFonts w:hint="eastAsia" w:ascii="仿宋_GB2312" w:hAnsi="仿宋" w:eastAsia="仿宋_GB2312"/>
          <w:color w:val="000000"/>
        </w:rPr>
        <w:t>12</w:t>
      </w:r>
      <w:r>
        <w:rPr>
          <w:rFonts w:hint="eastAsia" w:ascii="仿宋_GB2312" w:hAnsi="仿宋" w:eastAsia="仿宋_GB2312"/>
          <w:color w:val="000000"/>
          <w:kern w:val="0"/>
          <w:sz w:val="20"/>
        </w:rPr>
        <w:t>号           第3页  共3页</w:t>
      </w:r>
    </w:p>
    <w:p>
      <w:pPr>
        <w:adjustRightInd w:val="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sz w:val="32"/>
          <w:szCs w:val="32"/>
        </w:rPr>
        <w:t>政府申请行政复议，复议机关地址和电话分别为广州市荔湾区彭城东路16号、81743215和广州市增城区荔城街惠民路1号426室、32829072，也可以于6个月内依法向广州铁路运输第一法院提起行政诉讼。</w:t>
      </w:r>
    </w:p>
    <w:p>
      <w:pPr>
        <w:pStyle w:val="6"/>
        <w:spacing w:before="0" w:after="0"/>
        <w:jc w:val="center"/>
        <w:rPr>
          <w:rFonts w:ascii="仿宋_GB2312" w:hAnsi="仿宋_GB2312" w:eastAsia="仿宋_GB2312" w:cs="仿宋_GB2312"/>
          <w:color w:val="000000"/>
          <w:sz w:val="32"/>
          <w:szCs w:val="32"/>
        </w:rPr>
      </w:pPr>
    </w:p>
    <w:p>
      <w:pPr>
        <w:adjustRightInd w:val="0"/>
        <w:ind w:firstLine="640" w:firstLineChars="200"/>
        <w:rPr>
          <w:rFonts w:ascii="仿宋_GB2312" w:hAnsi="仿宋_GB2312" w:eastAsia="仿宋_GB2312" w:cs="仿宋_GB2312"/>
          <w:color w:val="000000"/>
          <w:kern w:val="0"/>
          <w:sz w:val="32"/>
          <w:szCs w:val="32"/>
        </w:rPr>
      </w:pPr>
    </w:p>
    <w:p>
      <w:pPr>
        <w:pStyle w:val="6"/>
        <w:spacing w:before="0" w:after="0"/>
        <w:jc w:val="center"/>
        <w:rPr>
          <w:rFonts w:ascii="黑体" w:hAnsi="黑体" w:eastAsia="黑体"/>
          <w:b/>
          <w:color w:val="000000"/>
          <w:sz w:val="32"/>
        </w:rPr>
      </w:pPr>
    </w:p>
    <w:p>
      <w:pPr>
        <w:widowControl/>
        <w:autoSpaceDE w:val="0"/>
        <w:autoSpaceDN w:val="0"/>
        <w:ind w:left="105" w:leftChars="50" w:firstLine="640" w:firstLineChars="200"/>
        <w:jc w:val="left"/>
        <w:rPr>
          <w:rFonts w:ascii="仿宋_GB2312" w:hAnsi="仿宋_GB2312" w:eastAsia="仿宋_GB2312" w:cs="仿宋_GB2312"/>
          <w:color w:val="000000"/>
          <w:kern w:val="0"/>
          <w:sz w:val="32"/>
          <w:szCs w:val="32"/>
        </w:rPr>
      </w:pPr>
    </w:p>
    <w:p>
      <w:pPr>
        <w:widowControl/>
        <w:autoSpaceDE w:val="0"/>
        <w:autoSpaceDN w:val="0"/>
        <w:ind w:left="105" w:leftChars="50" w:firstLine="640" w:firstLineChars="200"/>
        <w:jc w:val="left"/>
        <w:rPr>
          <w:rFonts w:ascii="仿宋_GB2312" w:hAnsi="仿宋_GB2312" w:eastAsia="仿宋_GB2312" w:cs="仿宋_GB2312"/>
          <w:color w:val="000000"/>
          <w:kern w:val="0"/>
          <w:sz w:val="32"/>
          <w:szCs w:val="32"/>
        </w:rPr>
      </w:pPr>
    </w:p>
    <w:p>
      <w:pPr>
        <w:widowControl/>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广州市增城区食品药品监督管理局</w:t>
      </w:r>
    </w:p>
    <w:p>
      <w:pPr>
        <w:widowControl/>
        <w:ind w:firstLine="5280" w:firstLineChars="165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2018</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 xml:space="preserve">月 </w:t>
      </w:r>
      <w:r>
        <w:rPr>
          <w:rFonts w:hint="eastAsia" w:ascii="仿宋_GB2312" w:hAnsi="仿宋_GB2312" w:eastAsia="仿宋_GB2312" w:cs="仿宋_GB2312"/>
          <w:color w:val="000000"/>
          <w:kern w:val="0"/>
          <w:sz w:val="32"/>
          <w:szCs w:val="32"/>
          <w:lang w:val="en-US" w:eastAsia="zh-CN"/>
        </w:rPr>
        <w:t>15</w:t>
      </w:r>
      <w:bookmarkStart w:id="0" w:name="_GoBack"/>
      <w:bookmarkEnd w:id="0"/>
      <w:r>
        <w:rPr>
          <w:rFonts w:hint="eastAsia" w:ascii="仿宋_GB2312" w:hAnsi="仿宋_GB2312" w:eastAsia="仿宋_GB2312" w:cs="仿宋_GB2312"/>
          <w:color w:val="000000"/>
          <w:kern w:val="0"/>
          <w:sz w:val="32"/>
          <w:szCs w:val="32"/>
        </w:rPr>
        <w:t>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2895"/>
    </w:sdtPr>
    <w:sdtContent>
      <w:sdt>
        <w:sdtPr>
          <w:id w:val="98381352"/>
        </w:sdtPr>
        <w:sdtContent>
          <w:p>
            <w:pPr>
              <w:pStyle w:val="2"/>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w:t>
            </w:r>
            <w:r>
              <w:rPr>
                <w:b/>
                <w:sz w:val="24"/>
                <w:szCs w:val="24"/>
              </w:rPr>
              <w:fldChar w:fldCharType="end"/>
            </w:r>
          </w:p>
        </w:sdtContent>
      </w:sdt>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348BF"/>
    <w:rsid w:val="00041B57"/>
    <w:rsid w:val="00051C4E"/>
    <w:rsid w:val="00070A16"/>
    <w:rsid w:val="00091769"/>
    <w:rsid w:val="000A0226"/>
    <w:rsid w:val="000B213A"/>
    <w:rsid w:val="000D1110"/>
    <w:rsid w:val="00103DAE"/>
    <w:rsid w:val="00126D06"/>
    <w:rsid w:val="00170831"/>
    <w:rsid w:val="001724F1"/>
    <w:rsid w:val="00172662"/>
    <w:rsid w:val="00172A27"/>
    <w:rsid w:val="00186E6C"/>
    <w:rsid w:val="00190F95"/>
    <w:rsid w:val="00196E84"/>
    <w:rsid w:val="001F61FC"/>
    <w:rsid w:val="00210CC1"/>
    <w:rsid w:val="00212A10"/>
    <w:rsid w:val="00214984"/>
    <w:rsid w:val="002509EA"/>
    <w:rsid w:val="00250C5A"/>
    <w:rsid w:val="002613FC"/>
    <w:rsid w:val="00294F73"/>
    <w:rsid w:val="00297BFC"/>
    <w:rsid w:val="002A19EA"/>
    <w:rsid w:val="002A3D72"/>
    <w:rsid w:val="002E0939"/>
    <w:rsid w:val="002E1853"/>
    <w:rsid w:val="002F1423"/>
    <w:rsid w:val="00320D30"/>
    <w:rsid w:val="0033779E"/>
    <w:rsid w:val="00341E64"/>
    <w:rsid w:val="003424C4"/>
    <w:rsid w:val="0034382A"/>
    <w:rsid w:val="00347BA8"/>
    <w:rsid w:val="00350594"/>
    <w:rsid w:val="00355A0D"/>
    <w:rsid w:val="00367268"/>
    <w:rsid w:val="003A57EE"/>
    <w:rsid w:val="003B6508"/>
    <w:rsid w:val="003C796A"/>
    <w:rsid w:val="003E3219"/>
    <w:rsid w:val="00406B2B"/>
    <w:rsid w:val="00417A77"/>
    <w:rsid w:val="00454B1A"/>
    <w:rsid w:val="00466A34"/>
    <w:rsid w:val="00467C3A"/>
    <w:rsid w:val="0047064C"/>
    <w:rsid w:val="004A02DE"/>
    <w:rsid w:val="005003F4"/>
    <w:rsid w:val="005054C7"/>
    <w:rsid w:val="00510C4A"/>
    <w:rsid w:val="005132B7"/>
    <w:rsid w:val="00517A45"/>
    <w:rsid w:val="00542650"/>
    <w:rsid w:val="00557038"/>
    <w:rsid w:val="005701A1"/>
    <w:rsid w:val="00575329"/>
    <w:rsid w:val="00590AA2"/>
    <w:rsid w:val="005A156D"/>
    <w:rsid w:val="005A2720"/>
    <w:rsid w:val="005B4DD5"/>
    <w:rsid w:val="005C74CA"/>
    <w:rsid w:val="005F3093"/>
    <w:rsid w:val="005F412D"/>
    <w:rsid w:val="005F6525"/>
    <w:rsid w:val="005F6961"/>
    <w:rsid w:val="00620B38"/>
    <w:rsid w:val="00630D1B"/>
    <w:rsid w:val="00645D72"/>
    <w:rsid w:val="00685CAC"/>
    <w:rsid w:val="00692167"/>
    <w:rsid w:val="006B78CB"/>
    <w:rsid w:val="006D2383"/>
    <w:rsid w:val="006D4FCF"/>
    <w:rsid w:val="0073316A"/>
    <w:rsid w:val="0074054B"/>
    <w:rsid w:val="007502F7"/>
    <w:rsid w:val="00766C4C"/>
    <w:rsid w:val="007D2D20"/>
    <w:rsid w:val="00801522"/>
    <w:rsid w:val="00823ED8"/>
    <w:rsid w:val="00825718"/>
    <w:rsid w:val="0089247D"/>
    <w:rsid w:val="008B4458"/>
    <w:rsid w:val="00901AFA"/>
    <w:rsid w:val="00915A2F"/>
    <w:rsid w:val="00934EC9"/>
    <w:rsid w:val="00966A89"/>
    <w:rsid w:val="00991A38"/>
    <w:rsid w:val="009C2121"/>
    <w:rsid w:val="009C3765"/>
    <w:rsid w:val="00A04BFA"/>
    <w:rsid w:val="00A47DB0"/>
    <w:rsid w:val="00A828B8"/>
    <w:rsid w:val="00A836D6"/>
    <w:rsid w:val="00A944BF"/>
    <w:rsid w:val="00AA1B06"/>
    <w:rsid w:val="00AD54DC"/>
    <w:rsid w:val="00B05171"/>
    <w:rsid w:val="00B13FCC"/>
    <w:rsid w:val="00B16AB9"/>
    <w:rsid w:val="00B177AC"/>
    <w:rsid w:val="00B25CB0"/>
    <w:rsid w:val="00B57C34"/>
    <w:rsid w:val="00B65E42"/>
    <w:rsid w:val="00B6624F"/>
    <w:rsid w:val="00B7799A"/>
    <w:rsid w:val="00B8083B"/>
    <w:rsid w:val="00B97D3B"/>
    <w:rsid w:val="00BA606B"/>
    <w:rsid w:val="00BC1BE5"/>
    <w:rsid w:val="00BD7D03"/>
    <w:rsid w:val="00BF181D"/>
    <w:rsid w:val="00C23FBA"/>
    <w:rsid w:val="00C31414"/>
    <w:rsid w:val="00C50B19"/>
    <w:rsid w:val="00CA45EC"/>
    <w:rsid w:val="00CC7A9F"/>
    <w:rsid w:val="00D16E3A"/>
    <w:rsid w:val="00D34A26"/>
    <w:rsid w:val="00DC20B7"/>
    <w:rsid w:val="00E11A4D"/>
    <w:rsid w:val="00E43ACC"/>
    <w:rsid w:val="00E77F43"/>
    <w:rsid w:val="00E95B02"/>
    <w:rsid w:val="00EE02C1"/>
    <w:rsid w:val="00F0063A"/>
    <w:rsid w:val="00F03668"/>
    <w:rsid w:val="00F20057"/>
    <w:rsid w:val="00F2659A"/>
    <w:rsid w:val="00F324AA"/>
    <w:rsid w:val="00F47E15"/>
    <w:rsid w:val="00F51FDC"/>
    <w:rsid w:val="00F605E2"/>
    <w:rsid w:val="00F81037"/>
    <w:rsid w:val="00FA494B"/>
    <w:rsid w:val="00FA5DA7"/>
    <w:rsid w:val="00FB2D28"/>
    <w:rsid w:val="00FC1960"/>
    <w:rsid w:val="00FD1645"/>
    <w:rsid w:val="00FD19A6"/>
    <w:rsid w:val="00FD4865"/>
    <w:rsid w:val="00FD670C"/>
    <w:rsid w:val="00FF5F12"/>
    <w:rsid w:val="118F105C"/>
    <w:rsid w:val="6A82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p17"/>
    <w:basedOn w:val="1"/>
    <w:qFormat/>
    <w:uiPriority w:val="0"/>
    <w:pPr>
      <w:widowControl/>
      <w:spacing w:before="100" w:after="100"/>
      <w:jc w:val="left"/>
    </w:pPr>
    <w:rPr>
      <w:rFonts w:ascii="宋体" w:hAnsi="宋体" w:cs="宋体"/>
      <w:kern w:val="0"/>
      <w:sz w:val="24"/>
      <w:szCs w:val="24"/>
    </w:rPr>
  </w:style>
  <w:style w:type="character" w:customStyle="1" w:styleId="7">
    <w:name w:val="页眉 Char"/>
    <w:basedOn w:val="4"/>
    <w:link w:val="3"/>
    <w:semiHidden/>
    <w:qFormat/>
    <w:uiPriority w:val="99"/>
    <w:rPr>
      <w:kern w:val="2"/>
      <w:sz w:val="18"/>
      <w:szCs w:val="18"/>
    </w:rPr>
  </w:style>
  <w:style w:type="character" w:customStyle="1" w:styleId="8">
    <w:name w:val="页脚 Char"/>
    <w:basedOn w:val="4"/>
    <w:link w:val="2"/>
    <w:qFormat/>
    <w:uiPriority w:val="99"/>
    <w:rPr>
      <w:kern w:val="2"/>
      <w:sz w:val="18"/>
      <w:szCs w:val="18"/>
    </w:rPr>
  </w:style>
  <w:style w:type="paragraph" w:customStyle="1"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2"/>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192</Words>
  <Characters>1096</Characters>
  <Lines>9</Lines>
  <Paragraphs>2</Paragraphs>
  <TotalTime>0</TotalTime>
  <ScaleCrop>false</ScaleCrop>
  <LinksUpToDate>false</LinksUpToDate>
  <CharactersWithSpaces>1286</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2015-10-12T03:13:00Z</dcterms:created>
  <dc:creator>admin</dc:creator>
  <cp:lastModifiedBy>Administrator</cp:lastModifiedBy>
  <cp:lastPrinted>2017-05-15T07:38:00Z</cp:lastPrinted>
  <dcterms:modified xsi:type="dcterms:W3CDTF">2018-12-27T03:10:35Z</dcterms:modified>
  <dc:title>食品药品行政处罚文书</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