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560" w:lineRule="exact"/>
        <w:ind w:left="0" w:leftChars="0" w:right="0" w:rightChars="0" w:firstLine="0" w:firstLineChars="0"/>
        <w:jc w:val="center"/>
        <w:outlineLvl w:val="9"/>
        <w:rPr>
          <w:rFonts w:hint="eastAsia" w:ascii="Times New Roman" w:hAnsi="Times New Roman" w:eastAsia="方正小标宋_GBK" w:cs="Times New Roman"/>
          <w:bCs/>
          <w:color w:val="0C0C0C"/>
          <w:w w:val="90"/>
          <w:kern w:val="0"/>
          <w:sz w:val="44"/>
          <w:szCs w:val="44"/>
          <w:shd w:val="clear" w:color="auto" w:fill="FFFFFF"/>
          <w:lang w:val="en-US" w:eastAsia="zh-CN" w:bidi="ar"/>
        </w:rPr>
      </w:pPr>
      <w:r>
        <w:rPr>
          <w:rFonts w:hint="eastAsia" w:ascii="Times New Roman" w:hAnsi="Times New Roman" w:eastAsia="方正小标宋_GBK" w:cs="Times New Roman"/>
          <w:bCs/>
          <w:color w:val="0C0C0C"/>
          <w:w w:val="90"/>
          <w:kern w:val="0"/>
          <w:sz w:val="44"/>
          <w:szCs w:val="44"/>
          <w:shd w:val="clear" w:color="auto" w:fill="FFFFFF"/>
          <w:lang w:val="en-US" w:eastAsia="zh-CN" w:bidi="ar"/>
        </w:rPr>
        <w:t>广州市增城区第五次全国经济普查公报（第五号）</w:t>
      </w:r>
    </w:p>
    <w:p>
      <w:pPr>
        <w:keepNext w:val="0"/>
        <w:keepLines w:val="0"/>
        <w:pageBreakBefore w:val="0"/>
        <w:kinsoku/>
        <w:wordWrap/>
        <w:overflowPunct/>
        <w:topLinePunct w:val="0"/>
        <w:autoSpaceDN/>
        <w:bidi w:val="0"/>
        <w:spacing w:line="560" w:lineRule="exact"/>
        <w:ind w:left="0" w:leftChars="0" w:right="0" w:rightChars="0" w:firstLine="0" w:firstLineChars="0"/>
        <w:jc w:val="center"/>
        <w:outlineLvl w:val="9"/>
        <w:rPr>
          <w:rFonts w:hint="eastAsia" w:ascii="楷体_GB2312" w:hAnsi="楷体_GB2312" w:eastAsia="楷体_GB2312" w:cs="楷体_GB2312"/>
          <w:bCs/>
          <w:color w:val="0C0C0C"/>
          <w:kern w:val="0"/>
          <w:sz w:val="32"/>
          <w:szCs w:val="32"/>
          <w:shd w:val="clear" w:color="auto" w:fill="FFFFFF"/>
          <w:lang w:val="en-US" w:eastAsia="zh-CN" w:bidi="ar"/>
        </w:rPr>
      </w:pPr>
      <w:r>
        <w:rPr>
          <w:rFonts w:hint="eastAsia" w:ascii="楷体_GB2312" w:hAnsi="楷体_GB2312" w:eastAsia="楷体_GB2312" w:cs="楷体_GB2312"/>
          <w:bCs/>
          <w:color w:val="0C0C0C"/>
          <w:kern w:val="0"/>
          <w:sz w:val="32"/>
          <w:szCs w:val="32"/>
          <w:shd w:val="clear" w:color="auto" w:fill="FFFFFF"/>
          <w:lang w:val="en-US" w:eastAsia="zh-CN" w:bidi="ar"/>
        </w:rPr>
        <w:t>——第三产业基本情况之二</w:t>
      </w:r>
    </w:p>
    <w:p>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right="0" w:rightChars="0" w:firstLine="0" w:firstLineChars="0"/>
        <w:jc w:val="center"/>
        <w:textAlignment w:val="auto"/>
        <w:outlineLvl w:val="9"/>
        <w:rPr>
          <w:rFonts w:hint="eastAsia" w:ascii="Times New Roman" w:hAnsi="Times New Roman" w:eastAsia="方正楷体_GBK" w:cs="方正楷体_GBK"/>
          <w:color w:val="0C0C0C"/>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right="0" w:rightChars="0" w:firstLine="0" w:firstLineChars="0"/>
        <w:jc w:val="center"/>
        <w:textAlignment w:val="auto"/>
        <w:outlineLvl w:val="9"/>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广州市增城区统计局</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广州市增城区第五次全国经济普查领导小组办公室</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outlineLvl w:val="9"/>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8</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12</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Times New Roman" w:hAnsi="Times New Roman" w:cs="Times New Roman"/>
          <w:color w:val="0C0C0C"/>
          <w:kern w:val="2"/>
          <w:sz w:val="36"/>
          <w:szCs w:val="36"/>
          <w:u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center"/>
        <w:outlineLvl w:val="9"/>
        <w:rPr>
          <w:rFonts w:hint="eastAsia" w:ascii="Times New Roman" w:hAnsi="Times New Roman" w:eastAsia="仿宋_GB2312" w:cs="仿宋_GB2312"/>
          <w:color w:val="0C0C0C"/>
          <w:kern w:val="2"/>
          <w:sz w:val="32"/>
          <w:szCs w:val="32"/>
          <w:u w:val="none"/>
          <w:lang w:val="en-US" w:eastAsia="zh-CN" w:bidi="ar-SA"/>
        </w:rPr>
      </w:pPr>
      <w:r>
        <w:rPr>
          <w:rFonts w:hint="eastAsia" w:ascii="Times New Roman" w:hAnsi="Times New Roman" w:eastAsia="仿宋_GB2312" w:cs="仿宋_GB2312"/>
          <w:color w:val="0C0C0C"/>
          <w:kern w:val="2"/>
          <w:sz w:val="32"/>
          <w:szCs w:val="32"/>
          <w:u w:val="none"/>
          <w:lang w:val="en-US" w:eastAsia="zh-CN" w:bidi="ar-SA"/>
        </w:rPr>
        <w:t>根据第五次全国经济普查结果，现将我区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i w:val="0"/>
          <w:caps w:val="0"/>
          <w:color w:val="0C0C0C"/>
          <w:spacing w:val="0"/>
          <w:sz w:val="32"/>
          <w:szCs w:val="32"/>
          <w:highlight w:val="none"/>
        </w:rPr>
      </w:pPr>
      <w:r>
        <w:rPr>
          <w:rFonts w:hint="eastAsia" w:ascii="黑体" w:hAnsi="黑体" w:eastAsia="黑体" w:cs="黑体"/>
          <w:b w:val="0"/>
          <w:bCs/>
          <w:i w:val="0"/>
          <w:caps w:val="0"/>
          <w:color w:val="0C0C0C"/>
          <w:spacing w:val="0"/>
          <w:kern w:val="0"/>
          <w:sz w:val="32"/>
          <w:szCs w:val="32"/>
          <w:highlight w:val="none"/>
          <w:lang w:val="en-US" w:eastAsia="zh-CN" w:bidi="ar"/>
        </w:rPr>
        <w:t>一、科学研究和技术服务业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2023年末，全区共有科学研究和技术服务业法人单位</w:t>
      </w:r>
      <w:r>
        <w:rPr>
          <w:rFonts w:hint="eastAsia" w:ascii="Times New Roman" w:hAnsi="Times New Roman" w:eastAsia="仿宋_GB2312" w:cs="仿宋_GB2312"/>
          <w:color w:val="0C0C0C"/>
          <w:sz w:val="32"/>
          <w:szCs w:val="32"/>
          <w:u w:val="none"/>
          <w:lang w:val="en-US" w:eastAsia="zh-CN"/>
        </w:rPr>
        <w:t>3459</w:t>
      </w:r>
      <w:r>
        <w:rPr>
          <w:rFonts w:hint="eastAsia" w:ascii="Times New Roman" w:hAnsi="Times New Roman" w:eastAsia="仿宋_GB2312" w:cs="仿宋_GB2312"/>
          <w:color w:val="0C0C0C"/>
          <w:spacing w:val="-6"/>
          <w:kern w:val="2"/>
          <w:sz w:val="32"/>
          <w:szCs w:val="32"/>
          <w:u w:val="none"/>
          <w:lang w:val="en-US" w:eastAsia="zh-CN" w:bidi="ar-SA"/>
        </w:rPr>
        <w:t>个，从业人员</w:t>
      </w:r>
      <w:r>
        <w:rPr>
          <w:rFonts w:hint="eastAsia" w:ascii="Times New Roman" w:hAnsi="Times New Roman" w:eastAsia="仿宋_GB2312" w:cs="仿宋_GB2312"/>
          <w:color w:val="0C0C0C"/>
          <w:sz w:val="32"/>
          <w:szCs w:val="32"/>
          <w:u w:val="none"/>
          <w:lang w:val="en-US" w:eastAsia="zh-CN"/>
        </w:rPr>
        <w:t>2.03万人</w:t>
      </w:r>
      <w:r>
        <w:rPr>
          <w:rFonts w:hint="eastAsia" w:ascii="Times New Roman" w:hAnsi="Times New Roman" w:eastAsia="仿宋_GB2312" w:cs="仿宋_GB2312"/>
          <w:color w:val="0C0C0C"/>
          <w:spacing w:val="-6"/>
          <w:kern w:val="2"/>
          <w:sz w:val="32"/>
          <w:szCs w:val="32"/>
          <w:u w:val="none"/>
          <w:lang w:val="en-US" w:eastAsia="zh-CN" w:bidi="ar-SA"/>
        </w:rPr>
        <w:t>，分别比2018年末增长1.2倍和1.5倍。其中，企业法人单位</w:t>
      </w:r>
      <w:r>
        <w:rPr>
          <w:rFonts w:hint="eastAsia" w:ascii="Times New Roman" w:hAnsi="Times New Roman" w:eastAsia="仿宋_GB2312" w:cs="仿宋_GB2312"/>
          <w:i w:val="0"/>
          <w:caps w:val="0"/>
          <w:color w:val="0C0C0C"/>
          <w:spacing w:val="0"/>
          <w:kern w:val="0"/>
          <w:sz w:val="32"/>
          <w:szCs w:val="32"/>
          <w:highlight w:val="none"/>
          <w:vertAlign w:val="superscript"/>
          <w:lang w:val="en-US" w:eastAsia="zh-CN" w:bidi="ar"/>
        </w:rPr>
        <w:footnoteReference w:id="0"/>
      </w:r>
      <w:r>
        <w:rPr>
          <w:rFonts w:hint="eastAsia" w:ascii="Times New Roman" w:hAnsi="Times New Roman" w:eastAsia="仿宋_GB2312" w:cs="仿宋_GB2312"/>
          <w:color w:val="0C0C0C"/>
          <w:sz w:val="32"/>
          <w:szCs w:val="32"/>
          <w:u w:val="none"/>
          <w:lang w:val="en-US" w:eastAsia="zh-CN"/>
        </w:rPr>
        <w:t>3439</w:t>
      </w:r>
      <w:r>
        <w:rPr>
          <w:rFonts w:hint="eastAsia" w:ascii="Times New Roman" w:hAnsi="Times New Roman" w:eastAsia="仿宋_GB2312" w:cs="仿宋_GB2312"/>
          <w:color w:val="0C0C0C"/>
          <w:spacing w:val="-6"/>
          <w:kern w:val="2"/>
          <w:sz w:val="32"/>
          <w:szCs w:val="32"/>
          <w:u w:val="none"/>
          <w:lang w:val="en-US" w:eastAsia="zh-CN" w:bidi="ar-SA"/>
        </w:rPr>
        <w:t>个，从业人员</w:t>
      </w:r>
      <w:r>
        <w:rPr>
          <w:rFonts w:hint="eastAsia" w:ascii="Times New Roman" w:hAnsi="Times New Roman" w:eastAsia="仿宋_GB2312" w:cs="仿宋_GB2312"/>
          <w:color w:val="0C0C0C"/>
          <w:sz w:val="32"/>
          <w:szCs w:val="32"/>
          <w:u w:val="none"/>
          <w:lang w:val="en-US" w:eastAsia="zh-CN"/>
        </w:rPr>
        <w:t>1.75万</w:t>
      </w:r>
      <w:r>
        <w:rPr>
          <w:rFonts w:hint="eastAsia" w:ascii="Times New Roman" w:hAnsi="Times New Roman" w:eastAsia="仿宋_GB2312" w:cs="仿宋_GB2312"/>
          <w:color w:val="0C0C0C"/>
          <w:spacing w:val="-6"/>
          <w:kern w:val="2"/>
          <w:sz w:val="32"/>
          <w:szCs w:val="32"/>
          <w:u w:val="none"/>
          <w:lang w:val="en-US" w:eastAsia="zh-CN" w:bidi="ar-SA"/>
        </w:rPr>
        <w:t>人，分别比2018年末增长</w:t>
      </w:r>
      <w:r>
        <w:rPr>
          <w:rFonts w:hint="eastAsia" w:ascii="Times New Roman" w:hAnsi="Times New Roman" w:eastAsia="仿宋_GB2312" w:cs="仿宋_GB2312"/>
          <w:color w:val="0C0C0C"/>
          <w:sz w:val="32"/>
          <w:szCs w:val="32"/>
          <w:u w:val="none"/>
          <w:lang w:val="en-US" w:eastAsia="zh-CN"/>
        </w:rPr>
        <w:t>1.2倍</w:t>
      </w:r>
      <w:r>
        <w:rPr>
          <w:rFonts w:hint="eastAsia" w:ascii="Times New Roman" w:hAnsi="Times New Roman" w:eastAsia="仿宋_GB2312" w:cs="仿宋_GB2312"/>
          <w:color w:val="0C0C0C"/>
          <w:spacing w:val="-6"/>
          <w:kern w:val="2"/>
          <w:sz w:val="32"/>
          <w:szCs w:val="32"/>
          <w:u w:val="none"/>
          <w:lang w:val="en-US" w:eastAsia="zh-CN" w:bidi="ar-SA"/>
        </w:rPr>
        <w:t>和</w:t>
      </w:r>
      <w:r>
        <w:rPr>
          <w:rFonts w:hint="eastAsia" w:ascii="Times New Roman" w:hAnsi="Times New Roman" w:eastAsia="仿宋_GB2312" w:cs="仿宋_GB2312"/>
          <w:color w:val="0C0C0C"/>
          <w:sz w:val="32"/>
          <w:szCs w:val="32"/>
          <w:u w:val="none"/>
          <w:lang w:val="en-US" w:eastAsia="zh-CN"/>
        </w:rPr>
        <w:t>1.3倍</w:t>
      </w:r>
      <w:r>
        <w:rPr>
          <w:rFonts w:hint="eastAsia" w:ascii="Times New Roman" w:hAnsi="Times New Roman" w:eastAsia="仿宋_GB2312" w:cs="仿宋_GB2312"/>
          <w:color w:val="0C0C0C"/>
          <w:spacing w:val="-6"/>
          <w:kern w:val="2"/>
          <w:sz w:val="32"/>
          <w:szCs w:val="32"/>
          <w:u w:val="none"/>
          <w:lang w:val="en-US" w:eastAsia="zh-CN" w:bidi="ar-SA"/>
        </w:rPr>
        <w:t>（详见表5-1）。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atLeas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表5-1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atLeas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873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779"/>
        <w:gridCol w:w="2476"/>
        <w:gridCol w:w="247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3779"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宋体"/>
                <w:color w:val="0C0C0C"/>
                <w:sz w:val="21"/>
                <w:szCs w:val="21"/>
                <w:highlight w:val="none"/>
              </w:rPr>
            </w:pPr>
          </w:p>
        </w:tc>
        <w:tc>
          <w:tcPr>
            <w:tcW w:w="2476"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477" w:type="dxa"/>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779"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47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3439</w:t>
            </w:r>
          </w:p>
        </w:tc>
        <w:tc>
          <w:tcPr>
            <w:tcW w:w="2477" w:type="dxa"/>
            <w:tcBorders>
              <w:top w:val="single" w:color="auto" w:sz="4" w:space="0"/>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17496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77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247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i w:val="0"/>
                <w:color w:val="0C0C0C"/>
                <w:kern w:val="0"/>
                <w:sz w:val="21"/>
                <w:szCs w:val="21"/>
                <w:highlight w:val="none"/>
                <w:u w:val="none"/>
                <w:lang w:val="en" w:eastAsia="zh-CN" w:bidi="ar"/>
              </w:rPr>
            </w:pPr>
            <w:r>
              <w:rPr>
                <w:rFonts w:hint="eastAsia" w:ascii="Times New Roman" w:hAnsi="Times New Roman" w:eastAsia="宋体" w:cs="宋体"/>
                <w:i w:val="0"/>
                <w:iCs w:val="0"/>
                <w:color w:val="000000"/>
                <w:kern w:val="0"/>
                <w:sz w:val="21"/>
                <w:szCs w:val="21"/>
                <w:u w:val="none"/>
                <w:lang w:val="en-US" w:eastAsia="zh-CN" w:bidi="ar"/>
              </w:rPr>
              <w:t>552</w:t>
            </w:r>
          </w:p>
        </w:tc>
        <w:tc>
          <w:tcPr>
            <w:tcW w:w="2477"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2498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779"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2476"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i w:val="0"/>
                <w:color w:val="0C0C0C"/>
                <w:kern w:val="0"/>
                <w:sz w:val="21"/>
                <w:szCs w:val="21"/>
                <w:highlight w:val="none"/>
                <w:u w:val="none"/>
                <w:lang w:val="en" w:eastAsia="zh-CN" w:bidi="ar"/>
              </w:rPr>
            </w:pPr>
            <w:r>
              <w:rPr>
                <w:rFonts w:hint="eastAsia" w:ascii="Times New Roman" w:hAnsi="Times New Roman" w:eastAsia="宋体" w:cs="宋体"/>
                <w:i w:val="0"/>
                <w:iCs w:val="0"/>
                <w:color w:val="000000"/>
                <w:kern w:val="0"/>
                <w:sz w:val="21"/>
                <w:szCs w:val="21"/>
                <w:u w:val="none"/>
                <w:lang w:val="en-US" w:eastAsia="zh-CN" w:bidi="ar"/>
              </w:rPr>
              <w:t>1678</w:t>
            </w:r>
          </w:p>
        </w:tc>
        <w:tc>
          <w:tcPr>
            <w:tcW w:w="2477"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11623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779"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2476"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i w:val="0"/>
                <w:color w:val="0C0C0C"/>
                <w:kern w:val="0"/>
                <w:sz w:val="21"/>
                <w:szCs w:val="21"/>
                <w:highlight w:val="none"/>
                <w:u w:val="none"/>
                <w:lang w:val="en" w:eastAsia="zh-CN" w:bidi="ar"/>
              </w:rPr>
            </w:pPr>
            <w:r>
              <w:rPr>
                <w:rFonts w:hint="eastAsia" w:ascii="Times New Roman" w:hAnsi="Times New Roman" w:eastAsia="宋体" w:cs="宋体"/>
                <w:i w:val="0"/>
                <w:iCs w:val="0"/>
                <w:color w:val="000000"/>
                <w:kern w:val="0"/>
                <w:sz w:val="21"/>
                <w:szCs w:val="21"/>
                <w:u w:val="none"/>
                <w:lang w:val="en-US" w:eastAsia="zh-CN" w:bidi="ar"/>
              </w:rPr>
              <w:t>1209</w:t>
            </w:r>
          </w:p>
        </w:tc>
        <w:tc>
          <w:tcPr>
            <w:tcW w:w="2477" w:type="dxa"/>
            <w:tcBorders>
              <w:top w:val="nil"/>
              <w:left w:val="single" w:color="auto" w:sz="4" w:space="0"/>
              <w:bottom w:val="single" w:color="auto" w:sz="12" w:space="0"/>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3375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在科学研究和技术服务业企业法人单位中，内资企业占</w:t>
      </w:r>
      <w:r>
        <w:rPr>
          <w:rFonts w:hint="eastAsia" w:ascii="Times New Roman" w:hAnsi="Times New Roman" w:eastAsia="仿宋_GB2312" w:cs="仿宋_GB2312"/>
          <w:color w:val="0C0C0C"/>
          <w:sz w:val="32"/>
          <w:szCs w:val="32"/>
          <w:u w:val="none"/>
          <w:lang w:val="en-US" w:eastAsia="zh-CN"/>
        </w:rPr>
        <w:t>98.8</w:t>
      </w:r>
      <w:r>
        <w:rPr>
          <w:rFonts w:hint="eastAsia" w:ascii="Times New Roman" w:hAnsi="Times New Roman" w:eastAsia="仿宋_GB2312" w:cs="仿宋_GB2312"/>
          <w:color w:val="0C0C0C"/>
          <w:spacing w:val="-6"/>
          <w:kern w:val="2"/>
          <w:sz w:val="32"/>
          <w:szCs w:val="32"/>
          <w:u w:val="none"/>
          <w:lang w:val="en-US" w:eastAsia="zh-CN" w:bidi="ar-SA"/>
        </w:rPr>
        <w:t>%，港澳台投资企业占</w:t>
      </w:r>
      <w:r>
        <w:rPr>
          <w:rFonts w:hint="eastAsia" w:ascii="Times New Roman" w:hAnsi="Times New Roman" w:eastAsia="仿宋_GB2312" w:cs="仿宋_GB2312"/>
          <w:color w:val="0C0C0C"/>
          <w:sz w:val="32"/>
          <w:szCs w:val="32"/>
          <w:u w:val="none"/>
          <w:lang w:val="en-US" w:eastAsia="zh-CN"/>
        </w:rPr>
        <w:t>0.6</w:t>
      </w:r>
      <w:r>
        <w:rPr>
          <w:rFonts w:hint="eastAsia" w:ascii="Times New Roman" w:hAnsi="Times New Roman" w:eastAsia="仿宋_GB2312" w:cs="仿宋_GB2312"/>
          <w:color w:val="0C0C0C"/>
          <w:spacing w:val="-6"/>
          <w:kern w:val="2"/>
          <w:sz w:val="32"/>
          <w:szCs w:val="32"/>
          <w:u w:val="none"/>
          <w:lang w:val="en-US" w:eastAsia="zh-CN" w:bidi="ar-SA"/>
        </w:rPr>
        <w:t>%，外商投资企业占</w:t>
      </w:r>
      <w:r>
        <w:rPr>
          <w:rFonts w:hint="eastAsia" w:ascii="Times New Roman" w:hAnsi="Times New Roman" w:eastAsia="仿宋_GB2312" w:cs="仿宋_GB2312"/>
          <w:color w:val="0C0C0C"/>
          <w:sz w:val="32"/>
          <w:szCs w:val="32"/>
          <w:u w:val="none"/>
          <w:lang w:val="en-US" w:eastAsia="zh-CN"/>
        </w:rPr>
        <w:t>0.5</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在科学研究和技术服务业企业法人单位从业人员中，内资企业占</w:t>
      </w:r>
      <w:r>
        <w:rPr>
          <w:rFonts w:hint="eastAsia" w:ascii="Times New Roman" w:hAnsi="Times New Roman" w:eastAsia="仿宋_GB2312" w:cs="仿宋_GB2312"/>
          <w:color w:val="0C0C0C"/>
          <w:sz w:val="32"/>
          <w:szCs w:val="32"/>
          <w:u w:val="none"/>
          <w:lang w:val="en-US" w:eastAsia="zh-CN"/>
        </w:rPr>
        <w:t>97.7</w:t>
      </w:r>
      <w:r>
        <w:rPr>
          <w:rFonts w:hint="eastAsia" w:ascii="Times New Roman" w:hAnsi="Times New Roman" w:eastAsia="仿宋_GB2312" w:cs="仿宋_GB2312"/>
          <w:color w:val="0C0C0C"/>
          <w:spacing w:val="-6"/>
          <w:kern w:val="2"/>
          <w:sz w:val="32"/>
          <w:szCs w:val="32"/>
          <w:u w:val="none"/>
          <w:lang w:val="en-US" w:eastAsia="zh-CN" w:bidi="ar-SA"/>
        </w:rPr>
        <w:t>%，港澳台投资企业占1.0%，外商投资企业占</w:t>
      </w:r>
      <w:r>
        <w:rPr>
          <w:rFonts w:hint="eastAsia" w:ascii="Times New Roman" w:hAnsi="Times New Roman" w:eastAsia="仿宋_GB2312" w:cs="仿宋_GB2312"/>
          <w:color w:val="0C0C0C"/>
          <w:sz w:val="32"/>
          <w:szCs w:val="32"/>
          <w:u w:val="none"/>
          <w:lang w:val="en-US" w:eastAsia="zh-CN"/>
        </w:rPr>
        <w:t>1.3</w:t>
      </w:r>
      <w:r>
        <w:rPr>
          <w:rFonts w:hint="eastAsia" w:ascii="Times New Roman" w:hAnsi="Times New Roman" w:eastAsia="仿宋_GB2312" w:cs="仿宋_GB2312"/>
          <w:color w:val="0C0C0C"/>
          <w:spacing w:val="-6"/>
          <w:kern w:val="2"/>
          <w:sz w:val="32"/>
          <w:szCs w:val="32"/>
          <w:u w:val="none"/>
          <w:lang w:val="en-US" w:eastAsia="zh-CN" w:bidi="ar-SA"/>
        </w:rPr>
        <w:t>%（详见表5-2）。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表5-2　按登记注册统计类别分组的科学研究和技术服务业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8834"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800"/>
        <w:gridCol w:w="2517"/>
        <w:gridCol w:w="25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3800"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2517"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517" w:type="dxa"/>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340" w:hRule="exact"/>
          <w:jc w:val="center"/>
        </w:trPr>
        <w:tc>
          <w:tcPr>
            <w:tcW w:w="3800"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517"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3439</w:t>
            </w:r>
          </w:p>
        </w:tc>
        <w:tc>
          <w:tcPr>
            <w:tcW w:w="2517" w:type="dxa"/>
            <w:tcBorders>
              <w:top w:val="single" w:color="auto" w:sz="4" w:space="0"/>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17496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800"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517"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3399</w:t>
            </w:r>
          </w:p>
        </w:tc>
        <w:tc>
          <w:tcPr>
            <w:tcW w:w="2517"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17087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800"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 w:eastAsia="zh-CN" w:bidi="ar"/>
              </w:rPr>
              <w:t>港澳台</w:t>
            </w:r>
            <w:r>
              <w:rPr>
                <w:rFonts w:hint="eastAsia" w:ascii="Times New Roman" w:hAnsi="Times New Roman" w:eastAsia="宋体" w:cs="宋体"/>
                <w:b w:val="0"/>
                <w:bCs/>
                <w:color w:val="0C0C0C"/>
                <w:kern w:val="0"/>
                <w:sz w:val="21"/>
                <w:szCs w:val="21"/>
                <w:highlight w:val="none"/>
                <w:lang w:val="en-US" w:eastAsia="zh-CN" w:bidi="ar"/>
              </w:rPr>
              <w:t>投资企业</w:t>
            </w:r>
          </w:p>
        </w:tc>
        <w:tc>
          <w:tcPr>
            <w:tcW w:w="2517"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22</w:t>
            </w:r>
          </w:p>
        </w:tc>
        <w:tc>
          <w:tcPr>
            <w:tcW w:w="2517"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800"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517"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16</w:t>
            </w:r>
          </w:p>
        </w:tc>
        <w:tc>
          <w:tcPr>
            <w:tcW w:w="2517"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800"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517"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w:t>
            </w:r>
          </w:p>
        </w:tc>
        <w:tc>
          <w:tcPr>
            <w:tcW w:w="2517" w:type="dxa"/>
            <w:tcBorders>
              <w:top w:val="nil"/>
              <w:left w:val="single" w:color="auto" w:sz="4" w:space="0"/>
              <w:bottom w:val="single" w:color="auto" w:sz="12" w:space="0"/>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2023年末，科学研究和技术服务业企业法人单位资产总计</w:t>
      </w:r>
      <w:r>
        <w:rPr>
          <w:rFonts w:hint="eastAsia" w:ascii="Times New Roman" w:hAnsi="Times New Roman" w:eastAsia="仿宋_GB2312" w:cs="仿宋_GB2312"/>
          <w:color w:val="0C0C0C"/>
          <w:sz w:val="32"/>
          <w:szCs w:val="32"/>
          <w:u w:val="none"/>
          <w:lang w:val="en-US" w:eastAsia="zh-CN"/>
        </w:rPr>
        <w:t>607.94</w:t>
      </w:r>
      <w:r>
        <w:rPr>
          <w:rFonts w:hint="eastAsia" w:ascii="Times New Roman" w:hAnsi="Times New Roman" w:eastAsia="仿宋_GB2312" w:cs="仿宋_GB2312"/>
          <w:color w:val="0C0C0C"/>
          <w:spacing w:val="-6"/>
          <w:kern w:val="2"/>
          <w:sz w:val="32"/>
          <w:szCs w:val="32"/>
          <w:u w:val="none"/>
          <w:lang w:val="en-US" w:eastAsia="zh-CN" w:bidi="ar-SA"/>
        </w:rPr>
        <w:t>亿元，比2018年末增长</w:t>
      </w:r>
      <w:r>
        <w:rPr>
          <w:rFonts w:hint="eastAsia" w:ascii="Times New Roman" w:hAnsi="Times New Roman" w:eastAsia="仿宋_GB2312" w:cs="仿宋_GB2312"/>
          <w:color w:val="0C0C0C"/>
          <w:sz w:val="32"/>
          <w:szCs w:val="32"/>
          <w:u w:val="none"/>
          <w:lang w:val="en-US" w:eastAsia="zh-CN"/>
        </w:rPr>
        <w:t>7.8倍</w:t>
      </w:r>
      <w:r>
        <w:rPr>
          <w:rFonts w:hint="eastAsia" w:ascii="Times New Roman" w:hAnsi="Times New Roman" w:eastAsia="仿宋_GB2312" w:cs="仿宋_GB2312"/>
          <w:color w:val="0C0C0C"/>
          <w:spacing w:val="-6"/>
          <w:kern w:val="2"/>
          <w:sz w:val="32"/>
          <w:szCs w:val="32"/>
          <w:u w:val="none"/>
          <w:lang w:val="en-US" w:eastAsia="zh-CN" w:bidi="ar-SA"/>
        </w:rPr>
        <w:t>；负债合计178.51亿元，比2018年末增长3.</w:t>
      </w:r>
      <w:r>
        <w:rPr>
          <w:rFonts w:hint="eastAsia" w:ascii="Times New Roman" w:hAnsi="Times New Roman" w:eastAsia="仿宋_GB2312" w:cs="仿宋_GB2312"/>
          <w:color w:val="0C0C0C"/>
          <w:sz w:val="32"/>
          <w:szCs w:val="32"/>
          <w:u w:val="none"/>
          <w:lang w:val="en-US" w:eastAsia="zh-CN"/>
        </w:rPr>
        <w:t>6倍</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2023年，科学研究和技术服务业企业法人单位全年实现营业收入</w:t>
      </w:r>
      <w:r>
        <w:rPr>
          <w:rFonts w:hint="eastAsia" w:ascii="Times New Roman" w:hAnsi="Times New Roman" w:eastAsia="仿宋_GB2312" w:cs="仿宋_GB2312"/>
          <w:color w:val="0C0C0C"/>
          <w:sz w:val="32"/>
          <w:szCs w:val="32"/>
          <w:u w:val="none"/>
          <w:lang w:val="en-US" w:eastAsia="zh-CN"/>
        </w:rPr>
        <w:t>62.64</w:t>
      </w:r>
      <w:r>
        <w:rPr>
          <w:rFonts w:hint="eastAsia" w:ascii="Times New Roman" w:hAnsi="Times New Roman" w:eastAsia="仿宋_GB2312" w:cs="仿宋_GB2312"/>
          <w:color w:val="0C0C0C"/>
          <w:spacing w:val="-6"/>
          <w:kern w:val="2"/>
          <w:sz w:val="32"/>
          <w:szCs w:val="32"/>
          <w:u w:val="none"/>
          <w:lang w:val="en-US" w:eastAsia="zh-CN" w:bidi="ar-SA"/>
        </w:rPr>
        <w:t>亿元，比2018年增长1.</w:t>
      </w:r>
      <w:r>
        <w:rPr>
          <w:rFonts w:hint="eastAsia" w:ascii="Times New Roman" w:hAnsi="Times New Roman" w:eastAsia="仿宋_GB2312" w:cs="仿宋_GB2312"/>
          <w:color w:val="0C0C0C"/>
          <w:sz w:val="32"/>
          <w:szCs w:val="32"/>
          <w:u w:val="none"/>
          <w:lang w:val="en-US" w:eastAsia="zh-CN"/>
        </w:rPr>
        <w:t>6倍</w:t>
      </w:r>
      <w:r>
        <w:rPr>
          <w:rFonts w:hint="eastAsia" w:ascii="Times New Roman" w:hAnsi="Times New Roman" w:eastAsia="仿宋_GB2312" w:cs="仿宋_GB2312"/>
          <w:color w:val="0C0C0C"/>
          <w:spacing w:val="-6"/>
          <w:kern w:val="2"/>
          <w:sz w:val="32"/>
          <w:szCs w:val="32"/>
          <w:u w:val="none"/>
          <w:lang w:val="en-US" w:eastAsia="zh-CN" w:bidi="ar-SA"/>
        </w:rPr>
        <w:t>（详见表5-3）。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表5-3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8732"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041"/>
        <w:gridCol w:w="1563"/>
        <w:gridCol w:w="1563"/>
        <w:gridCol w:w="156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4041"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563"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563"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565" w:type="dxa"/>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7" w:hRule="exact"/>
          <w:jc w:val="center"/>
        </w:trPr>
        <w:tc>
          <w:tcPr>
            <w:tcW w:w="4041"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6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 xml:space="preserve">607.94 </w:t>
            </w:r>
          </w:p>
        </w:tc>
        <w:tc>
          <w:tcPr>
            <w:tcW w:w="156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 xml:space="preserve">178.51 </w:t>
            </w:r>
          </w:p>
        </w:tc>
        <w:tc>
          <w:tcPr>
            <w:tcW w:w="1565" w:type="dxa"/>
            <w:tcBorders>
              <w:top w:val="single" w:color="auto" w:sz="4" w:space="0"/>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 xml:space="preserve">62.64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7" w:hRule="exact"/>
          <w:jc w:val="center"/>
        </w:trPr>
        <w:tc>
          <w:tcPr>
            <w:tcW w:w="4041"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156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33.33 </w:t>
            </w:r>
          </w:p>
        </w:tc>
        <w:tc>
          <w:tcPr>
            <w:tcW w:w="156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13.93 </w:t>
            </w:r>
          </w:p>
        </w:tc>
        <w:tc>
          <w:tcPr>
            <w:tcW w:w="1565"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7" w:hRule="exact"/>
          <w:jc w:val="center"/>
        </w:trPr>
        <w:tc>
          <w:tcPr>
            <w:tcW w:w="4041"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156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534.15 </w:t>
            </w:r>
          </w:p>
        </w:tc>
        <w:tc>
          <w:tcPr>
            <w:tcW w:w="156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136.29 </w:t>
            </w:r>
          </w:p>
        </w:tc>
        <w:tc>
          <w:tcPr>
            <w:tcW w:w="1565"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38.05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7" w:hRule="exact"/>
          <w:jc w:val="center"/>
        </w:trPr>
        <w:tc>
          <w:tcPr>
            <w:tcW w:w="4041"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156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40.47 </w:t>
            </w:r>
          </w:p>
        </w:tc>
        <w:tc>
          <w:tcPr>
            <w:tcW w:w="156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28.28 </w:t>
            </w:r>
          </w:p>
        </w:tc>
        <w:tc>
          <w:tcPr>
            <w:tcW w:w="1565" w:type="dxa"/>
            <w:tcBorders>
              <w:top w:val="nil"/>
              <w:left w:val="single" w:color="auto" w:sz="4" w:space="0"/>
              <w:bottom w:val="single" w:color="auto" w:sz="12" w:space="0"/>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12.09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0C0C0C"/>
          <w:spacing w:val="0"/>
          <w:sz w:val="32"/>
          <w:szCs w:val="32"/>
          <w:highlight w:val="none"/>
        </w:rPr>
      </w:pPr>
      <w:r>
        <w:rPr>
          <w:rFonts w:hint="eastAsia" w:ascii="黑体" w:hAnsi="黑体" w:eastAsia="黑体" w:cs="黑体"/>
          <w:b w:val="0"/>
          <w:bCs/>
          <w:i w:val="0"/>
          <w:caps w:val="0"/>
          <w:color w:val="0C0C0C"/>
          <w:spacing w:val="0"/>
          <w:kern w:val="0"/>
          <w:sz w:val="32"/>
          <w:szCs w:val="32"/>
          <w:highlight w:val="none"/>
          <w:lang w:val="en-US" w:eastAsia="zh-CN" w:bidi="ar"/>
        </w:rPr>
        <w:t>二、水利、环境和公共设施管理业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2023年末，全区共有水利、环境和公共设施管理业法人单位</w:t>
      </w:r>
      <w:r>
        <w:rPr>
          <w:rFonts w:hint="eastAsia" w:ascii="Times New Roman" w:hAnsi="Times New Roman" w:eastAsia="仿宋_GB2312" w:cs="仿宋_GB2312"/>
          <w:color w:val="0C0C0C"/>
          <w:sz w:val="32"/>
          <w:szCs w:val="32"/>
          <w:u w:val="none"/>
          <w:lang w:val="en-US" w:eastAsia="zh-CN"/>
        </w:rPr>
        <w:t>357</w:t>
      </w:r>
      <w:r>
        <w:rPr>
          <w:rFonts w:hint="eastAsia" w:ascii="Times New Roman" w:hAnsi="Times New Roman" w:eastAsia="仿宋_GB2312" w:cs="仿宋_GB2312"/>
          <w:color w:val="0C0C0C"/>
          <w:spacing w:val="-6"/>
          <w:kern w:val="2"/>
          <w:sz w:val="32"/>
          <w:szCs w:val="32"/>
          <w:u w:val="none"/>
          <w:lang w:val="en-US" w:eastAsia="zh-CN" w:bidi="ar-SA"/>
        </w:rPr>
        <w:t>个，从业人员0.</w:t>
      </w:r>
      <w:r>
        <w:rPr>
          <w:rFonts w:hint="eastAsia" w:ascii="Times New Roman" w:hAnsi="Times New Roman" w:eastAsia="仿宋_GB2312" w:cs="仿宋_GB2312"/>
          <w:color w:val="0C0C0C"/>
          <w:sz w:val="32"/>
          <w:szCs w:val="32"/>
          <w:u w:val="none"/>
          <w:lang w:val="en-US" w:eastAsia="zh-CN"/>
        </w:rPr>
        <w:t>29万</w:t>
      </w:r>
      <w:r>
        <w:rPr>
          <w:rFonts w:hint="eastAsia" w:ascii="Times New Roman" w:hAnsi="Times New Roman" w:eastAsia="仿宋_GB2312" w:cs="仿宋_GB2312"/>
          <w:color w:val="0C0C0C"/>
          <w:spacing w:val="-6"/>
          <w:kern w:val="2"/>
          <w:sz w:val="32"/>
          <w:szCs w:val="32"/>
          <w:u w:val="none"/>
          <w:lang w:val="en-US" w:eastAsia="zh-CN" w:bidi="ar-SA"/>
        </w:rPr>
        <w:t>人，分别比2018年末增长</w:t>
      </w:r>
      <w:r>
        <w:rPr>
          <w:rFonts w:hint="eastAsia" w:ascii="Times New Roman" w:hAnsi="Times New Roman" w:eastAsia="仿宋_GB2312" w:cs="仿宋_GB2312"/>
          <w:color w:val="0C0C0C"/>
          <w:sz w:val="32"/>
          <w:szCs w:val="32"/>
          <w:u w:val="none"/>
          <w:lang w:val="en-US" w:eastAsia="zh-CN"/>
        </w:rPr>
        <w:t>1.2倍</w:t>
      </w:r>
      <w:r>
        <w:rPr>
          <w:rFonts w:hint="eastAsia" w:ascii="Times New Roman" w:hAnsi="Times New Roman" w:eastAsia="仿宋_GB2312" w:cs="仿宋_GB2312"/>
          <w:color w:val="0C0C0C"/>
          <w:spacing w:val="-6"/>
          <w:kern w:val="2"/>
          <w:sz w:val="32"/>
          <w:szCs w:val="32"/>
          <w:u w:val="none"/>
          <w:lang w:val="en-US" w:eastAsia="zh-CN" w:bidi="ar-SA"/>
        </w:rPr>
        <w:t>和</w:t>
      </w:r>
      <w:r>
        <w:rPr>
          <w:rFonts w:hint="eastAsia" w:ascii="Times New Roman" w:hAnsi="Times New Roman" w:eastAsia="仿宋_GB2312" w:cs="仿宋_GB2312"/>
          <w:color w:val="0C0C0C"/>
          <w:sz w:val="32"/>
          <w:szCs w:val="32"/>
          <w:u w:val="none"/>
          <w:lang w:val="en-US" w:eastAsia="zh-CN"/>
        </w:rPr>
        <w:t>11.0</w:t>
      </w:r>
      <w:r>
        <w:rPr>
          <w:rFonts w:hint="eastAsia" w:ascii="Times New Roman" w:hAnsi="Times New Roman" w:eastAsia="仿宋_GB2312" w:cs="仿宋_GB2312"/>
          <w:color w:val="0C0C0C"/>
          <w:spacing w:val="-6"/>
          <w:kern w:val="2"/>
          <w:sz w:val="32"/>
          <w:szCs w:val="32"/>
          <w:u w:val="none"/>
          <w:lang w:val="en-US" w:eastAsia="zh-CN" w:bidi="ar-SA"/>
        </w:rPr>
        <w:t>%。其中，行政事业及非企业法人单位</w:t>
      </w:r>
      <w:r>
        <w:rPr>
          <w:rFonts w:hint="eastAsia" w:ascii="Times New Roman" w:hAnsi="Times New Roman" w:eastAsia="仿宋_GB2312" w:cs="仿宋_GB2312"/>
          <w:color w:val="0C0C0C"/>
          <w:sz w:val="32"/>
          <w:szCs w:val="32"/>
          <w:u w:val="none"/>
          <w:lang w:val="en-US" w:eastAsia="zh-CN"/>
        </w:rPr>
        <w:t>27</w:t>
      </w:r>
      <w:r>
        <w:rPr>
          <w:rFonts w:hint="eastAsia" w:ascii="Times New Roman" w:hAnsi="Times New Roman" w:eastAsia="仿宋_GB2312" w:cs="仿宋_GB2312"/>
          <w:color w:val="0C0C0C"/>
          <w:spacing w:val="-6"/>
          <w:kern w:val="2"/>
          <w:sz w:val="32"/>
          <w:szCs w:val="32"/>
          <w:u w:val="none"/>
          <w:lang w:val="en-US" w:eastAsia="zh-CN" w:bidi="ar-SA"/>
        </w:rPr>
        <w:t>个，从业人员0.0</w:t>
      </w:r>
      <w:r>
        <w:rPr>
          <w:rFonts w:hint="eastAsia" w:ascii="Times New Roman" w:hAnsi="Times New Roman" w:eastAsia="仿宋_GB2312" w:cs="仿宋_GB2312"/>
          <w:color w:val="0C0C0C"/>
          <w:sz w:val="32"/>
          <w:szCs w:val="32"/>
          <w:u w:val="none"/>
          <w:lang w:val="en-US" w:eastAsia="zh-CN"/>
        </w:rPr>
        <w:t>3万</w:t>
      </w:r>
      <w:r>
        <w:rPr>
          <w:rFonts w:hint="eastAsia" w:ascii="Times New Roman" w:hAnsi="Times New Roman" w:eastAsia="仿宋_GB2312" w:cs="仿宋_GB2312"/>
          <w:color w:val="0C0C0C"/>
          <w:spacing w:val="-6"/>
          <w:kern w:val="2"/>
          <w:sz w:val="32"/>
          <w:szCs w:val="32"/>
          <w:u w:val="none"/>
          <w:lang w:val="en-US" w:eastAsia="zh-CN" w:bidi="ar-SA"/>
        </w:rPr>
        <w:t>人，分别比2018年末下降</w:t>
      </w:r>
      <w:r>
        <w:rPr>
          <w:rFonts w:hint="eastAsia" w:ascii="Times New Roman" w:hAnsi="Times New Roman" w:eastAsia="仿宋_GB2312" w:cs="仿宋_GB2312"/>
          <w:color w:val="0C0C0C"/>
          <w:sz w:val="32"/>
          <w:szCs w:val="32"/>
          <w:u w:val="none"/>
          <w:lang w:val="en-US" w:eastAsia="zh-CN"/>
        </w:rPr>
        <w:t>3.6</w:t>
      </w:r>
      <w:r>
        <w:rPr>
          <w:rFonts w:hint="eastAsia" w:ascii="Times New Roman" w:hAnsi="Times New Roman" w:eastAsia="仿宋_GB2312" w:cs="仿宋_GB2312"/>
          <w:color w:val="0C0C0C"/>
          <w:spacing w:val="-6"/>
          <w:kern w:val="2"/>
          <w:sz w:val="32"/>
          <w:szCs w:val="32"/>
          <w:u w:val="none"/>
          <w:lang w:val="en-US" w:eastAsia="zh-CN" w:bidi="ar-SA"/>
        </w:rPr>
        <w:t>%和</w:t>
      </w:r>
      <w:r>
        <w:rPr>
          <w:rFonts w:hint="eastAsia" w:ascii="Times New Roman" w:hAnsi="Times New Roman" w:eastAsia="仿宋_GB2312" w:cs="仿宋_GB2312"/>
          <w:color w:val="0C0C0C"/>
          <w:sz w:val="32"/>
          <w:szCs w:val="32"/>
          <w:u w:val="none"/>
          <w:lang w:val="en-US" w:eastAsia="zh-CN"/>
        </w:rPr>
        <w:t>59.4</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2023年末，水利、环境和公共设施管理业企业法人单位资产总计</w:t>
      </w:r>
      <w:r>
        <w:rPr>
          <w:rFonts w:hint="eastAsia" w:ascii="Times New Roman" w:hAnsi="Times New Roman" w:eastAsia="仿宋_GB2312" w:cs="仿宋_GB2312"/>
          <w:color w:val="0C0C0C"/>
          <w:sz w:val="32"/>
          <w:szCs w:val="32"/>
          <w:u w:val="none"/>
          <w:lang w:val="en-US" w:eastAsia="zh-CN"/>
        </w:rPr>
        <w:t>198.95</w:t>
      </w:r>
      <w:r>
        <w:rPr>
          <w:rFonts w:hint="eastAsia" w:ascii="Times New Roman" w:hAnsi="Times New Roman" w:eastAsia="仿宋_GB2312" w:cs="仿宋_GB2312"/>
          <w:color w:val="0C0C0C"/>
          <w:spacing w:val="-6"/>
          <w:kern w:val="2"/>
          <w:sz w:val="32"/>
          <w:szCs w:val="32"/>
          <w:u w:val="none"/>
          <w:lang w:val="en-US" w:eastAsia="zh-CN" w:bidi="ar-SA"/>
        </w:rPr>
        <w:t>亿元，比2018年末增长</w:t>
      </w:r>
      <w:r>
        <w:rPr>
          <w:rFonts w:hint="eastAsia" w:ascii="Times New Roman" w:hAnsi="Times New Roman" w:eastAsia="仿宋_GB2312" w:cs="仿宋_GB2312"/>
          <w:color w:val="0C0C0C"/>
          <w:sz w:val="32"/>
          <w:szCs w:val="32"/>
          <w:u w:val="none"/>
          <w:lang w:val="en-US" w:eastAsia="zh-CN"/>
        </w:rPr>
        <w:t>68.2倍</w:t>
      </w:r>
      <w:r>
        <w:rPr>
          <w:rFonts w:hint="eastAsia" w:ascii="Times New Roman" w:hAnsi="Times New Roman" w:eastAsia="仿宋_GB2312" w:cs="仿宋_GB2312"/>
          <w:color w:val="0C0C0C"/>
          <w:spacing w:val="-6"/>
          <w:kern w:val="2"/>
          <w:sz w:val="32"/>
          <w:szCs w:val="32"/>
          <w:u w:val="none"/>
          <w:lang w:val="en-US" w:eastAsia="zh-CN" w:bidi="ar-SA"/>
        </w:rPr>
        <w:t>；负债合计</w:t>
      </w:r>
      <w:r>
        <w:rPr>
          <w:rFonts w:hint="eastAsia" w:ascii="Times New Roman" w:hAnsi="Times New Roman" w:eastAsia="仿宋_GB2312" w:cs="仿宋_GB2312"/>
          <w:color w:val="0C0C0C"/>
          <w:sz w:val="32"/>
          <w:szCs w:val="32"/>
          <w:u w:val="none"/>
          <w:lang w:val="en-US" w:eastAsia="zh-CN"/>
        </w:rPr>
        <w:t>12.57</w:t>
      </w:r>
      <w:r>
        <w:rPr>
          <w:rFonts w:hint="eastAsia" w:ascii="Times New Roman" w:hAnsi="Times New Roman" w:eastAsia="仿宋_GB2312" w:cs="仿宋_GB2312"/>
          <w:color w:val="0C0C0C"/>
          <w:spacing w:val="-6"/>
          <w:kern w:val="2"/>
          <w:sz w:val="32"/>
          <w:szCs w:val="32"/>
          <w:u w:val="none"/>
          <w:lang w:val="en-US" w:eastAsia="zh-CN" w:bidi="ar-SA"/>
        </w:rPr>
        <w:t>亿元，比2018年末增长</w:t>
      </w:r>
      <w:r>
        <w:rPr>
          <w:rFonts w:hint="eastAsia" w:ascii="Times New Roman" w:hAnsi="Times New Roman" w:eastAsia="仿宋_GB2312" w:cs="仿宋_GB2312"/>
          <w:color w:val="0C0C0C"/>
          <w:sz w:val="32"/>
          <w:szCs w:val="32"/>
          <w:u w:val="none"/>
          <w:lang w:val="en-US" w:eastAsia="zh-CN"/>
        </w:rPr>
        <w:t>8.1倍</w:t>
      </w:r>
      <w:r>
        <w:rPr>
          <w:rFonts w:hint="eastAsia" w:ascii="Times New Roman" w:hAnsi="Times New Roman" w:eastAsia="仿宋_GB2312" w:cs="仿宋_GB2312"/>
          <w:color w:val="0C0C0C"/>
          <w:spacing w:val="-6"/>
          <w:kern w:val="2"/>
          <w:sz w:val="32"/>
          <w:szCs w:val="32"/>
          <w:u w:val="none"/>
          <w:lang w:val="en-US" w:eastAsia="zh-CN" w:bidi="ar-SA"/>
        </w:rPr>
        <w:t>。全年实现营业收入</w:t>
      </w:r>
      <w:r>
        <w:rPr>
          <w:rFonts w:hint="eastAsia" w:ascii="Times New Roman" w:hAnsi="Times New Roman" w:eastAsia="仿宋_GB2312" w:cs="仿宋_GB2312"/>
          <w:color w:val="0C0C0C"/>
          <w:sz w:val="32"/>
          <w:szCs w:val="32"/>
          <w:u w:val="none"/>
          <w:lang w:val="en-US" w:eastAsia="zh-CN"/>
        </w:rPr>
        <w:t>7.73</w:t>
      </w:r>
      <w:r>
        <w:rPr>
          <w:rFonts w:hint="eastAsia" w:ascii="Times New Roman" w:hAnsi="Times New Roman" w:eastAsia="仿宋_GB2312" w:cs="仿宋_GB2312"/>
          <w:color w:val="0C0C0C"/>
          <w:spacing w:val="-6"/>
          <w:kern w:val="2"/>
          <w:sz w:val="32"/>
          <w:szCs w:val="32"/>
          <w:u w:val="none"/>
          <w:lang w:val="en-US" w:eastAsia="zh-CN" w:bidi="ar-SA"/>
        </w:rPr>
        <w:t>亿元，比2018年增长4.0倍。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行政事业及非企业法人单位年末资产</w:t>
      </w:r>
      <w:r>
        <w:rPr>
          <w:rFonts w:hint="eastAsia" w:ascii="Times New Roman" w:hAnsi="Times New Roman" w:eastAsia="仿宋_GB2312" w:cs="仿宋_GB2312"/>
          <w:color w:val="0C0C0C"/>
          <w:sz w:val="32"/>
          <w:szCs w:val="32"/>
          <w:u w:val="none"/>
          <w:lang w:val="en-US" w:eastAsia="zh-CN"/>
        </w:rPr>
        <w:t>46.50</w:t>
      </w:r>
      <w:r>
        <w:rPr>
          <w:rFonts w:hint="eastAsia" w:ascii="Times New Roman" w:hAnsi="Times New Roman" w:eastAsia="仿宋_GB2312" w:cs="仿宋_GB2312"/>
          <w:color w:val="0C0C0C"/>
          <w:spacing w:val="-6"/>
          <w:kern w:val="2"/>
          <w:sz w:val="32"/>
          <w:szCs w:val="32"/>
          <w:u w:val="none"/>
          <w:lang w:val="en-US" w:eastAsia="zh-CN" w:bidi="ar-SA"/>
        </w:rPr>
        <w:t>亿元，比2018年末增长</w:t>
      </w:r>
      <w:r>
        <w:rPr>
          <w:rFonts w:hint="eastAsia" w:ascii="Times New Roman" w:hAnsi="Times New Roman" w:eastAsia="仿宋_GB2312" w:cs="仿宋_GB2312"/>
          <w:color w:val="0C0C0C"/>
          <w:sz w:val="32"/>
          <w:szCs w:val="32"/>
          <w:u w:val="none"/>
          <w:lang w:val="en-US" w:eastAsia="zh-CN"/>
        </w:rPr>
        <w:t>10.1倍</w:t>
      </w:r>
      <w:r>
        <w:rPr>
          <w:rFonts w:hint="eastAsia" w:ascii="Times New Roman" w:hAnsi="Times New Roman" w:eastAsia="仿宋_GB2312" w:cs="仿宋_GB2312"/>
          <w:color w:val="0C0C0C"/>
          <w:spacing w:val="-6"/>
          <w:kern w:val="2"/>
          <w:sz w:val="32"/>
          <w:szCs w:val="32"/>
          <w:u w:val="none"/>
          <w:lang w:val="en-US" w:eastAsia="zh-CN" w:bidi="ar-SA"/>
        </w:rPr>
        <w:t>。本年支出（费用）合计</w:t>
      </w:r>
      <w:r>
        <w:rPr>
          <w:rFonts w:hint="eastAsia" w:ascii="Times New Roman" w:hAnsi="Times New Roman" w:eastAsia="仿宋_GB2312" w:cs="仿宋_GB2312"/>
          <w:color w:val="0C0C0C"/>
          <w:sz w:val="32"/>
          <w:szCs w:val="32"/>
          <w:u w:val="none"/>
          <w:lang w:val="en-US" w:eastAsia="zh-CN"/>
        </w:rPr>
        <w:t>4.00</w:t>
      </w:r>
      <w:r>
        <w:rPr>
          <w:rFonts w:hint="eastAsia" w:ascii="Times New Roman" w:hAnsi="Times New Roman" w:eastAsia="仿宋_GB2312" w:cs="仿宋_GB2312"/>
          <w:color w:val="0C0C0C"/>
          <w:spacing w:val="-6"/>
          <w:kern w:val="2"/>
          <w:sz w:val="32"/>
          <w:szCs w:val="32"/>
          <w:u w:val="none"/>
          <w:lang w:val="en-US" w:eastAsia="zh-CN" w:bidi="ar-SA"/>
        </w:rPr>
        <w:t>亿元，比2018年增长</w:t>
      </w:r>
      <w:r>
        <w:rPr>
          <w:rFonts w:hint="eastAsia" w:ascii="Times New Roman" w:hAnsi="Times New Roman" w:eastAsia="仿宋_GB2312" w:cs="仿宋_GB2312"/>
          <w:color w:val="0C0C0C"/>
          <w:sz w:val="32"/>
          <w:szCs w:val="32"/>
          <w:u w:val="none"/>
          <w:lang w:val="en-US" w:eastAsia="zh-CN"/>
        </w:rPr>
        <w:t>11.7</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caps w:val="0"/>
          <w:color w:val="0C0C0C"/>
          <w:spacing w:val="0"/>
          <w:sz w:val="32"/>
          <w:szCs w:val="32"/>
          <w:highlight w:val="none"/>
        </w:rPr>
      </w:pPr>
      <w:r>
        <w:rPr>
          <w:rFonts w:hint="eastAsia" w:ascii="黑体" w:hAnsi="黑体" w:eastAsia="黑体" w:cs="黑体"/>
          <w:b w:val="0"/>
          <w:bCs/>
          <w:i w:val="0"/>
          <w:caps w:val="0"/>
          <w:color w:val="0C0C0C"/>
          <w:spacing w:val="0"/>
          <w:kern w:val="0"/>
          <w:sz w:val="32"/>
          <w:szCs w:val="32"/>
          <w:highlight w:val="none"/>
          <w:lang w:val="en-US" w:eastAsia="zh-CN" w:bidi="ar"/>
        </w:rPr>
        <w:t>三、居民服务、修理和其他服务业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0C0C0C"/>
          <w:spacing w:val="0"/>
          <w:kern w:val="0"/>
          <w:sz w:val="32"/>
          <w:szCs w:val="32"/>
          <w:highlight w:val="none"/>
          <w:lang w:bidi="ar"/>
        </w:rPr>
      </w:pPr>
      <w:r>
        <w:rPr>
          <w:rFonts w:hint="eastAsia" w:ascii="楷体_GB2312" w:hAnsi="楷体_GB2312" w:eastAsia="楷体_GB2312" w:cs="楷体_GB2312"/>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C0C0C"/>
          <w:spacing w:val="-6"/>
          <w:kern w:val="2"/>
          <w:sz w:val="32"/>
          <w:szCs w:val="32"/>
          <w:u w:val="none"/>
          <w:lang w:val="en" w:eastAsia="zh-CN" w:bidi="ar-SA"/>
        </w:rPr>
        <w:t>2023年末，全区共有居民服务、修理和其他服务业企业法人单位</w:t>
      </w:r>
      <w:r>
        <w:rPr>
          <w:rFonts w:hint="eastAsia" w:ascii="Times New Roman" w:hAnsi="Times New Roman" w:eastAsia="仿宋_GB2312" w:cs="仿宋_GB2312"/>
          <w:color w:val="0C0C0C"/>
          <w:sz w:val="32"/>
          <w:szCs w:val="32"/>
          <w:u w:val="none"/>
          <w:lang w:val="en-US" w:eastAsia="zh-CN"/>
        </w:rPr>
        <w:t>2196</w:t>
      </w:r>
      <w:r>
        <w:rPr>
          <w:rFonts w:hint="eastAsia" w:ascii="Times New Roman" w:hAnsi="Times New Roman" w:eastAsia="仿宋_GB2312" w:cs="仿宋_GB2312"/>
          <w:color w:val="0C0C0C"/>
          <w:spacing w:val="-6"/>
          <w:kern w:val="2"/>
          <w:sz w:val="32"/>
          <w:szCs w:val="32"/>
          <w:u w:val="none"/>
          <w:lang w:val="en" w:eastAsia="zh-CN" w:bidi="ar-SA"/>
        </w:rPr>
        <w:t>个，从业人员</w:t>
      </w:r>
      <w:r>
        <w:rPr>
          <w:rFonts w:hint="eastAsia" w:ascii="Times New Roman" w:hAnsi="Times New Roman" w:eastAsia="仿宋_GB2312" w:cs="仿宋_GB2312"/>
          <w:color w:val="0C0C0C"/>
          <w:sz w:val="32"/>
          <w:szCs w:val="32"/>
          <w:u w:val="none"/>
          <w:lang w:val="en-US" w:eastAsia="zh-CN"/>
        </w:rPr>
        <w:t>1.15万</w:t>
      </w:r>
      <w:r>
        <w:rPr>
          <w:rFonts w:hint="eastAsia" w:ascii="Times New Roman" w:hAnsi="Times New Roman" w:eastAsia="仿宋_GB2312" w:cs="仿宋_GB2312"/>
          <w:color w:val="0C0C0C"/>
          <w:spacing w:val="-6"/>
          <w:kern w:val="2"/>
          <w:sz w:val="32"/>
          <w:szCs w:val="32"/>
          <w:u w:val="none"/>
          <w:lang w:val="en" w:eastAsia="zh-CN" w:bidi="ar-SA"/>
        </w:rPr>
        <w:t>人，分别比2018年末增长</w:t>
      </w:r>
      <w:r>
        <w:rPr>
          <w:rFonts w:hint="eastAsia" w:ascii="Times New Roman" w:hAnsi="Times New Roman" w:eastAsia="仿宋_GB2312" w:cs="仿宋_GB2312"/>
          <w:color w:val="0C0C0C"/>
          <w:sz w:val="32"/>
          <w:szCs w:val="32"/>
          <w:u w:val="none"/>
          <w:lang w:val="en-US" w:eastAsia="zh-CN"/>
        </w:rPr>
        <w:t>1.7倍</w:t>
      </w:r>
      <w:r>
        <w:rPr>
          <w:rFonts w:hint="eastAsia" w:ascii="Times New Roman" w:hAnsi="Times New Roman" w:eastAsia="仿宋_GB2312" w:cs="仿宋_GB2312"/>
          <w:color w:val="0C0C0C"/>
          <w:spacing w:val="-6"/>
          <w:kern w:val="2"/>
          <w:sz w:val="32"/>
          <w:szCs w:val="32"/>
          <w:u w:val="none"/>
          <w:lang w:val="en" w:eastAsia="zh-CN" w:bidi="ar-SA"/>
        </w:rPr>
        <w:t>和</w:t>
      </w:r>
      <w:r>
        <w:rPr>
          <w:rFonts w:hint="eastAsia" w:ascii="Times New Roman" w:hAnsi="Times New Roman" w:eastAsia="仿宋_GB2312" w:cs="仿宋_GB2312"/>
          <w:color w:val="0C0C0C"/>
          <w:spacing w:val="-6"/>
          <w:kern w:val="2"/>
          <w:sz w:val="32"/>
          <w:szCs w:val="32"/>
          <w:u w:val="none"/>
          <w:lang w:val="en-US" w:eastAsia="zh-CN" w:bidi="ar-SA"/>
        </w:rPr>
        <w:t>1.2倍</w:t>
      </w:r>
      <w:r>
        <w:rPr>
          <w:rFonts w:hint="eastAsia" w:ascii="Times New Roman" w:hAnsi="Times New Roman" w:eastAsia="仿宋_GB2312" w:cs="仿宋_GB2312"/>
          <w:color w:val="0C0C0C"/>
          <w:spacing w:val="-6"/>
          <w:kern w:val="2"/>
          <w:sz w:val="32"/>
          <w:szCs w:val="32"/>
          <w:u w:val="none"/>
          <w:lang w:val="en" w:eastAsia="zh-CN" w:bidi="ar-SA"/>
        </w:rPr>
        <w:t>（详见表5-4）</w:t>
      </w:r>
      <w:r>
        <w:rPr>
          <w:rFonts w:hint="eastAsia" w:ascii="Times New Roman" w:hAnsi="Times New Roman" w:eastAsia="仿宋_GB2312" w:cs="仿宋_GB2312"/>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表5-4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8834"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410"/>
        <w:gridCol w:w="2211"/>
        <w:gridCol w:w="221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4410"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2211"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213" w:type="dxa"/>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410"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211"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2196</w:t>
            </w:r>
          </w:p>
        </w:tc>
        <w:tc>
          <w:tcPr>
            <w:tcW w:w="2213" w:type="dxa"/>
            <w:tcBorders>
              <w:top w:val="single" w:color="auto" w:sz="4" w:space="0"/>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11494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410"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2211"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1075</w:t>
            </w:r>
          </w:p>
        </w:tc>
        <w:tc>
          <w:tcPr>
            <w:tcW w:w="2213"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4325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410"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2211"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770</w:t>
            </w:r>
          </w:p>
        </w:tc>
        <w:tc>
          <w:tcPr>
            <w:tcW w:w="2213"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2945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410"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2211"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351</w:t>
            </w:r>
          </w:p>
        </w:tc>
        <w:tc>
          <w:tcPr>
            <w:tcW w:w="2213" w:type="dxa"/>
            <w:tcBorders>
              <w:top w:val="nil"/>
              <w:left w:val="single" w:color="auto" w:sz="4" w:space="0"/>
              <w:bottom w:val="single" w:color="auto" w:sz="12" w:space="0"/>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4224</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 w:eastAsia="zh-CN" w:bidi="ar-SA"/>
        </w:rPr>
      </w:pPr>
      <w:r>
        <w:rPr>
          <w:rFonts w:hint="eastAsia" w:ascii="Times New Roman" w:hAnsi="Times New Roman" w:eastAsia="仿宋_GB2312" w:cs="仿宋_GB2312"/>
          <w:color w:val="0C0C0C"/>
          <w:spacing w:val="-6"/>
          <w:kern w:val="2"/>
          <w:sz w:val="32"/>
          <w:szCs w:val="32"/>
          <w:u w:val="none"/>
          <w:lang w:val="en-US" w:eastAsia="zh-CN" w:bidi="ar-SA"/>
        </w:rPr>
        <w:t>在居民服务、修理和其他服务业企业法人单位中，内资企业占99.6%，港澳台投资企业占0.2%，外商投资企业占0.1%。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在居民服务、修理和其他服务业企业法人单位从业人员中，内资企业占95.3%，港澳台投资企业占4.6%（详见表5-5）。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表5-5　按登记注册统计类别分组的居民服务、修理和其他服务业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8834"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432"/>
        <w:gridCol w:w="2700"/>
        <w:gridCol w:w="270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3432"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2700"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702" w:type="dxa"/>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432"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70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2196</w:t>
            </w:r>
          </w:p>
        </w:tc>
        <w:tc>
          <w:tcPr>
            <w:tcW w:w="2702" w:type="dxa"/>
            <w:tcBorders>
              <w:top w:val="single" w:color="auto" w:sz="4" w:space="0"/>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11494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432"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2700"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2188</w:t>
            </w:r>
          </w:p>
        </w:tc>
        <w:tc>
          <w:tcPr>
            <w:tcW w:w="2702"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10956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340" w:hRule="exact"/>
          <w:jc w:val="center"/>
        </w:trPr>
        <w:tc>
          <w:tcPr>
            <w:tcW w:w="3432"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 w:eastAsia="zh-CN" w:bidi="ar"/>
              </w:rPr>
              <w:t>港澳台</w:t>
            </w:r>
            <w:r>
              <w:rPr>
                <w:rFonts w:hint="eastAsia" w:ascii="Times New Roman" w:hAnsi="Times New Roman" w:eastAsia="宋体" w:cs="宋体"/>
                <w:b w:val="0"/>
                <w:bCs/>
                <w:color w:val="0C0C0C"/>
                <w:kern w:val="0"/>
                <w:sz w:val="21"/>
                <w:szCs w:val="21"/>
                <w:highlight w:val="none"/>
                <w:lang w:val="en-US" w:eastAsia="zh-CN" w:bidi="ar"/>
              </w:rPr>
              <w:t>投资企业</w:t>
            </w:r>
          </w:p>
        </w:tc>
        <w:tc>
          <w:tcPr>
            <w:tcW w:w="2700"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5</w:t>
            </w:r>
          </w:p>
        </w:tc>
        <w:tc>
          <w:tcPr>
            <w:tcW w:w="2702"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529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432"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2700"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2</w:t>
            </w:r>
          </w:p>
        </w:tc>
        <w:tc>
          <w:tcPr>
            <w:tcW w:w="2702"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3432"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2700"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val="0"/>
                <w:i w:val="0"/>
                <w:color w:val="0C0C0C"/>
                <w:kern w:val="0"/>
                <w:sz w:val="21"/>
                <w:szCs w:val="21"/>
                <w:highlight w:val="none"/>
                <w:u w:val="none"/>
                <w:lang w:val="en" w:eastAsia="zh-CN" w:bidi="ar"/>
              </w:rPr>
            </w:pPr>
            <w:r>
              <w:rPr>
                <w:rFonts w:hint="eastAsia" w:ascii="Times New Roman" w:hAnsi="Times New Roman" w:eastAsia="宋体" w:cs="宋体"/>
                <w:i w:val="0"/>
                <w:iCs w:val="0"/>
                <w:color w:val="000000"/>
                <w:kern w:val="0"/>
                <w:sz w:val="21"/>
                <w:szCs w:val="21"/>
                <w:u w:val="none"/>
                <w:lang w:val="en-US" w:eastAsia="zh-CN" w:bidi="ar"/>
              </w:rPr>
              <w:t>1</w:t>
            </w:r>
          </w:p>
        </w:tc>
        <w:tc>
          <w:tcPr>
            <w:tcW w:w="2702" w:type="dxa"/>
            <w:tcBorders>
              <w:top w:val="nil"/>
              <w:left w:val="single" w:color="auto" w:sz="4" w:space="0"/>
              <w:bottom w:val="single" w:color="auto" w:sz="12" w:space="0"/>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val="0"/>
                <w:i w:val="0"/>
                <w:color w:val="0C0C0C"/>
                <w:kern w:val="0"/>
                <w:sz w:val="21"/>
                <w:szCs w:val="21"/>
                <w:highlight w:val="none"/>
                <w:u w:val="none"/>
                <w:lang w:val="en" w:eastAsia="zh-CN" w:bidi="ar"/>
              </w:rPr>
            </w:pPr>
            <w:r>
              <w:rPr>
                <w:rFonts w:hint="eastAsia" w:ascii="Times New Roman" w:hAnsi="Times New Roman" w:eastAsia="宋体" w:cs="宋体"/>
                <w:i w:val="0"/>
                <w:iCs w:val="0"/>
                <w:color w:val="000000"/>
                <w:kern w:val="0"/>
                <w:sz w:val="21"/>
                <w:szCs w:val="21"/>
                <w:u w:val="none"/>
                <w:lang w:val="en-US" w:eastAsia="zh-CN" w:bidi="ar"/>
              </w:rPr>
              <w:t>5</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2023年末，居民服务、修理和其他服务业企业法人单位资产总计32.03亿元，比2018年末增长2.1倍；负债合计16.54亿元，比2018年末增长1.1倍。全年实现营业收入17.81亿元，比2018年增长1.7倍（详见表5-6）。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表5-6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8834"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565"/>
        <w:gridCol w:w="1423"/>
        <w:gridCol w:w="1423"/>
        <w:gridCol w:w="14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 w:hRule="atLeast"/>
          <w:jc w:val="center"/>
        </w:trPr>
        <w:tc>
          <w:tcPr>
            <w:tcW w:w="4565" w:type="dxa"/>
            <w:tcBorders>
              <w:top w:val="single" w:color="auto" w:sz="12"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423"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Times New Roman"/>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423" w:type="dxa"/>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423" w:type="dxa"/>
            <w:tcBorders>
              <w:top w:val="single" w:color="auto" w:sz="12" w:space="0"/>
              <w:left w:val="single" w:color="auto" w:sz="4" w:space="0"/>
              <w:bottom w:val="single" w:color="auto" w:sz="4" w:space="0"/>
              <w:right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565" w:type="dxa"/>
            <w:tcBorders>
              <w:top w:val="single" w:color="auto" w:sz="4" w:space="0"/>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2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 xml:space="preserve">32.03 </w:t>
            </w:r>
          </w:p>
        </w:tc>
        <w:tc>
          <w:tcPr>
            <w:tcW w:w="142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 xml:space="preserve">16.54 </w:t>
            </w:r>
          </w:p>
        </w:tc>
        <w:tc>
          <w:tcPr>
            <w:tcW w:w="1423" w:type="dxa"/>
            <w:tcBorders>
              <w:top w:val="single" w:color="auto" w:sz="4" w:space="0"/>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r>
              <w:rPr>
                <w:rFonts w:hint="eastAsia" w:ascii="Times New Roman" w:hAnsi="Times New Roman" w:eastAsia="宋体" w:cs="宋体"/>
                <w:b/>
                <w:bCs/>
                <w:i w:val="0"/>
                <w:iCs w:val="0"/>
                <w:color w:val="000000"/>
                <w:kern w:val="0"/>
                <w:sz w:val="21"/>
                <w:szCs w:val="21"/>
                <w:u w:val="none"/>
                <w:lang w:val="en-US" w:eastAsia="zh-CN" w:bidi="ar"/>
              </w:rPr>
              <w:t xml:space="preserve">17.81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565"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2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10.55 </w:t>
            </w:r>
          </w:p>
        </w:tc>
        <w:tc>
          <w:tcPr>
            <w:tcW w:w="142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8.81 </w:t>
            </w:r>
          </w:p>
        </w:tc>
        <w:tc>
          <w:tcPr>
            <w:tcW w:w="1423"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7.22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565" w:type="dxa"/>
            <w:tcBorders>
              <w:top w:val="nil"/>
              <w:left w:val="nil"/>
              <w:bottom w:val="nil"/>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2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5.86 </w:t>
            </w:r>
          </w:p>
        </w:tc>
        <w:tc>
          <w:tcPr>
            <w:tcW w:w="1423" w:type="dxa"/>
            <w:tcBorders>
              <w:top w:val="nil"/>
              <w:left w:val="single" w:color="auto" w:sz="4" w:space="0"/>
              <w:bottom w:val="nil"/>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5.09 </w:t>
            </w:r>
          </w:p>
        </w:tc>
        <w:tc>
          <w:tcPr>
            <w:tcW w:w="1423" w:type="dxa"/>
            <w:tcBorders>
              <w:top w:val="nil"/>
              <w:left w:val="single" w:color="auto" w:sz="4" w:space="0"/>
              <w:bottom w:val="nil"/>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5.45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exact"/>
          <w:jc w:val="center"/>
        </w:trPr>
        <w:tc>
          <w:tcPr>
            <w:tcW w:w="4565" w:type="dxa"/>
            <w:tcBorders>
              <w:top w:val="nil"/>
              <w:left w:val="nil"/>
              <w:bottom w:val="single" w:color="auto" w:sz="12"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2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15.63 </w:t>
            </w:r>
          </w:p>
        </w:tc>
        <w:tc>
          <w:tcPr>
            <w:tcW w:w="1423" w:type="dxa"/>
            <w:tcBorders>
              <w:top w:val="nil"/>
              <w:left w:val="single" w:color="auto" w:sz="4" w:space="0"/>
              <w:bottom w:val="single" w:color="auto" w:sz="12" w:space="0"/>
              <w:right w:val="single" w:color="auto" w:sz="4" w:space="0"/>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2.65 </w:t>
            </w:r>
          </w:p>
        </w:tc>
        <w:tc>
          <w:tcPr>
            <w:tcW w:w="1423" w:type="dxa"/>
            <w:tcBorders>
              <w:top w:val="nil"/>
              <w:left w:val="single" w:color="auto" w:sz="4" w:space="0"/>
              <w:bottom w:val="single" w:color="auto" w:sz="12" w:space="0"/>
              <w:right w:val="nil"/>
            </w:tcBorders>
            <w:vAlign w:val="center"/>
          </w:tcPr>
          <w:p>
            <w:pPr>
              <w:keepNext w:val="0"/>
              <w:keepLines w:val="0"/>
              <w:widowControl/>
              <w:suppressLineNumbers w:val="0"/>
              <w:spacing w:line="240" w:lineRule="auto"/>
              <w:ind w:right="0"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i w:val="0"/>
                <w:iCs w:val="0"/>
                <w:color w:val="000000"/>
                <w:kern w:val="0"/>
                <w:sz w:val="21"/>
                <w:szCs w:val="21"/>
                <w:u w:val="none"/>
                <w:lang w:val="en-US" w:eastAsia="zh-CN" w:bidi="ar"/>
              </w:rPr>
              <w:t xml:space="preserve">5.14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黑体" w:hAnsi="黑体" w:eastAsia="黑体" w:cs="黑体"/>
          <w:color w:val="0C0C0C"/>
          <w:spacing w:val="-6"/>
          <w:kern w:val="2"/>
          <w:sz w:val="32"/>
          <w:szCs w:val="32"/>
          <w:u w:val="none"/>
          <w:lang w:val="en-US" w:eastAsia="zh-CN" w:bidi="ar-SA"/>
        </w:rPr>
      </w:pPr>
      <w:r>
        <w:rPr>
          <w:rFonts w:hint="eastAsia" w:ascii="黑体" w:hAnsi="黑体" w:eastAsia="黑体" w:cs="黑体"/>
          <w:color w:val="0C0C0C"/>
          <w:spacing w:val="-6"/>
          <w:kern w:val="2"/>
          <w:sz w:val="32"/>
          <w:szCs w:val="32"/>
          <w:u w:val="none"/>
          <w:lang w:val="en-US" w:eastAsia="zh-CN" w:bidi="ar-SA"/>
        </w:rPr>
        <w:t>四、教育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2023年末，全区共有教育法人单位1162个，从业人员3.99万人，分别比2018年末增长18.5%和39.5%。其中，行政事业及非企业法人单位526个，从业人员3.51万人，分别比2018年末增长48.2%和68.5%。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2023年末，教育企业法人单位资产总计10.99亿元，比2018年末下降72.4%；负债合计8.52亿元，比2018年末下降65.4%。全年实现营业收入9.32亿元，比2018年下降14.3%。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行政事业及非企业法人单位年末资产236.32亿元，比2018年末增长1.4倍。本年支出（费用）合计112.92亿元，比2018年增长67.8%。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黑体" w:hAnsi="黑体" w:eastAsia="黑体" w:cs="黑体"/>
          <w:color w:val="0C0C0C"/>
          <w:spacing w:val="-6"/>
          <w:kern w:val="2"/>
          <w:sz w:val="32"/>
          <w:szCs w:val="32"/>
          <w:u w:val="none"/>
          <w:lang w:val="en-US" w:eastAsia="zh-CN" w:bidi="ar-SA"/>
        </w:rPr>
      </w:pPr>
      <w:r>
        <w:rPr>
          <w:rFonts w:hint="eastAsia" w:ascii="黑体" w:hAnsi="黑体" w:eastAsia="黑体" w:cs="黑体"/>
          <w:color w:val="0C0C0C"/>
          <w:spacing w:val="-6"/>
          <w:kern w:val="2"/>
          <w:sz w:val="32"/>
          <w:szCs w:val="32"/>
          <w:u w:val="none"/>
          <w:lang w:val="en-US" w:eastAsia="zh-CN" w:bidi="ar-SA"/>
        </w:rPr>
        <w:t>五、卫生和社会工作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2023年末，全区共有卫生和社会工作法人单位317个，从业人员1.26万人，分别比2018年末增长1.0倍和56.1%。其中，行政事业及非企业法人单位52个，从业人员0.62万人，分别比2018年末下降21.2%和1.8%。</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2023年末，卫生和社会工作企业法人单位资产总计55.48亿元，比2018年末增长77.8%；负债合计27.68亿元，比2018年末增长4.0倍。全年实现营业收入19.04亿元，比2018年增长2.5倍。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行政事业及非企业法人单位年末资产55.54亿元，比2018年末增长1.4倍。本年支出（费用）合计42.13亿元，比2018年增长50.3%。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黑体" w:hAnsi="黑体" w:eastAsia="黑体" w:cs="黑体"/>
          <w:color w:val="0C0C0C"/>
          <w:spacing w:val="-6"/>
          <w:kern w:val="2"/>
          <w:sz w:val="32"/>
          <w:szCs w:val="32"/>
          <w:u w:val="none"/>
          <w:lang w:val="en-US" w:eastAsia="zh-CN" w:bidi="ar-SA"/>
        </w:rPr>
      </w:pPr>
      <w:r>
        <w:rPr>
          <w:rFonts w:hint="eastAsia" w:ascii="黑体" w:hAnsi="黑体" w:eastAsia="黑体" w:cs="黑体"/>
          <w:color w:val="0C0C0C"/>
          <w:spacing w:val="-6"/>
          <w:kern w:val="2"/>
          <w:sz w:val="32"/>
          <w:szCs w:val="32"/>
          <w:u w:val="none"/>
          <w:lang w:val="en-US" w:eastAsia="zh-CN" w:bidi="ar-SA"/>
        </w:rPr>
        <w:t>六、文化、体育和娱乐业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（一）法人单位数和从业人员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2023年末，全区共有文化、体育和娱乐业法人单位1682个，从业人员0.53万人，分别比2018年末增长1.8倍和73.2%。其中，企业法人单位1671个，从业人员0.49万人，分别比2018年末增长1.9倍和76.2%。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楷体_GB2312" w:hAnsi="楷体_GB2312" w:eastAsia="楷体_GB2312" w:cs="楷体_GB2312"/>
          <w:color w:val="0C0C0C"/>
          <w:spacing w:val="-6"/>
          <w:kern w:val="2"/>
          <w:sz w:val="32"/>
          <w:szCs w:val="32"/>
          <w:u w:val="none"/>
          <w:lang w:val="en-US" w:eastAsia="zh-CN" w:bidi="ar-SA"/>
        </w:rPr>
      </w:pPr>
      <w:r>
        <w:rPr>
          <w:rFonts w:hint="eastAsia" w:ascii="楷体_GB2312" w:hAnsi="楷体_GB2312" w:eastAsia="楷体_GB2312" w:cs="楷体_GB2312"/>
          <w:color w:val="0C0C0C"/>
          <w:spacing w:val="-6"/>
          <w:kern w:val="2"/>
          <w:sz w:val="32"/>
          <w:szCs w:val="32"/>
          <w:u w:val="none"/>
          <w:lang w:val="en-US" w:eastAsia="zh-CN" w:bidi="ar-SA"/>
        </w:rPr>
        <w:t>（二）主要经济指标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2023年末，文化、体育和娱乐业企业法人单位资产总计16.90亿元，比2018年末增长1.4倍；负债合计13.53亿元，比2018年末增长2.1倍。全年实现营业收入8.44亿元，比2018年增长1.4倍。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行政事业及非企业法人单位年末资产2.77亿元，比2018年末增长31.1%。本年支出（费用）合计1.34亿元，比2018年增长14.5%。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黑体" w:hAnsi="黑体" w:eastAsia="黑体" w:cs="黑体"/>
          <w:color w:val="0C0C0C"/>
          <w:spacing w:val="-6"/>
          <w:kern w:val="2"/>
          <w:sz w:val="32"/>
          <w:szCs w:val="32"/>
          <w:u w:val="none"/>
          <w:lang w:val="en-US" w:eastAsia="zh-CN" w:bidi="ar-SA"/>
        </w:rPr>
      </w:pPr>
      <w:r>
        <w:rPr>
          <w:rFonts w:hint="eastAsia" w:ascii="黑体" w:hAnsi="黑体" w:eastAsia="黑体" w:cs="黑体"/>
          <w:color w:val="0C0C0C"/>
          <w:spacing w:val="-6"/>
          <w:kern w:val="2"/>
          <w:sz w:val="32"/>
          <w:szCs w:val="32"/>
          <w:u w:val="none"/>
          <w:lang w:val="en-US" w:eastAsia="zh-CN" w:bidi="ar-SA"/>
        </w:rPr>
        <w:t>七、公共管理、社会保障和社会组织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0C0C0C"/>
          <w:spacing w:val="-6"/>
          <w:kern w:val="2"/>
          <w:sz w:val="32"/>
          <w:szCs w:val="32"/>
          <w:u w:val="none"/>
          <w:lang w:val="en-US" w:eastAsia="zh-CN" w:bidi="ar-SA"/>
        </w:rPr>
      </w:pPr>
      <w:r>
        <w:rPr>
          <w:rFonts w:hint="eastAsia" w:ascii="Times New Roman" w:hAnsi="Times New Roman" w:eastAsia="仿宋_GB2312" w:cs="仿宋_GB2312"/>
          <w:color w:val="0C0C0C"/>
          <w:spacing w:val="-6"/>
          <w:kern w:val="2"/>
          <w:sz w:val="32"/>
          <w:szCs w:val="32"/>
          <w:u w:val="none"/>
          <w:lang w:val="en-US" w:eastAsia="zh-CN" w:bidi="ar-SA"/>
        </w:rPr>
        <w:t>2023年末，全区共有公共管理、社会保障和社会组织法人单位893个，比2018年末增长8.4%；从业人员1.98万人，比2018年末下降2.0%。行政事业及非企业法人单位本年支出（费用）合计197.25亿元，比2018年下降12.5%。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黑体" w:hAnsi="黑体" w:eastAsia="黑体" w:cs="黑体"/>
          <w:i w:val="0"/>
          <w:caps w:val="0"/>
          <w:color w:val="0C0C0C"/>
          <w:spacing w:val="0"/>
          <w:kern w:val="0"/>
          <w:sz w:val="28"/>
          <w:szCs w:val="28"/>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黑体" w:hAnsi="黑体" w:eastAsia="黑体" w:cs="黑体"/>
          <w:i w:val="0"/>
          <w:caps w:val="0"/>
          <w:color w:val="0C0C0C"/>
          <w:spacing w:val="0"/>
          <w:kern w:val="0"/>
          <w:sz w:val="24"/>
          <w:szCs w:val="24"/>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仿宋_GB2312" w:cs="仿宋_GB2312"/>
          <w:i w:val="0"/>
          <w:caps w:val="0"/>
          <w:color w:val="0C0C0C"/>
          <w:spacing w:val="0"/>
          <w:kern w:val="0"/>
          <w:sz w:val="24"/>
          <w:szCs w:val="24"/>
          <w:highlight w:val="none"/>
          <w:lang w:val="en-US" w:eastAsia="zh-CN" w:bidi="ar"/>
        </w:rPr>
      </w:pPr>
      <w:r>
        <w:rPr>
          <w:rFonts w:hint="eastAsia" w:ascii="Times New Roman" w:hAnsi="Times New Roman" w:eastAsia="仿宋_GB2312" w:cs="仿宋_GB2312"/>
          <w:i w:val="0"/>
          <w:caps w:val="0"/>
          <w:color w:val="0C0C0C"/>
          <w:spacing w:val="0"/>
          <w:kern w:val="0"/>
          <w:sz w:val="24"/>
          <w:szCs w:val="24"/>
          <w:highlight w:val="none"/>
          <w:lang w:val="en-US" w:eastAsia="zh-CN" w:bidi="ar"/>
        </w:rPr>
        <w:t>[3]表中的合计数和部分计算数据因小数取舍而产生的误差，均未作机械调整。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方正仿宋_GBK" w:cs="Times New Roman"/>
          <w:color w:val="0C0C0C"/>
          <w:kern w:val="2"/>
          <w:sz w:val="28"/>
          <w:szCs w:val="28"/>
          <w:u w:val="none"/>
          <w:lang w:val="en-US" w:eastAsia="zh-CN" w:bidi="ar-SA"/>
        </w:rPr>
      </w:pPr>
      <w:r>
        <w:rPr>
          <w:rFonts w:hint="eastAsia" w:ascii="Times New Roman" w:hAnsi="Times New Roman" w:eastAsia="仿宋_GB2312" w:cs="仿宋_GB2312"/>
          <w:i w:val="0"/>
          <w:caps w:val="0"/>
          <w:color w:val="0C0C0C"/>
          <w:spacing w:val="0"/>
          <w:kern w:val="0"/>
          <w:sz w:val="24"/>
          <w:szCs w:val="24"/>
          <w:highlight w:val="none"/>
          <w:lang w:val="en-US" w:eastAsia="zh-CN" w:bidi="ar"/>
        </w:rPr>
        <w:t>[</w:t>
      </w:r>
      <w:r>
        <w:rPr>
          <w:rFonts w:hint="default" w:ascii="Times New Roman" w:hAnsi="Times New Roman" w:eastAsia="仿宋_GB2312" w:cs="仿宋_GB2312"/>
          <w:i w:val="0"/>
          <w:caps w:val="0"/>
          <w:color w:val="0C0C0C"/>
          <w:spacing w:val="0"/>
          <w:kern w:val="0"/>
          <w:sz w:val="24"/>
          <w:szCs w:val="24"/>
          <w:highlight w:val="none"/>
          <w:lang w:val="en" w:eastAsia="zh-CN" w:bidi="ar"/>
        </w:rPr>
        <w:t>4</w:t>
      </w:r>
      <w:r>
        <w:rPr>
          <w:rFonts w:hint="eastAsia" w:ascii="Times New Roman" w:hAnsi="Times New Roman" w:eastAsia="仿宋_GB2312" w:cs="仿宋_GB2312"/>
          <w:i w:val="0"/>
          <w:caps w:val="0"/>
          <w:color w:val="0C0C0C"/>
          <w:spacing w:val="0"/>
          <w:kern w:val="0"/>
          <w:sz w:val="24"/>
          <w:szCs w:val="24"/>
          <w:highlight w:val="none"/>
          <w:lang w:val="en-US" w:eastAsia="zh-CN" w:bidi="ar"/>
        </w:rPr>
        <w:t>]“—”表示该项统计指标数据不详或无该项数据。</w:t>
      </w:r>
    </w:p>
    <w:p>
      <w:pPr>
        <w:rPr>
          <w:rFonts w:hint="eastAsia"/>
          <w:sz w:val="10"/>
          <w:szCs w:val="10"/>
          <w:lang w:val="en-US" w:eastAsia="zh-CN"/>
        </w:rPr>
      </w:pPr>
    </w:p>
    <w:sectPr>
      <w:headerReference r:id="rId4" w:type="default"/>
      <w:footerReference r:id="rId5" w:type="default"/>
      <w:footnotePr>
        <w:numFmt w:val="decimal"/>
        <w:numRestart w:val="eachPage"/>
      </w:footnotePr>
      <w:pgSz w:w="11900" w:h="16820"/>
      <w:pgMar w:top="2098" w:right="1474" w:bottom="1984" w:left="1587" w:header="0" w:footer="96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75D01F-73A9-4FD9-95AF-AB5B057A34FC}"/>
  </w:font>
  <w:font w:name="黑体">
    <w:panose1 w:val="02010609060101010101"/>
    <w:charset w:val="86"/>
    <w:family w:val="auto"/>
    <w:pitch w:val="default"/>
    <w:sig w:usb0="800002BF" w:usb1="38CF7CFA" w:usb2="00000016" w:usb3="00000000" w:csb0="00040001" w:csb1="00000000"/>
    <w:embedRegular r:id="rId2" w:fontKey="{B8638655-A467-4616-8937-1BB5134BA8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2DFC0D3-7A9D-4B9A-B025-9D145DECA1DA}"/>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47A9C5E5-8F2B-4160-A76F-C4B5CA8CEC51}"/>
  </w:font>
  <w:font w:name="楷体_GB2312">
    <w:panose1 w:val="02010609030101010101"/>
    <w:charset w:val="86"/>
    <w:family w:val="modern"/>
    <w:pitch w:val="default"/>
    <w:sig w:usb0="00000001" w:usb1="080E0000" w:usb2="00000000" w:usb3="00000000" w:csb0="00040000" w:csb1="00000000"/>
    <w:embedRegular r:id="rId5" w:fontKey="{95E032F9-D102-4BA4-A4C2-3C4339CAA6CD}"/>
  </w:font>
  <w:font w:name="方正仿宋_GBK">
    <w:panose1 w:val="03000509000000000000"/>
    <w:charset w:val="86"/>
    <w:family w:val="auto"/>
    <w:pitch w:val="default"/>
    <w:sig w:usb0="00000000" w:usb1="00000000" w:usb2="00000000" w:usb3="00000000" w:csb0="00000000" w:csb1="00000000"/>
    <w:embedRegular r:id="rId6" w:fontKey="{A2D3030B-4B94-4DFB-94FD-4AA6910AD094}"/>
  </w:font>
  <w:font w:name="方正小标宋_GBK">
    <w:panose1 w:val="02000000000000000000"/>
    <w:charset w:val="86"/>
    <w:family w:val="auto"/>
    <w:pitch w:val="default"/>
    <w:sig w:usb0="00000000" w:usb1="00000000" w:usb2="00000000" w:usb3="00000000" w:csb0="00000000" w:csb1="00000000"/>
    <w:embedRegular r:id="rId7" w:fontKey="{C09C88CA-1590-4F2B-AD16-56E20554F726}"/>
  </w:font>
  <w:font w:name="方正楷体_GBK">
    <w:panose1 w:val="03000509000000000000"/>
    <w:charset w:val="86"/>
    <w:family w:val="auto"/>
    <w:pitch w:val="default"/>
    <w:sig w:usb0="00000000" w:usb1="00000000" w:usb2="00000000" w:usb3="00000000" w:csb0="00000000" w:csb1="00000000"/>
    <w:embedRegular r:id="rId8" w:fontKey="{A1793C85-05B7-4227-9626-6D5C710C504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snapToGrid w:val="0"/>
        <w:spacing w:line="240" w:lineRule="auto"/>
        <w:ind w:firstLine="0" w:firstLineChars="0"/>
        <w:jc w:val="both"/>
        <w:textAlignment w:val="auto"/>
        <w:rPr>
          <w:rStyle w:val="10"/>
          <w:rFonts w:hint="eastAsia" w:eastAsia="宋体" w:cs="Times New Roman"/>
          <w:sz w:val="20"/>
          <w:szCs w:val="20"/>
          <w:vertAlign w:val="superscript"/>
          <w:lang w:val="en-US" w:eastAsia="zh-CN"/>
        </w:rPr>
      </w:pPr>
      <w:r>
        <w:rPr>
          <w:rStyle w:val="10"/>
          <w:rFonts w:hint="eastAsia" w:ascii="Calibri" w:hAnsi="Calibri" w:eastAsia="宋体" w:cs="Times New Roman"/>
          <w:sz w:val="20"/>
          <w:szCs w:val="20"/>
          <w:vertAlign w:val="superscript"/>
          <w:lang w:val="en-US" w:eastAsia="zh-CN"/>
        </w:rPr>
        <w:footnoteRef/>
      </w:r>
      <w:r>
        <w:rPr>
          <w:rStyle w:val="10"/>
          <w:rFonts w:hint="eastAsia" w:ascii="Calibri" w:hAnsi="Calibri" w:eastAsia="宋体" w:cs="Times New Roman"/>
          <w:sz w:val="20"/>
          <w:szCs w:val="20"/>
          <w:vertAlign w:val="superscript"/>
          <w:lang w:val="en-US" w:eastAsia="zh-CN"/>
        </w:rPr>
        <w:t xml:space="preserve"> </w:t>
      </w:r>
      <w:bookmarkStart w:id="0" w:name="_GoBack"/>
      <w:r>
        <w:rPr>
          <w:rStyle w:val="10"/>
          <w:rFonts w:hint="eastAsia" w:eastAsia="宋体" w:cs="Times New Roman"/>
          <w:sz w:val="20"/>
          <w:szCs w:val="20"/>
          <w:vertAlign w:val="baseline"/>
          <w:lang w:val="en-US" w:eastAsia="zh-CN"/>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TrueTypeFonts/>
  <w:saveSubsetFonts/>
  <w:documentProtection w:enforcement="0"/>
  <w:characterSpacingControl w:val="doNotCompress"/>
  <w:footnotePr>
    <w:numRestart w:val="eachPage"/>
  </w:footnotePr>
  <w:compat>
    <w:spaceForUL/>
    <w:ulTrailSpace/>
    <w:useFELayout/>
    <w:compatSetting w:name="compatibilityMode" w:uri="http://schemas.microsoft.com/office/word" w:val="14"/>
  </w:compat>
  <w:rsids>
    <w:rsidRoot w:val="00000000"/>
    <w:rsid w:val="005B093D"/>
    <w:rsid w:val="006100AC"/>
    <w:rsid w:val="00D13BC0"/>
    <w:rsid w:val="00F34618"/>
    <w:rsid w:val="01252CE3"/>
    <w:rsid w:val="012845F2"/>
    <w:rsid w:val="01650D8C"/>
    <w:rsid w:val="016D50E6"/>
    <w:rsid w:val="019C290D"/>
    <w:rsid w:val="01A916C8"/>
    <w:rsid w:val="01DD669F"/>
    <w:rsid w:val="026337A1"/>
    <w:rsid w:val="02900CBF"/>
    <w:rsid w:val="02A44DE3"/>
    <w:rsid w:val="03094A24"/>
    <w:rsid w:val="03113767"/>
    <w:rsid w:val="03453536"/>
    <w:rsid w:val="03B76C42"/>
    <w:rsid w:val="03FC2E16"/>
    <w:rsid w:val="044E739D"/>
    <w:rsid w:val="047D0E0B"/>
    <w:rsid w:val="048C56F0"/>
    <w:rsid w:val="04B37C8B"/>
    <w:rsid w:val="04C76EB2"/>
    <w:rsid w:val="04E3095E"/>
    <w:rsid w:val="065A35C8"/>
    <w:rsid w:val="070E76A1"/>
    <w:rsid w:val="079A08D3"/>
    <w:rsid w:val="083168C6"/>
    <w:rsid w:val="09020655"/>
    <w:rsid w:val="09104B78"/>
    <w:rsid w:val="09253680"/>
    <w:rsid w:val="09285E9F"/>
    <w:rsid w:val="0A611896"/>
    <w:rsid w:val="0A872B32"/>
    <w:rsid w:val="0B0009AC"/>
    <w:rsid w:val="0BCD084D"/>
    <w:rsid w:val="0BF81FE7"/>
    <w:rsid w:val="0C154949"/>
    <w:rsid w:val="0C1B6007"/>
    <w:rsid w:val="0C2179AB"/>
    <w:rsid w:val="0D45599A"/>
    <w:rsid w:val="0DBA7538"/>
    <w:rsid w:val="0F434917"/>
    <w:rsid w:val="0F876305"/>
    <w:rsid w:val="10572BB3"/>
    <w:rsid w:val="11592A68"/>
    <w:rsid w:val="12173629"/>
    <w:rsid w:val="12A165D1"/>
    <w:rsid w:val="12A904AC"/>
    <w:rsid w:val="12F25A14"/>
    <w:rsid w:val="131427E4"/>
    <w:rsid w:val="133A279F"/>
    <w:rsid w:val="13AD22D8"/>
    <w:rsid w:val="14B10A5E"/>
    <w:rsid w:val="14B20501"/>
    <w:rsid w:val="14C03BE3"/>
    <w:rsid w:val="153B638D"/>
    <w:rsid w:val="158013F4"/>
    <w:rsid w:val="15BA6B35"/>
    <w:rsid w:val="15E440F6"/>
    <w:rsid w:val="163B0388"/>
    <w:rsid w:val="164E15A7"/>
    <w:rsid w:val="16DD4926"/>
    <w:rsid w:val="17E65529"/>
    <w:rsid w:val="18D53884"/>
    <w:rsid w:val="18E36FE2"/>
    <w:rsid w:val="190C5C28"/>
    <w:rsid w:val="19533D00"/>
    <w:rsid w:val="19FE6234"/>
    <w:rsid w:val="1AAA694D"/>
    <w:rsid w:val="1BAA2974"/>
    <w:rsid w:val="1BF96AEC"/>
    <w:rsid w:val="1C13269C"/>
    <w:rsid w:val="1C24136B"/>
    <w:rsid w:val="1C654B13"/>
    <w:rsid w:val="1CBC1555"/>
    <w:rsid w:val="1EFA7EE1"/>
    <w:rsid w:val="1FA86D80"/>
    <w:rsid w:val="1FA94802"/>
    <w:rsid w:val="20B65C39"/>
    <w:rsid w:val="20E05A5B"/>
    <w:rsid w:val="214B383A"/>
    <w:rsid w:val="220A11E7"/>
    <w:rsid w:val="22703D10"/>
    <w:rsid w:val="22D75124"/>
    <w:rsid w:val="22DF6543"/>
    <w:rsid w:val="236553F8"/>
    <w:rsid w:val="23A928D9"/>
    <w:rsid w:val="24404E85"/>
    <w:rsid w:val="24A835B0"/>
    <w:rsid w:val="24F301AC"/>
    <w:rsid w:val="265B5E13"/>
    <w:rsid w:val="27DC4D6D"/>
    <w:rsid w:val="29300A52"/>
    <w:rsid w:val="29387FD8"/>
    <w:rsid w:val="295E35EE"/>
    <w:rsid w:val="298869B1"/>
    <w:rsid w:val="298D0E4E"/>
    <w:rsid w:val="299B5324"/>
    <w:rsid w:val="29E069FC"/>
    <w:rsid w:val="29E37561"/>
    <w:rsid w:val="29F16DF3"/>
    <w:rsid w:val="2B0039D5"/>
    <w:rsid w:val="2B866477"/>
    <w:rsid w:val="2CB836F9"/>
    <w:rsid w:val="2D1A097C"/>
    <w:rsid w:val="2D254C1E"/>
    <w:rsid w:val="2D70181A"/>
    <w:rsid w:val="2DB62F5B"/>
    <w:rsid w:val="2DBB6416"/>
    <w:rsid w:val="2EC952CF"/>
    <w:rsid w:val="2F460810"/>
    <w:rsid w:val="300F422D"/>
    <w:rsid w:val="3011436C"/>
    <w:rsid w:val="30196AFA"/>
    <w:rsid w:val="303B192D"/>
    <w:rsid w:val="30B95B83"/>
    <w:rsid w:val="30CA3C5C"/>
    <w:rsid w:val="319D7CBA"/>
    <w:rsid w:val="326C1CFE"/>
    <w:rsid w:val="32E72810"/>
    <w:rsid w:val="33B2575C"/>
    <w:rsid w:val="341D4E0B"/>
    <w:rsid w:val="34AA5967"/>
    <w:rsid w:val="363158E8"/>
    <w:rsid w:val="363D41C8"/>
    <w:rsid w:val="37BE7500"/>
    <w:rsid w:val="37FF125D"/>
    <w:rsid w:val="382F433C"/>
    <w:rsid w:val="38792DCD"/>
    <w:rsid w:val="388749CB"/>
    <w:rsid w:val="38F428B2"/>
    <w:rsid w:val="39303776"/>
    <w:rsid w:val="395A0970"/>
    <w:rsid w:val="39A21B08"/>
    <w:rsid w:val="39B16A37"/>
    <w:rsid w:val="3A23030D"/>
    <w:rsid w:val="3AA10350"/>
    <w:rsid w:val="3AC96C9F"/>
    <w:rsid w:val="3B294BC5"/>
    <w:rsid w:val="3BD55437"/>
    <w:rsid w:val="3BD83E3D"/>
    <w:rsid w:val="3C1F45B2"/>
    <w:rsid w:val="3C936E0F"/>
    <w:rsid w:val="3CE70777"/>
    <w:rsid w:val="3D307C72"/>
    <w:rsid w:val="3D881438"/>
    <w:rsid w:val="3E470969"/>
    <w:rsid w:val="3E625A65"/>
    <w:rsid w:val="3E652753"/>
    <w:rsid w:val="3E6A5EFE"/>
    <w:rsid w:val="3ED01CCD"/>
    <w:rsid w:val="3F560A40"/>
    <w:rsid w:val="3F8A0D84"/>
    <w:rsid w:val="415F3F5F"/>
    <w:rsid w:val="416C4764"/>
    <w:rsid w:val="41887424"/>
    <w:rsid w:val="41BE0CEB"/>
    <w:rsid w:val="42613D77"/>
    <w:rsid w:val="428242AC"/>
    <w:rsid w:val="42E5074D"/>
    <w:rsid w:val="42F27732"/>
    <w:rsid w:val="42F9196C"/>
    <w:rsid w:val="42FD5DF4"/>
    <w:rsid w:val="43F81FA0"/>
    <w:rsid w:val="44DC00EB"/>
    <w:rsid w:val="452D6AB1"/>
    <w:rsid w:val="4610621A"/>
    <w:rsid w:val="46E33968"/>
    <w:rsid w:val="470D5494"/>
    <w:rsid w:val="473E4B6F"/>
    <w:rsid w:val="47A5361A"/>
    <w:rsid w:val="47BE3C82"/>
    <w:rsid w:val="47E40B80"/>
    <w:rsid w:val="482C47F7"/>
    <w:rsid w:val="48A94357"/>
    <w:rsid w:val="493801AD"/>
    <w:rsid w:val="493D6085"/>
    <w:rsid w:val="49734B0E"/>
    <w:rsid w:val="498B69E1"/>
    <w:rsid w:val="49CB1105"/>
    <w:rsid w:val="4A8D525B"/>
    <w:rsid w:val="4ABA06E8"/>
    <w:rsid w:val="4AF314C2"/>
    <w:rsid w:val="4B5E33B5"/>
    <w:rsid w:val="4C07034B"/>
    <w:rsid w:val="4C5D31BE"/>
    <w:rsid w:val="4C8816EA"/>
    <w:rsid w:val="4C8A2770"/>
    <w:rsid w:val="4E2F31D3"/>
    <w:rsid w:val="4EF111CB"/>
    <w:rsid w:val="4F0847BA"/>
    <w:rsid w:val="4FDA071E"/>
    <w:rsid w:val="509C604E"/>
    <w:rsid w:val="513C0F03"/>
    <w:rsid w:val="51D75E36"/>
    <w:rsid w:val="5277735B"/>
    <w:rsid w:val="529F4C9C"/>
    <w:rsid w:val="52AF2D38"/>
    <w:rsid w:val="52BB6B4A"/>
    <w:rsid w:val="55BA5237"/>
    <w:rsid w:val="561C29D4"/>
    <w:rsid w:val="56257A60"/>
    <w:rsid w:val="565C123F"/>
    <w:rsid w:val="56904426"/>
    <w:rsid w:val="573945F7"/>
    <w:rsid w:val="57DD5BC6"/>
    <w:rsid w:val="580515D3"/>
    <w:rsid w:val="59C62624"/>
    <w:rsid w:val="5A5D4984"/>
    <w:rsid w:val="5AAA3A4D"/>
    <w:rsid w:val="5ABC71EA"/>
    <w:rsid w:val="5AF869C4"/>
    <w:rsid w:val="5B9B465A"/>
    <w:rsid w:val="5C084598"/>
    <w:rsid w:val="5C435887"/>
    <w:rsid w:val="5C99056A"/>
    <w:rsid w:val="5D3E3D16"/>
    <w:rsid w:val="5D6836A6"/>
    <w:rsid w:val="5D7B386B"/>
    <w:rsid w:val="5DDA4CE2"/>
    <w:rsid w:val="5DEB2C25"/>
    <w:rsid w:val="5E3E6E2C"/>
    <w:rsid w:val="5E3F0130"/>
    <w:rsid w:val="5EFF6305"/>
    <w:rsid w:val="5F31561F"/>
    <w:rsid w:val="5F3B478D"/>
    <w:rsid w:val="5F983091"/>
    <w:rsid w:val="5FAC7E54"/>
    <w:rsid w:val="60043B33"/>
    <w:rsid w:val="600A090D"/>
    <w:rsid w:val="60F609D6"/>
    <w:rsid w:val="61434A36"/>
    <w:rsid w:val="61D378BD"/>
    <w:rsid w:val="62B21879"/>
    <w:rsid w:val="63611042"/>
    <w:rsid w:val="63863D2C"/>
    <w:rsid w:val="64B35355"/>
    <w:rsid w:val="653D7045"/>
    <w:rsid w:val="65441BB2"/>
    <w:rsid w:val="66736A21"/>
    <w:rsid w:val="67445133"/>
    <w:rsid w:val="67BC20AE"/>
    <w:rsid w:val="67F53B1D"/>
    <w:rsid w:val="68506708"/>
    <w:rsid w:val="68BF6A0A"/>
    <w:rsid w:val="6972401A"/>
    <w:rsid w:val="69B745FF"/>
    <w:rsid w:val="6A01571C"/>
    <w:rsid w:val="6A3C1A58"/>
    <w:rsid w:val="6A92793F"/>
    <w:rsid w:val="6BAE0628"/>
    <w:rsid w:val="6C6B4DFB"/>
    <w:rsid w:val="6D004977"/>
    <w:rsid w:val="6D8416D6"/>
    <w:rsid w:val="6DBA4E34"/>
    <w:rsid w:val="6E881964"/>
    <w:rsid w:val="6EAD30ED"/>
    <w:rsid w:val="6F666DD4"/>
    <w:rsid w:val="6F997223"/>
    <w:rsid w:val="700F5D9E"/>
    <w:rsid w:val="70442B7D"/>
    <w:rsid w:val="71D13952"/>
    <w:rsid w:val="725D57AD"/>
    <w:rsid w:val="72752D73"/>
    <w:rsid w:val="72D2758C"/>
    <w:rsid w:val="72EE509C"/>
    <w:rsid w:val="731B38CB"/>
    <w:rsid w:val="73832670"/>
    <w:rsid w:val="74191C03"/>
    <w:rsid w:val="742166FE"/>
    <w:rsid w:val="766905FD"/>
    <w:rsid w:val="76724FD8"/>
    <w:rsid w:val="76E93FA1"/>
    <w:rsid w:val="77430539"/>
    <w:rsid w:val="778857AA"/>
    <w:rsid w:val="797B5BDA"/>
    <w:rsid w:val="7A0E4EF2"/>
    <w:rsid w:val="7A3E7E49"/>
    <w:rsid w:val="7A406348"/>
    <w:rsid w:val="7A5955C8"/>
    <w:rsid w:val="7AB4245F"/>
    <w:rsid w:val="7B242672"/>
    <w:rsid w:val="7CB75974"/>
    <w:rsid w:val="7D6E4856"/>
    <w:rsid w:val="7DE114E3"/>
    <w:rsid w:val="7E021846"/>
    <w:rsid w:val="7E230E82"/>
    <w:rsid w:val="7E5A5758"/>
    <w:rsid w:val="7EEF71C5"/>
    <w:rsid w:val="7F9B4A72"/>
    <w:rsid w:val="7FF04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宋体" w:cs="黑体"/>
      <w:szCs w:val="24"/>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unhideWhenUsed/>
    <w:qFormat/>
    <w:uiPriority w:val="99"/>
    <w:pPr>
      <w:snapToGrid w:val="0"/>
      <w:jc w:val="left"/>
    </w:pPr>
    <w:rPr>
      <w:sz w:val="18"/>
    </w:rPr>
  </w:style>
  <w:style w:type="character" w:styleId="10">
    <w:name w:val="footnote reference"/>
    <w:basedOn w:val="9"/>
    <w:unhideWhenUsed/>
    <w:qFormat/>
    <w:uiPriority w:val="99"/>
    <w:rPr>
      <w:vertAlign w:val="superscript"/>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Body Text First Indent 2"/>
    <w:basedOn w:val="15"/>
    <w:qFormat/>
    <w:uiPriority w:val="0"/>
    <w:pPr>
      <w:spacing w:line="360" w:lineRule="auto"/>
    </w:pPr>
    <w:rPr>
      <w:rFonts w:eastAsia="宋体"/>
      <w:sz w:val="24"/>
    </w:rPr>
  </w:style>
  <w:style w:type="paragraph" w:customStyle="1" w:styleId="15">
    <w:name w:val="Body Text Indent"/>
    <w:basedOn w:val="1"/>
    <w:qFormat/>
    <w:uiPriority w:val="0"/>
    <w:pPr>
      <w:spacing w:line="150" w:lineRule="atLeast"/>
      <w:ind w:firstLine="420" w:firstLineChars="200"/>
      <w:textAlignment w:val="baseline"/>
    </w:pPr>
    <w:rPr>
      <w:rFonts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6446</Words>
  <Characters>7812</Characters>
  <TotalTime>0</TotalTime>
  <ScaleCrop>false</ScaleCrop>
  <LinksUpToDate>false</LinksUpToDate>
  <CharactersWithSpaces>8031</CharactersWithSpaces>
  <Application>WPS Office_10.8.0.6206_F1E327BC-269C-435d-A152-05C5408002CA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2025-01-13T09:42:00Z</dcterms:created>
  <dc:creator>Kingsoft-PDF</dc:creator>
  <cp:lastModifiedBy>区统计局</cp:lastModifiedBy>
  <cp:lastPrinted>2025-08-12T03:10:00Z</cp:lastPrinted>
  <dcterms:modified xsi:type="dcterms:W3CDTF">2025-08-15T06:17:34Z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2025-01-13T09:42:29Z</vt:filetime>
  </property>
  <property fmtid="{D5CDD505-2E9C-101B-9397-08002B2CF9AE}" pid="4" name="UsrData">
    <vt:lpwstr>67846f81182be6001f053a9awl</vt:lpwstr>
  </property>
  <property fmtid="{D5CDD505-2E9C-101B-9397-08002B2CF9AE}" pid="5" name="KSOTemplateDocerSaveRecord">
    <vt:lpwstr>eyJoZGlkIjoiZTgzZGMwMzExZjgzNzU4MmEwYWQ5YWFkYWE3ZDI5MmQiLCJ1c2VySWQiOiI0NDMwMzU4MjIifQ==</vt:lpwstr>
  </property>
  <property fmtid="{D5CDD505-2E9C-101B-9397-08002B2CF9AE}" pid="6" name="KSOProductBuildVer">
    <vt:lpwstr>2052-10.8.0.6206</vt:lpwstr>
  </property>
  <property fmtid="{D5CDD505-2E9C-101B-9397-08002B2CF9AE}" pid="7" name="ICV">
    <vt:lpwstr>D9151DC611FF4BF3AD69116CC011E7A9_13</vt:lpwstr>
  </property>
</Properties>
</file>