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黑体" w:hAnsi="黑体" w:eastAsia="黑体" w:cs="黑体"/>
          <w:bCs/>
          <w:sz w:val="44"/>
          <w:lang w:val="en-US" w:eastAsia="zh-CN"/>
        </w:rPr>
      </w:pPr>
      <w:bookmarkStart w:id="7" w:name="_GoBack"/>
      <w:bookmarkEnd w:id="7"/>
      <w:bookmarkStart w:id="0" w:name="_Toc29434_WPSOffice_Level2"/>
      <w:r>
        <w:rPr>
          <w:rFonts w:hint="eastAsia" w:ascii="黑体" w:hAnsi="黑体" w:eastAsia="黑体" w:cs="黑体"/>
          <w:bCs/>
          <w:sz w:val="44"/>
          <w:lang w:val="en-US" w:eastAsia="zh-CN"/>
        </w:rPr>
        <w:t>附件1：</w:t>
      </w:r>
    </w:p>
    <w:p>
      <w:pPr>
        <w:snapToGrid w:val="0"/>
        <w:jc w:val="center"/>
        <w:rPr>
          <w:rFonts w:hint="eastAsia" w:ascii="方正小标宋简体" w:hAnsi="方正小标宋简体" w:eastAsia="方正小标宋简体" w:cs="方正小标宋简体"/>
          <w:bCs/>
          <w:sz w:val="44"/>
        </w:rPr>
      </w:pPr>
    </w:p>
    <w:p>
      <w:pPr>
        <w:snapToGrid w:val="0"/>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环南昆山-罗浮山县镇村高质量发展引领区（增城片区）增江绿美经济带用地梳理</w:t>
      </w:r>
    </w:p>
    <w:p>
      <w:pPr>
        <w:snapToGrid w:val="0"/>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及前期招商指引策划</w:t>
      </w:r>
      <w:bookmarkEnd w:id="0"/>
      <w:r>
        <w:rPr>
          <w:rFonts w:hint="eastAsia" w:ascii="方正小标宋简体" w:hAnsi="方正小标宋简体" w:eastAsia="方正小标宋简体" w:cs="方正小标宋简体"/>
          <w:bCs/>
          <w:sz w:val="44"/>
        </w:rPr>
        <w:t>项目采购需求书</w:t>
      </w:r>
    </w:p>
    <w:tbl>
      <w:tblPr>
        <w:tblStyle w:val="8"/>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234"/>
        <w:gridCol w:w="7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234"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w:t>
            </w:r>
          </w:p>
        </w:tc>
        <w:tc>
          <w:tcPr>
            <w:tcW w:w="7270"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16"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34"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7270" w:type="dxa"/>
            <w:vAlign w:val="center"/>
          </w:tcPr>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环南昆山-罗浮山县镇村高质量发展引领区（增城片区）增江绿美经济带用地梳理及前期招商指引策划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34"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项目业主情况</w:t>
            </w:r>
          </w:p>
        </w:tc>
        <w:tc>
          <w:tcPr>
            <w:tcW w:w="7270" w:type="dxa"/>
            <w:vAlign w:val="center"/>
          </w:tcPr>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项目业主：广州市规划和自然资源局增城区分局</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地址：广州市增城区荔城街光明西路108号</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联系电话：82616728</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联系人：黄桂霞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pPr>
              <w:snapToGrid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p>
        </w:tc>
        <w:tc>
          <w:tcPr>
            <w:tcW w:w="1234" w:type="dxa"/>
            <w:vAlign w:val="center"/>
          </w:tcPr>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color w:val="auto"/>
                <w:sz w:val="32"/>
                <w:szCs w:val="32"/>
              </w:rPr>
              <w:t>响应</w:t>
            </w:r>
            <w:r>
              <w:rPr>
                <w:rFonts w:hint="eastAsia" w:ascii="仿宋_GB2312" w:hAnsi="仿宋_GB2312" w:eastAsia="仿宋_GB2312" w:cs="仿宋_GB2312"/>
                <w:sz w:val="32"/>
                <w:szCs w:val="32"/>
              </w:rPr>
              <w:t>机构的资质要求</w:t>
            </w:r>
          </w:p>
        </w:tc>
        <w:tc>
          <w:tcPr>
            <w:tcW w:w="7270" w:type="dxa"/>
            <w:vAlign w:val="center"/>
          </w:tcPr>
          <w:p>
            <w:pPr>
              <w:numPr>
                <w:ilvl w:val="-1"/>
                <w:numId w:val="0"/>
              </w:numPr>
              <w:snapToGrid w:val="0"/>
              <w:ind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具有独立承担民事责任的能力，提供以下相关证照的扫描件之一：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企业法人提供企业法人营业执照；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事业法人提供事业法人登记证；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其他组织提供其他组织的营业执照或执业许可证；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自然人提供居民身份证等。分支机构投标的，还须提供分支机构的营业执照（执业许可证）扫描件及总公司（总所）出具给分支机构的授权书。</w:t>
            </w:r>
          </w:p>
          <w:p>
            <w:pPr>
              <w:numPr>
                <w:ilvl w:val="-1"/>
                <w:numId w:val="0"/>
              </w:numPr>
              <w:snapToGrid w:val="0"/>
              <w:ind w:firstLine="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投标人没有处于被责令停业的状态，没有处于被行政主管部门取消投标资格的处罚期内，没有处于财产被接管、冻结、破产的状态。</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资质要求：具备在有效期内的城乡规划编制</w:t>
            </w:r>
            <w:r>
              <w:rPr>
                <w:rFonts w:hint="default" w:ascii="仿宋_GB2312" w:hAnsi="仿宋_GB2312" w:eastAsia="仿宋_GB2312" w:cs="仿宋_GB2312"/>
                <w:color w:val="FF0000"/>
                <w:sz w:val="32"/>
                <w:szCs w:val="32"/>
              </w:rPr>
              <w:t>乙</w:t>
            </w:r>
            <w:r>
              <w:rPr>
                <w:rFonts w:hint="eastAsia" w:ascii="仿宋_GB2312" w:hAnsi="仿宋_GB2312" w:eastAsia="仿宋_GB2312" w:cs="仿宋_GB2312"/>
                <w:color w:val="FF0000"/>
                <w:sz w:val="32"/>
                <w:szCs w:val="32"/>
              </w:rPr>
              <w:t>级</w:t>
            </w:r>
            <w:r>
              <w:rPr>
                <w:rFonts w:hint="eastAsia" w:ascii="仿宋_GB2312" w:hAnsi="仿宋_GB2312" w:eastAsia="仿宋_GB2312" w:cs="仿宋_GB2312"/>
                <w:color w:val="auto"/>
                <w:sz w:val="32"/>
                <w:szCs w:val="32"/>
              </w:rPr>
              <w:t>或以上资质。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pPr>
              <w:snapToGrid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p>
        </w:tc>
        <w:tc>
          <w:tcPr>
            <w:tcW w:w="1234"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服务内容和服务要求</w:t>
            </w:r>
          </w:p>
        </w:tc>
        <w:tc>
          <w:tcPr>
            <w:tcW w:w="7270" w:type="dxa"/>
            <w:vAlign w:val="center"/>
          </w:tcPr>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包括但不限于：</w:t>
            </w:r>
          </w:p>
          <w:p>
            <w:pPr>
              <w:numPr>
                <w:ilvl w:val="0"/>
                <w:numId w:val="1"/>
              </w:num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基本情况：根据增城区“百千万工程”指挥部发布的《广州市增城区推进环南昆山—罗浮山县镇村高质量发展引领区建设实施方案（2024—2027年）》，增江绿美经济带是增城区环“两山”引领区“1+6”建设重点之首，为加快推进引领区建设，需引入相关项目，打造最美增江游，支撑绿美经济带发展。</w:t>
            </w:r>
          </w:p>
          <w:p>
            <w:pPr>
              <w:numPr>
                <w:ilvl w:val="0"/>
                <w:numId w:val="1"/>
              </w:num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工作依据：</w:t>
            </w:r>
          </w:p>
          <w:p>
            <w:pPr>
              <w:pStyle w:val="6"/>
              <w:widowControl w:val="0"/>
              <w:numPr>
                <w:ilvl w:val="0"/>
                <w:numId w:val="2"/>
              </w:numPr>
              <w:tabs>
                <w:tab w:val="clear" w:pos="0"/>
              </w:tabs>
              <w:snapToGrid w:val="0"/>
              <w:spacing w:before="0" w:beforeAutospacing="0" w:after="0" w:afterAutospacing="0" w:line="240" w:lineRule="auto"/>
              <w:rPr>
                <w:rFonts w:hint="eastAsia" w:ascii="仿宋_GB2312" w:hAnsi="仿宋_GB2312" w:eastAsia="仿宋_GB2312" w:cs="仿宋_GB2312"/>
                <w:sz w:val="32"/>
                <w:szCs w:val="32"/>
              </w:rPr>
            </w:pPr>
            <w:bookmarkStart w:id="1" w:name="OLE_LINK8"/>
            <w:r>
              <w:rPr>
                <w:rFonts w:hint="eastAsia" w:ascii="仿宋_GB2312" w:hAnsi="仿宋_GB2312" w:eastAsia="仿宋_GB2312" w:cs="仿宋_GB2312"/>
                <w:sz w:val="32"/>
                <w:szCs w:val="32"/>
              </w:rPr>
              <w:t>《环南昆山-罗浮山县镇村高质量发展引领区总体规划纲要》</w:t>
            </w:r>
            <w:bookmarkEnd w:id="1"/>
            <w:r>
              <w:rPr>
                <w:rFonts w:hint="eastAsia" w:ascii="仿宋_GB2312" w:hAnsi="仿宋_GB2312" w:eastAsia="仿宋_GB2312" w:cs="仿宋_GB2312"/>
                <w:sz w:val="32"/>
                <w:szCs w:val="32"/>
              </w:rPr>
              <w:t>；</w:t>
            </w:r>
          </w:p>
          <w:p>
            <w:pPr>
              <w:pStyle w:val="6"/>
              <w:widowControl w:val="0"/>
              <w:numPr>
                <w:ilvl w:val="0"/>
                <w:numId w:val="2"/>
              </w:numPr>
              <w:tabs>
                <w:tab w:val="clear" w:pos="0"/>
              </w:tabs>
              <w:snapToGrid w:val="0"/>
              <w:spacing w:before="0" w:beforeAutospacing="0" w:after="0" w:afterAutospacing="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《广州市国土空间总体规划(2021-2035)》；</w:t>
            </w:r>
          </w:p>
          <w:p>
            <w:pPr>
              <w:pStyle w:val="6"/>
              <w:widowControl w:val="0"/>
              <w:numPr>
                <w:ilvl w:val="0"/>
                <w:numId w:val="2"/>
              </w:numPr>
              <w:tabs>
                <w:tab w:val="clear" w:pos="0"/>
              </w:tabs>
              <w:snapToGrid w:val="0"/>
              <w:spacing w:before="0" w:beforeAutospacing="0" w:after="0" w:afterAutospacing="0" w:line="240" w:lineRule="auto"/>
              <w:rPr>
                <w:rFonts w:hint="eastAsia" w:ascii="仿宋_GB2312" w:hAnsi="仿宋_GB2312" w:eastAsia="仿宋_GB2312" w:cs="仿宋_GB2312"/>
                <w:sz w:val="32"/>
                <w:szCs w:val="32"/>
              </w:rPr>
            </w:pPr>
            <w:bookmarkStart w:id="2" w:name="OLE_LINK9"/>
            <w:r>
              <w:rPr>
                <w:rFonts w:hint="eastAsia" w:ascii="仿宋_GB2312" w:hAnsi="仿宋_GB2312" w:eastAsia="仿宋_GB2312" w:cs="仿宋_GB2312"/>
                <w:sz w:val="32"/>
                <w:szCs w:val="32"/>
              </w:rPr>
              <w:t>《广州市推进环南昆山一罗浮山县镇村高质量发展引领区建设实施方案(2024-2027年)》；</w:t>
            </w:r>
          </w:p>
          <w:bookmarkEnd w:id="2"/>
          <w:p>
            <w:pPr>
              <w:pStyle w:val="6"/>
              <w:widowControl w:val="0"/>
              <w:numPr>
                <w:ilvl w:val="0"/>
                <w:numId w:val="2"/>
              </w:numPr>
              <w:tabs>
                <w:tab w:val="clear" w:pos="0"/>
              </w:tabs>
              <w:snapToGrid w:val="0"/>
              <w:spacing w:before="0" w:beforeAutospacing="0" w:after="0" w:afterAutospacing="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《环南昆山-罗浮山县镇村高质量发展引领区(增城片区)总体规划》；</w:t>
            </w:r>
          </w:p>
          <w:p>
            <w:pPr>
              <w:pStyle w:val="6"/>
              <w:widowControl w:val="0"/>
              <w:numPr>
                <w:ilvl w:val="0"/>
                <w:numId w:val="2"/>
              </w:numPr>
              <w:tabs>
                <w:tab w:val="clear" w:pos="0"/>
              </w:tabs>
              <w:snapToGrid w:val="0"/>
              <w:spacing w:before="0" w:beforeAutospacing="0" w:after="0" w:afterAutospacing="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《广州市增城区国土空间总体规划（2021-2035）》；</w:t>
            </w:r>
          </w:p>
          <w:p>
            <w:pPr>
              <w:pStyle w:val="6"/>
              <w:widowControl w:val="0"/>
              <w:numPr>
                <w:ilvl w:val="0"/>
                <w:numId w:val="2"/>
              </w:numPr>
              <w:tabs>
                <w:tab w:val="clear" w:pos="0"/>
              </w:tabs>
              <w:snapToGrid w:val="0"/>
              <w:spacing w:before="0" w:beforeAutospacing="0" w:after="0" w:afterAutospacing="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《广州市增城区国民经济和社会发展第十四个五年规划和2035年远景目标纲要》；</w:t>
            </w:r>
          </w:p>
          <w:p>
            <w:pPr>
              <w:pStyle w:val="6"/>
              <w:widowControl w:val="0"/>
              <w:numPr>
                <w:ilvl w:val="0"/>
                <w:numId w:val="2"/>
              </w:numPr>
              <w:tabs>
                <w:tab w:val="clear" w:pos="0"/>
              </w:tabs>
              <w:snapToGrid w:val="0"/>
              <w:spacing w:before="0" w:beforeAutospacing="0" w:after="0" w:afterAutospacing="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《广州市增城区推进环南昆山-罗浮山县镇村高质量发展引领区建设实施方案(2024-2027年)》；</w:t>
            </w:r>
          </w:p>
          <w:p>
            <w:pPr>
              <w:pStyle w:val="6"/>
              <w:widowControl w:val="0"/>
              <w:numPr>
                <w:ilvl w:val="0"/>
                <w:numId w:val="2"/>
              </w:numPr>
              <w:tabs>
                <w:tab w:val="clear" w:pos="0"/>
              </w:tabs>
              <w:snapToGrid w:val="0"/>
              <w:spacing w:before="0" w:beforeAutospacing="0" w:after="0" w:afterAutospacing="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各镇街控制性详细规划及专项规划等资料。</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3.服务类型：用地梳理及前期招商指引策划。</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服务要求：本次采购服务为编制环南昆山-罗浮山县镇村高质量发展引领区（增城片区）增江绿美经济带用地梳理及前期招商指引策划的项目成果，包括增江绿美经济带重点地块推介手册编制、增江绿美经济带重点地块招商策划指引编制、图纸周期更新与管理体系构建、省级以上宣传平台推广。</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5.服务内容：</w:t>
            </w:r>
            <w:bookmarkStart w:id="3" w:name="OLE_LINK10"/>
          </w:p>
          <w:bookmarkEnd w:id="3"/>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（1）编制增江绿美经济带重点地块推介手册</w:t>
            </w:r>
          </w:p>
          <w:p>
            <w:pPr>
              <w:snapToGrid w:val="0"/>
              <w:jc w:val="left"/>
              <w:rPr>
                <w:rFonts w:hint="eastAsia" w:ascii="仿宋_GB2312" w:hAnsi="仿宋_GB2312" w:eastAsia="仿宋_GB2312" w:cs="仿宋_GB2312"/>
                <w:sz w:val="32"/>
                <w:szCs w:val="32"/>
              </w:rPr>
            </w:pPr>
            <w:bookmarkStart w:id="4" w:name="OLE_LINK11"/>
            <w:r>
              <w:rPr>
                <w:rFonts w:hint="eastAsia" w:ascii="仿宋_GB2312" w:hAnsi="仿宋_GB2312" w:eastAsia="仿宋_GB2312" w:cs="仿宋_GB2312"/>
                <w:sz w:val="32"/>
                <w:szCs w:val="32"/>
              </w:rPr>
              <w:t>开展系统性资源普查与调研，对增江绿美经济带范围内用地资源开展全要素、多维度的精准摸查与评估。综合分析增江绿美经济带范围内现状用地情况，明确可用地范围、可招商地块规模、实施步骤、完成时限等内容，形成增江绿美经济带重点地块推介手册，为精准招商提供全要素、可视化决策支撑，全力打造大湾区绿色产业招商示范样板。</w:t>
            </w:r>
          </w:p>
          <w:bookmarkEnd w:id="4"/>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（2）编制增江绿美经济带重点地块招商策划指引</w:t>
            </w:r>
          </w:p>
          <w:p>
            <w:pPr>
              <w:snapToGrid w:val="0"/>
              <w:jc w:val="left"/>
              <w:rPr>
                <w:rFonts w:hint="eastAsia" w:ascii="仿宋_GB2312" w:hAnsi="仿宋_GB2312" w:eastAsia="仿宋_GB2312" w:cs="仿宋_GB2312"/>
                <w:sz w:val="32"/>
                <w:szCs w:val="32"/>
              </w:rPr>
            </w:pPr>
            <w:bookmarkStart w:id="5" w:name="OLE_LINK15"/>
            <w:r>
              <w:rPr>
                <w:rFonts w:hint="eastAsia" w:ascii="仿宋_GB2312" w:hAnsi="仿宋_GB2312" w:eastAsia="仿宋_GB2312" w:cs="仿宋_GB2312"/>
                <w:sz w:val="32"/>
                <w:szCs w:val="32"/>
              </w:rPr>
              <w:t>一是开展“产业链+创新链+价值链”三链融合研究，锁定新能源、生物医药、数字农业等战略性新兴产业，明确智能制造、生态文旅、现代农业等主导产业招商类型，制定“强链、补链、延链” 靶向招商目录。</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创新“产业地图+政策工具箱+企业画像”精准匹配模式，定制“一类一策”招商方案，创新编制增江绿美经济带重点地块招商策划指引，确保招商策略与区域产业发展同频共振，力争实现重点地块招商匹配度提升、项目落地周期缩短，打造大湾区产城融合示范新标杆。</w:t>
            </w:r>
          </w:p>
          <w:bookmarkEnd w:id="5"/>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（3）图纸周期更新与管理体系构建</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季度更新机制，对控规调整、土地整备等图纸实施版本化管理；开展数字化图库管理，实现CAD图纸与GIS平台的动态关联；组建由国土空间规划、招商等部门组成的联合审核小组，确保图纸数据一致性；每半年开展图纸数据质量评估，形成问题清单及整改台账。</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bookmarkStart w:id="6" w:name="OLE_LINK3"/>
            <w:r>
              <w:rPr>
                <w:rFonts w:hint="eastAsia" w:ascii="仿宋_GB2312" w:hAnsi="仿宋_GB2312" w:eastAsia="仿宋_GB2312" w:cs="仿宋_GB2312"/>
                <w:sz w:val="32"/>
                <w:szCs w:val="32"/>
              </w:rPr>
              <w:t>省级以上宣传平台</w:t>
            </w:r>
            <w:bookmarkEnd w:id="6"/>
            <w:r>
              <w:rPr>
                <w:rFonts w:hint="eastAsia" w:ascii="仿宋_GB2312" w:hAnsi="仿宋_GB2312" w:eastAsia="仿宋_GB2312" w:cs="仿宋_GB2312"/>
                <w:sz w:val="32"/>
                <w:szCs w:val="32"/>
              </w:rPr>
              <w:t>推广</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省级及以上主流媒体等平台，进行多维度、全方位的宣传推广，全方位展示区域发展优势与潜力，精准对接优质资源，高效推进招商引资工作，持续提升引领区的品牌影响力与社会美誉度，为增城高质量发展注入强劲动能。</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6.进度要求：合同</w:t>
            </w:r>
            <w:r>
              <w:rPr>
                <w:rFonts w:hint="eastAsia" w:ascii="仿宋_GB2312" w:hAnsi="仿宋_GB2312" w:eastAsia="仿宋_GB2312" w:cs="仿宋_GB2312"/>
                <w:sz w:val="32"/>
                <w:szCs w:val="32"/>
                <w:lang w:val="en-US" w:eastAsia="zh-CN"/>
              </w:rPr>
              <w:t>签定后12个月内</w:t>
            </w:r>
            <w:r>
              <w:rPr>
                <w:rFonts w:hint="eastAsia" w:ascii="仿宋_GB2312" w:hAnsi="仿宋_GB2312" w:eastAsia="仿宋_GB2312" w:cs="仿宋_GB2312"/>
                <w:sz w:val="32"/>
                <w:szCs w:val="32"/>
              </w:rPr>
              <w:t>完成。</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7.成果要求：</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本次规划成果应包括增江绿美经济带重点地块推介手册、重点地块招商策划指引、相关图纸及新闻宣传稿件等文件。所有设计图纸深度必须达到国家、广东省和广州市有关规定要求。</w:t>
            </w:r>
          </w:p>
          <w:p>
            <w:pPr>
              <w:numPr>
                <w:ilvl w:val="0"/>
                <w:numId w:val="3"/>
              </w:num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人员配置及质量要求：投标人应具有开展本项目的专业能力，</w:t>
            </w:r>
            <w:r>
              <w:rPr>
                <w:rFonts w:hint="eastAsia" w:ascii="仿宋_GB2312" w:hAnsi="仿宋_GB2312" w:eastAsia="仿宋_GB2312" w:cs="仿宋_GB2312"/>
                <w:sz w:val="32"/>
                <w:szCs w:val="32"/>
                <w:lang w:val="en-US" w:eastAsia="zh-CN"/>
              </w:rPr>
              <w:t>需为本项目</w:t>
            </w:r>
            <w:r>
              <w:rPr>
                <w:rFonts w:hint="eastAsia" w:ascii="仿宋" w:hAnsi="仿宋" w:eastAsia="仿宋" w:cs="仿宋"/>
                <w:color w:val="auto"/>
                <w:sz w:val="30"/>
                <w:szCs w:val="30"/>
                <w:highlight w:val="none"/>
              </w:rPr>
              <w:t>配备1名</w:t>
            </w:r>
            <w:r>
              <w:rPr>
                <w:rFonts w:hint="eastAsia" w:ascii="仿宋" w:hAnsi="仿宋" w:eastAsia="仿宋" w:cs="仿宋"/>
                <w:color w:val="auto"/>
                <w:sz w:val="30"/>
                <w:szCs w:val="30"/>
                <w:highlight w:val="none"/>
                <w:lang w:val="en-US" w:eastAsia="zh-CN"/>
              </w:rPr>
              <w:t>城乡规划</w:t>
            </w:r>
            <w:r>
              <w:rPr>
                <w:rFonts w:hint="eastAsia" w:ascii="仿宋" w:hAnsi="仿宋" w:eastAsia="仿宋" w:cs="仿宋"/>
                <w:color w:val="auto"/>
                <w:sz w:val="30"/>
                <w:szCs w:val="30"/>
                <w:highlight w:val="none"/>
              </w:rPr>
              <w:t>专业中级或以上技术职称</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rPr>
              <w:t>项目负责人和不少于</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名</w:t>
            </w:r>
            <w:r>
              <w:rPr>
                <w:rFonts w:hint="eastAsia" w:ascii="仿宋" w:hAnsi="仿宋" w:eastAsia="仿宋" w:cs="仿宋"/>
                <w:color w:val="auto"/>
                <w:sz w:val="30"/>
                <w:szCs w:val="30"/>
                <w:highlight w:val="none"/>
                <w:lang w:val="en-US" w:eastAsia="zh-CN"/>
              </w:rPr>
              <w:t>专业技术人员</w:t>
            </w:r>
            <w:r>
              <w:rPr>
                <w:rFonts w:hint="eastAsia" w:ascii="仿宋" w:hAnsi="仿宋" w:eastAsia="仿宋" w:cs="仿宋"/>
                <w:color w:val="auto"/>
                <w:sz w:val="30"/>
                <w:szCs w:val="30"/>
                <w:highlight w:val="none"/>
              </w:rPr>
              <w:t>的服务团队；所投入人员</w:t>
            </w:r>
            <w:r>
              <w:rPr>
                <w:rFonts w:hint="eastAsia" w:ascii="仿宋" w:hAnsi="仿宋" w:eastAsia="仿宋" w:cs="仿宋"/>
                <w:color w:val="auto"/>
                <w:sz w:val="30"/>
                <w:szCs w:val="30"/>
                <w:highlight w:val="none"/>
                <w:lang w:val="en-US" w:eastAsia="zh-CN"/>
              </w:rPr>
              <w:t>应</w:t>
            </w:r>
            <w:r>
              <w:rPr>
                <w:rFonts w:hint="eastAsia" w:ascii="仿宋" w:hAnsi="仿宋" w:eastAsia="仿宋" w:cs="仿宋"/>
                <w:color w:val="auto"/>
                <w:sz w:val="30"/>
                <w:szCs w:val="30"/>
                <w:highlight w:val="none"/>
              </w:rPr>
              <w:t>具有</w:t>
            </w:r>
            <w:r>
              <w:rPr>
                <w:rFonts w:hint="eastAsia" w:ascii="仿宋" w:hAnsi="仿宋" w:eastAsia="仿宋" w:cs="仿宋"/>
                <w:color w:val="auto"/>
                <w:sz w:val="30"/>
                <w:szCs w:val="30"/>
                <w:highlight w:val="none"/>
                <w:lang w:val="en-US" w:eastAsia="zh-CN"/>
              </w:rPr>
              <w:t>城乡规划</w:t>
            </w:r>
            <w:r>
              <w:rPr>
                <w:rFonts w:hint="eastAsia" w:ascii="仿宋" w:hAnsi="仿宋" w:eastAsia="仿宋" w:cs="仿宋"/>
                <w:color w:val="auto"/>
                <w:sz w:val="30"/>
                <w:szCs w:val="30"/>
                <w:highlight w:val="none"/>
              </w:rPr>
              <w:t>初级或以上职称资格</w:t>
            </w:r>
            <w:r>
              <w:rPr>
                <w:rFonts w:hint="eastAsia" w:ascii="仿宋" w:hAnsi="仿宋" w:eastAsia="仿宋" w:cs="仿宋"/>
                <w:color w:val="auto"/>
                <w:sz w:val="30"/>
                <w:szCs w:val="30"/>
              </w:rPr>
              <w:t>。</w:t>
            </w:r>
            <w:r>
              <w:rPr>
                <w:rFonts w:hint="eastAsia" w:ascii="仿宋" w:hAnsi="仿宋" w:eastAsia="仿宋" w:cs="仿宋"/>
                <w:sz w:val="30"/>
                <w:szCs w:val="30"/>
                <w:highlight w:val="none"/>
                <w:lang w:val="en-US" w:eastAsia="zh-CN"/>
              </w:rPr>
              <w:t>对项目的全过程进行跟踪服务。</w:t>
            </w:r>
            <w:r>
              <w:rPr>
                <w:rFonts w:hint="eastAsia" w:ascii="仿宋" w:hAnsi="仿宋" w:eastAsia="仿宋" w:cs="仿宋"/>
                <w:sz w:val="30"/>
                <w:szCs w:val="30"/>
                <w:highlight w:val="none"/>
              </w:rPr>
              <w:t>提交的成果深度需满足现行相关法律法规及国家规范和行业标准。</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9.投标人需在收到采购人通知(电话或书面)后2小时内(含2小时)响应到位。</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10后续（售后）服务要求：本项目完结后在涉及复核审计相关工作时，提供技术交底等工作的配合。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pPr>
              <w:snapToGrid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p>
        </w:tc>
        <w:tc>
          <w:tcPr>
            <w:tcW w:w="1234"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合同履行地点和方式</w:t>
            </w:r>
          </w:p>
        </w:tc>
        <w:tc>
          <w:tcPr>
            <w:tcW w:w="7270" w:type="dxa"/>
            <w:vAlign w:val="center"/>
          </w:tcPr>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.提供服务的地点：广州市增城区。</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.履行方式：按国家和省相关规程规范要求按时完成各阶段的工作并保证其成果质量，对项目的全过程进行跟踪服务。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pPr>
              <w:snapToGrid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p>
        </w:tc>
        <w:tc>
          <w:tcPr>
            <w:tcW w:w="1234"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方式和计价标准</w:t>
            </w:r>
          </w:p>
        </w:tc>
        <w:tc>
          <w:tcPr>
            <w:tcW w:w="7270" w:type="dxa"/>
            <w:vAlign w:val="center"/>
          </w:tcPr>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方式：</w:t>
            </w:r>
            <w:r>
              <w:rPr>
                <w:rFonts w:hint="eastAsia" w:ascii="仿宋_GB2312" w:hAnsi="仿宋_GB2312" w:eastAsia="仿宋_GB2312" w:cs="仿宋_GB2312"/>
                <w:sz w:val="32"/>
                <w:szCs w:val="32"/>
                <w:lang w:val="en-US" w:eastAsia="zh-CN"/>
              </w:rPr>
              <w:t>综合评审法</w:t>
            </w:r>
            <w:r>
              <w:rPr>
                <w:rFonts w:hint="eastAsia" w:ascii="仿宋_GB2312" w:hAnsi="仿宋_GB2312" w:eastAsia="仿宋_GB2312" w:cs="仿宋_GB2312"/>
                <w:sz w:val="32"/>
                <w:szCs w:val="32"/>
              </w:rPr>
              <w:t>。</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2.报价方式：报总价，最高限价70万元整，上述金额含税费。原则上超出最高限价的为无效报价。</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3.计价标准：参考同类型规划编制项目报价情况，结合增城区的市场行情及项目规模确定。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pPr>
              <w:snapToGrid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p>
        </w:tc>
        <w:tc>
          <w:tcPr>
            <w:tcW w:w="1234"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服务时间</w:t>
            </w:r>
          </w:p>
        </w:tc>
        <w:tc>
          <w:tcPr>
            <w:tcW w:w="7270" w:type="dxa"/>
            <w:vAlign w:val="center"/>
          </w:tcPr>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本项目采购合同自双方盖公章后生效。本项目服务期为自合同生效之日起12个月。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pPr>
              <w:snapToGrid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p>
        </w:tc>
        <w:tc>
          <w:tcPr>
            <w:tcW w:w="1234"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w:t>
            </w:r>
          </w:p>
        </w:tc>
        <w:tc>
          <w:tcPr>
            <w:tcW w:w="7270" w:type="dxa"/>
            <w:vAlign w:val="center"/>
          </w:tcPr>
          <w:p>
            <w:pPr>
              <w:tabs>
                <w:tab w:val="left" w:pos="312"/>
              </w:tabs>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1.验收主体：</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w:t>
            </w:r>
          </w:p>
          <w:p>
            <w:pPr>
              <w:tabs>
                <w:tab w:val="left" w:pos="312"/>
              </w:tabs>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2.验收时间：至少满足下列条件，方可开展验收。</w:t>
            </w:r>
          </w:p>
          <w:p>
            <w:pPr>
              <w:tabs>
                <w:tab w:val="left" w:pos="312"/>
              </w:tabs>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（1）完成</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的全部工作内容后。</w:t>
            </w:r>
          </w:p>
          <w:p>
            <w:pPr>
              <w:tabs>
                <w:tab w:val="left" w:pos="312"/>
              </w:tabs>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（2）成果内容须符合规定的编制原则、编制规范等要点的规定。</w:t>
            </w:r>
          </w:p>
          <w:p>
            <w:pPr>
              <w:tabs>
                <w:tab w:val="left" w:pos="312"/>
              </w:tabs>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（3）成果报告须做到材料完整，内容齐全。</w:t>
            </w:r>
          </w:p>
          <w:p>
            <w:pPr>
              <w:tabs>
                <w:tab w:val="left" w:pos="312"/>
              </w:tabs>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提交项目成果的形式：纸质文件、电子文件或者</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要求的其他形式。</w:t>
            </w:r>
          </w:p>
          <w:p>
            <w:pPr>
              <w:tabs>
                <w:tab w:val="left" w:pos="312"/>
              </w:tabs>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4.验收标准：（1）符合中华人民共和国国家和履约地相关安全质量标准、行业技术规范标准；（2）符合本项目采购文件要求和</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应标文件承诺的相应标准；（3）双方在本项目实施过程中约定的其他相关技术要求。</w:t>
            </w:r>
          </w:p>
          <w:p>
            <w:pPr>
              <w:tabs>
                <w:tab w:val="left" w:pos="312"/>
              </w:tabs>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5.验收不合格的处理方式：负责修编项目成果直至符合主管部门审批要求和合同约定要求。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pPr>
              <w:snapToGrid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p>
        </w:tc>
        <w:tc>
          <w:tcPr>
            <w:tcW w:w="1234"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结算方式</w:t>
            </w:r>
          </w:p>
        </w:tc>
        <w:tc>
          <w:tcPr>
            <w:tcW w:w="7270" w:type="dxa"/>
            <w:vAlign w:val="center"/>
          </w:tcPr>
          <w:p>
            <w:pPr>
              <w:pStyle w:val="12"/>
              <w:numPr>
                <w:ilvl w:val="0"/>
                <w:numId w:val="4"/>
              </w:numPr>
              <w:snapToGrid w:val="0"/>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本项目分</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期付款。</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第一期：合同签订后5个工作日内，</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lang w:bidi="ar"/>
              </w:rPr>
              <w:t>向</w:t>
            </w:r>
            <w:r>
              <w:rPr>
                <w:rFonts w:hint="eastAsia" w:ascii="仿宋_GB2312" w:hAnsi="仿宋_GB2312" w:eastAsia="仿宋_GB2312" w:cs="仿宋_GB2312"/>
                <w:sz w:val="32"/>
                <w:szCs w:val="32"/>
                <w:lang w:eastAsia="zh-CN" w:bidi="ar"/>
              </w:rPr>
              <w:t>采购人</w:t>
            </w:r>
            <w:r>
              <w:rPr>
                <w:rFonts w:hint="eastAsia" w:ascii="仿宋_GB2312" w:hAnsi="仿宋_GB2312" w:eastAsia="仿宋_GB2312" w:cs="仿宋_GB2312"/>
                <w:sz w:val="32"/>
                <w:szCs w:val="32"/>
                <w:lang w:bidi="ar"/>
              </w:rPr>
              <w:t>提供支付凭证，</w:t>
            </w:r>
            <w:r>
              <w:rPr>
                <w:rFonts w:hint="eastAsia" w:ascii="仿宋_GB2312" w:hAnsi="仿宋_GB2312" w:eastAsia="仿宋_GB2312" w:cs="仿宋_GB2312"/>
                <w:sz w:val="32"/>
                <w:szCs w:val="32"/>
                <w:lang w:eastAsia="zh-CN" w:bidi="ar"/>
              </w:rPr>
              <w:t>采购人</w:t>
            </w:r>
            <w:r>
              <w:rPr>
                <w:rFonts w:hint="eastAsia" w:ascii="仿宋_GB2312" w:hAnsi="仿宋_GB2312" w:eastAsia="仿宋_GB2312" w:cs="仿宋_GB2312"/>
                <w:sz w:val="32"/>
                <w:szCs w:val="32"/>
                <w:lang w:bidi="ar"/>
              </w:rPr>
              <w:t>于财政拨款到位之日起</w:t>
            </w: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个工作日内</w:t>
            </w:r>
            <w:r>
              <w:rPr>
                <w:rFonts w:hint="eastAsia" w:ascii="仿宋_GB2312" w:hAnsi="仿宋_GB2312" w:eastAsia="仿宋_GB2312" w:cs="仿宋_GB2312"/>
                <w:sz w:val="32"/>
                <w:szCs w:val="32"/>
                <w:lang w:val="en-US" w:eastAsia="zh-CN" w:bidi="ar"/>
              </w:rPr>
              <w:t>向</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lang w:bidi="ar"/>
              </w:rPr>
              <w:t>支付</w:t>
            </w:r>
            <w:r>
              <w:rPr>
                <w:rFonts w:hint="eastAsia" w:ascii="仿宋_GB2312" w:hAnsi="仿宋_GB2312" w:eastAsia="仿宋_GB2312" w:cs="仿宋_GB2312"/>
                <w:sz w:val="32"/>
                <w:szCs w:val="32"/>
                <w:lang w:val="en-US" w:eastAsia="zh-CN"/>
              </w:rPr>
              <w:t>人民币35万元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第二期：</w:t>
            </w:r>
            <w:r>
              <w:rPr>
                <w:rFonts w:hint="eastAsia" w:ascii="仿宋_GB2312" w:hAnsi="仿宋_GB2312" w:eastAsia="仿宋_GB2312" w:cs="仿宋_GB2312"/>
                <w:sz w:val="32"/>
                <w:szCs w:val="32"/>
              </w:rPr>
              <w:t>合同签订后</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提交增江绿美经济带重点地块推介手册、重点地块招商策划指引、相关图纸及新闻宣传稿件最终成果并经</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审查通过，</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lang w:bidi="ar"/>
              </w:rPr>
              <w:t>向</w:t>
            </w:r>
            <w:r>
              <w:rPr>
                <w:rFonts w:hint="eastAsia" w:ascii="仿宋_GB2312" w:hAnsi="仿宋_GB2312" w:eastAsia="仿宋_GB2312" w:cs="仿宋_GB2312"/>
                <w:sz w:val="32"/>
                <w:szCs w:val="32"/>
                <w:lang w:eastAsia="zh-CN" w:bidi="ar"/>
              </w:rPr>
              <w:t>采购人</w:t>
            </w:r>
            <w:r>
              <w:rPr>
                <w:rFonts w:hint="eastAsia" w:ascii="仿宋_GB2312" w:hAnsi="仿宋_GB2312" w:eastAsia="仿宋_GB2312" w:cs="仿宋_GB2312"/>
                <w:sz w:val="32"/>
                <w:szCs w:val="32"/>
                <w:lang w:bidi="ar"/>
              </w:rPr>
              <w:t>提供支付凭证，</w:t>
            </w:r>
            <w:r>
              <w:rPr>
                <w:rFonts w:hint="eastAsia" w:ascii="仿宋_GB2312" w:hAnsi="仿宋_GB2312" w:eastAsia="仿宋_GB2312" w:cs="仿宋_GB2312"/>
                <w:sz w:val="32"/>
                <w:szCs w:val="32"/>
                <w:lang w:eastAsia="zh-CN" w:bidi="ar"/>
              </w:rPr>
              <w:t>采购人</w:t>
            </w:r>
            <w:r>
              <w:rPr>
                <w:rFonts w:hint="eastAsia" w:ascii="仿宋_GB2312" w:hAnsi="仿宋_GB2312" w:eastAsia="仿宋_GB2312" w:cs="仿宋_GB2312"/>
                <w:sz w:val="32"/>
                <w:szCs w:val="32"/>
                <w:lang w:bidi="ar"/>
              </w:rPr>
              <w:t>于财政拨款到位之日起</w:t>
            </w: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个工作日内</w:t>
            </w:r>
            <w:r>
              <w:rPr>
                <w:rFonts w:hint="eastAsia" w:ascii="仿宋_GB2312" w:hAnsi="仿宋_GB2312" w:eastAsia="仿宋_GB2312" w:cs="仿宋_GB2312"/>
                <w:sz w:val="32"/>
                <w:szCs w:val="32"/>
                <w:lang w:val="en-US" w:eastAsia="zh-CN" w:bidi="ar"/>
              </w:rPr>
              <w:t>向</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lang w:bidi="ar"/>
              </w:rPr>
              <w:t>支付</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val="en-US" w:eastAsia="zh-CN"/>
              </w:rPr>
              <w:t>尾款（即合同总金额扣减已支付金额后的余额）</w:t>
            </w:r>
            <w:r>
              <w:rPr>
                <w:rFonts w:hint="eastAsia" w:ascii="仿宋_GB2312" w:hAnsi="仿宋_GB2312" w:eastAsia="仿宋_GB2312" w:cs="仿宋_GB2312"/>
                <w:sz w:val="32"/>
                <w:szCs w:val="32"/>
              </w:rPr>
              <w:t>。</w:t>
            </w:r>
          </w:p>
          <w:p>
            <w:pPr>
              <w:snapToGrid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 如因政策变动等不可抗力原因或者重大情势变更导致合同不能履行或继续履行已无意义的，需终止合同，双方互不承担违约责任或其他赔偿责任。合同因此终止履行的，若</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尚未实际完成</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要求的</w:t>
            </w:r>
            <w:r>
              <w:rPr>
                <w:rFonts w:hint="eastAsia" w:ascii="仿宋_GB2312" w:hAnsi="仿宋_GB2312" w:eastAsia="仿宋_GB2312" w:cs="仿宋_GB2312"/>
                <w:sz w:val="32"/>
                <w:szCs w:val="32"/>
                <w:lang w:val="en-US" w:eastAsia="zh-CN"/>
              </w:rPr>
              <w:t>工作的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无需向</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支付任何费用。</w:t>
            </w:r>
            <w:r>
              <w:rPr>
                <w:rFonts w:hint="eastAsia" w:ascii="仿宋" w:hAnsi="仿宋" w:eastAsia="仿宋" w:cs="楷体"/>
                <w:sz w:val="32"/>
                <w:szCs w:val="32"/>
              </w:rPr>
              <w:t>若</w:t>
            </w:r>
            <w:r>
              <w:rPr>
                <w:rFonts w:hint="eastAsia" w:ascii="仿宋_GB2312" w:hAnsi="仿宋_GB2312" w:eastAsia="仿宋_GB2312" w:cs="仿宋_GB2312"/>
                <w:sz w:val="32"/>
                <w:szCs w:val="32"/>
                <w:lang w:eastAsia="zh-CN"/>
              </w:rPr>
              <w:t>成交供应商</w:t>
            </w:r>
            <w:r>
              <w:rPr>
                <w:rFonts w:hint="eastAsia" w:ascii="仿宋" w:hAnsi="仿宋" w:eastAsia="仿宋" w:cs="楷体"/>
                <w:sz w:val="32"/>
                <w:szCs w:val="32"/>
              </w:rPr>
              <w:t>已完成</w:t>
            </w:r>
            <w:r>
              <w:rPr>
                <w:rFonts w:hint="eastAsia" w:ascii="仿宋" w:hAnsi="仿宋" w:eastAsia="仿宋" w:cs="楷体"/>
                <w:sz w:val="32"/>
                <w:szCs w:val="32"/>
                <w:lang w:val="en-US" w:eastAsia="zh-CN"/>
              </w:rPr>
              <w:t>最终</w:t>
            </w:r>
            <w:r>
              <w:rPr>
                <w:rFonts w:hint="eastAsia" w:ascii="仿宋" w:hAnsi="仿宋" w:eastAsia="仿宋" w:cs="楷体"/>
                <w:sz w:val="32"/>
                <w:szCs w:val="32"/>
              </w:rPr>
              <w:t>成果编制工作</w:t>
            </w:r>
            <w:r>
              <w:rPr>
                <w:rFonts w:hint="eastAsia" w:ascii="仿宋" w:hAnsi="仿宋" w:eastAsia="仿宋" w:cs="楷体"/>
                <w:sz w:val="32"/>
                <w:szCs w:val="32"/>
                <w:lang w:val="en-US" w:eastAsia="zh-CN"/>
              </w:rPr>
              <w:t>并</w:t>
            </w:r>
            <w:r>
              <w:rPr>
                <w:rFonts w:hint="eastAsia" w:ascii="仿宋" w:hAnsi="仿宋" w:eastAsia="仿宋" w:cs="楷体"/>
                <w:sz w:val="32"/>
                <w:szCs w:val="32"/>
              </w:rPr>
              <w:t>提交给</w:t>
            </w:r>
            <w:r>
              <w:rPr>
                <w:rFonts w:hint="eastAsia" w:ascii="仿宋_GB2312" w:hAnsi="仿宋_GB2312" w:eastAsia="仿宋_GB2312" w:cs="仿宋_GB2312"/>
                <w:sz w:val="32"/>
                <w:szCs w:val="32"/>
                <w:lang w:eastAsia="zh-CN"/>
              </w:rPr>
              <w:t>采购人</w:t>
            </w:r>
            <w:r>
              <w:rPr>
                <w:rFonts w:hint="eastAsia" w:ascii="仿宋" w:hAnsi="仿宋" w:eastAsia="仿宋" w:cs="楷体"/>
                <w:sz w:val="32"/>
                <w:szCs w:val="32"/>
              </w:rPr>
              <w:t>的，</w:t>
            </w:r>
            <w:r>
              <w:rPr>
                <w:rFonts w:hint="eastAsia" w:ascii="仿宋_GB2312" w:hAnsi="仿宋_GB2312" w:eastAsia="仿宋_GB2312" w:cs="仿宋_GB2312"/>
                <w:sz w:val="32"/>
                <w:szCs w:val="32"/>
                <w:lang w:eastAsia="zh-CN"/>
              </w:rPr>
              <w:t>采购人</w:t>
            </w:r>
            <w:r>
              <w:rPr>
                <w:rFonts w:hint="eastAsia" w:ascii="仿宋" w:hAnsi="仿宋" w:eastAsia="仿宋" w:cs="楷体"/>
                <w:sz w:val="32"/>
                <w:szCs w:val="32"/>
              </w:rPr>
              <w:t>共需支付合同总金额的90%给</w:t>
            </w:r>
            <w:r>
              <w:rPr>
                <w:rFonts w:hint="eastAsia" w:ascii="仿宋_GB2312" w:hAnsi="仿宋_GB2312" w:eastAsia="仿宋_GB2312" w:cs="仿宋_GB2312"/>
                <w:sz w:val="32"/>
                <w:szCs w:val="32"/>
                <w:lang w:eastAsia="zh-CN"/>
              </w:rPr>
              <w:t>成交供应商</w:t>
            </w:r>
            <w:r>
              <w:rPr>
                <w:rFonts w:hint="eastAsia" w:ascii="仿宋" w:hAnsi="仿宋" w:eastAsia="仿宋" w:cs="楷体"/>
                <w:sz w:val="32"/>
                <w:szCs w:val="32"/>
              </w:rPr>
              <w:t>。</w:t>
            </w:r>
            <w:r>
              <w:rPr>
                <w:rFonts w:hint="eastAsia" w:ascii="仿宋_GB2312" w:hAnsi="仿宋_GB2312" w:eastAsia="仿宋_GB2312" w:cs="仿宋_GB2312"/>
                <w:sz w:val="32"/>
                <w:szCs w:val="32"/>
              </w:rPr>
              <w:t>若因</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故意拖延履行后发生不可抗力或者重大情势变更的，由此给</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造成的损失由乙方承担赔偿责任，且</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应当向</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支付合同总额5%的违约金</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16" w:type="dxa"/>
            <w:vAlign w:val="center"/>
          </w:tcPr>
          <w:p>
            <w:pPr>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1234"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违约责任</w:t>
            </w:r>
          </w:p>
        </w:tc>
        <w:tc>
          <w:tcPr>
            <w:tcW w:w="7270" w:type="dxa"/>
            <w:vAlign w:val="center"/>
          </w:tcPr>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1．乙方提供的服务不符合采购文件、投标文件或本合同规定的，甲方有权拒收，并且乙方须向甲方退还已支付的合同款，并支付本合同总价5%的违约金。</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2．乙方未能按甲方时间要求交付货物的/提供服务，从逾期之日起每日按本合同总价3‰的数额向甲方支付违约金；逾期15天以上（含15天）的，甲方有权解除合同，要求乙方支付本合同总价5%的违约金。</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3．甲方逾期向区财政部门申请付款，则每日按逾期申请款项的3‰向乙方偿付违约金，甲方向乙方偿付的违约金不超过本合同总价的5%。</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4．其它违约责任按《中华人民共和国民法典》处理。</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除甲方事先书面同意外，乙方不得部分或全部转让、转包或分包其应履行的合同项下的义务，否则甲方有权解除合同，要求乙方退还已支付的合同款，并支付本合同总价5%的违约金，给甲方造成的经济损失由乙方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pPr>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1234" w:type="dxa"/>
            <w:vAlign w:val="center"/>
          </w:tcPr>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补充合同和</w:t>
            </w:r>
          </w:p>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解决争议方式</w:t>
            </w:r>
          </w:p>
        </w:tc>
        <w:tc>
          <w:tcPr>
            <w:tcW w:w="7270" w:type="dxa"/>
            <w:vAlign w:val="center"/>
          </w:tcPr>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采购合同中如有未尽事宜，双方协商一致后可以签订补充合同，但补充合同不得与《中华人民共和国合同法》</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相关管理制度相抵触。</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对于合同履行中出现的纠纷，双方应协商解决。协商不成的，依法向广州市增城区人民法院提起诉讼。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pPr>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1234" w:type="dxa"/>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备注</w:t>
            </w:r>
          </w:p>
        </w:tc>
        <w:tc>
          <w:tcPr>
            <w:tcW w:w="7270" w:type="dxa"/>
            <w:vAlign w:val="center"/>
          </w:tcPr>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果监督管理部门对有关服务已经拟定“合同范本”，业主单位、中选服务机构应当使用有关“合同范本”；如果监督管理部门未有“合同范本”，业主单位、中选服务机构应当根据《中华人民共和国合同法》等法律法规的规定自行拟定合同。</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2.合同的实质性内容，应当与采购公告、采购结果的内容一致。合同的实质性内容是指合同标的、数量、质量、价款或者报酬、履行期限、履行地点和方式、违约责任和解决争议方法等（即表格中的序号1-</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xml:space="preserve">）。 </w:t>
            </w:r>
          </w:p>
          <w:p>
            <w:pPr>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3.合同的变更、终止须由双方协商一致，并以书面形式确定，并须适用《中华人民共和国民法典》等法律法规的规定。</w:t>
            </w:r>
          </w:p>
          <w:p>
            <w:pPr>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4.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tc>
      </w:tr>
    </w:tbl>
    <w:p>
      <w:pPr>
        <w:ind w:firstLine="560" w:firstLineChars="200"/>
        <w:rPr>
          <w:rFonts w:ascii="Calibri" w:hAnsi="Calibri" w:eastAsia="楷体" w:cs="Times New Roman"/>
          <w:sz w:val="28"/>
        </w:rPr>
      </w:pPr>
    </w:p>
    <w:p>
      <w:pPr>
        <w:ind w:firstLine="640" w:firstLineChars="200"/>
        <w:jc w:val="right"/>
        <w:rPr>
          <w:rFonts w:hint="eastAsia" w:ascii="仿宋" w:hAnsi="仿宋" w:eastAsia="仿宋" w:cs="楷体"/>
          <w:sz w:val="32"/>
          <w:szCs w:val="32"/>
        </w:rPr>
      </w:pPr>
      <w:r>
        <w:rPr>
          <w:rFonts w:hint="eastAsia" w:ascii="仿宋" w:hAnsi="仿宋" w:eastAsia="仿宋" w:cs="楷体"/>
          <w:sz w:val="32"/>
          <w:szCs w:val="32"/>
        </w:rPr>
        <w:t>广州市规划和自然资源局增城区分局</w:t>
      </w:r>
    </w:p>
    <w:p>
      <w:pPr>
        <w:ind w:firstLine="640" w:firstLineChars="200"/>
        <w:jc w:val="right"/>
        <w:rPr>
          <w:rFonts w:hint="eastAsia" w:ascii="仿宋" w:hAnsi="仿宋" w:eastAsia="仿宋" w:cs="楷体"/>
          <w:sz w:val="32"/>
          <w:szCs w:val="32"/>
        </w:rPr>
      </w:pPr>
      <w:r>
        <w:rPr>
          <w:rFonts w:hint="eastAsia" w:ascii="仿宋" w:hAnsi="仿宋" w:eastAsia="仿宋" w:cs="楷体"/>
          <w:sz w:val="32"/>
          <w:szCs w:val="32"/>
        </w:rPr>
        <w:t>2025年</w:t>
      </w:r>
      <w:r>
        <w:rPr>
          <w:rFonts w:hint="eastAsia" w:ascii="仿宋" w:hAnsi="仿宋" w:eastAsia="仿宋" w:cs="楷体"/>
          <w:sz w:val="32"/>
          <w:szCs w:val="32"/>
          <w:lang w:val="en-US" w:eastAsia="zh-CN"/>
        </w:rPr>
        <w:t>6</w:t>
      </w:r>
      <w:r>
        <w:rPr>
          <w:rFonts w:hint="eastAsia" w:ascii="仿宋" w:hAnsi="仿宋" w:eastAsia="仿宋" w:cs="楷体"/>
          <w:sz w:val="32"/>
          <w:szCs w:val="32"/>
        </w:rPr>
        <w:t>月</w:t>
      </w:r>
      <w:r>
        <w:rPr>
          <w:rFonts w:hint="eastAsia" w:ascii="仿宋" w:hAnsi="仿宋" w:eastAsia="仿宋" w:cs="楷体"/>
          <w:sz w:val="32"/>
          <w:szCs w:val="32"/>
          <w:lang w:val="en-US" w:eastAsia="zh-CN"/>
        </w:rPr>
        <w:t>11</w:t>
      </w:r>
      <w:r>
        <w:rPr>
          <w:rFonts w:hint="eastAsia" w:ascii="仿宋" w:hAnsi="仿宋" w:eastAsia="仿宋" w:cs="楷体"/>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4272771" o:spid="_x0000_s2057" o:spt="136" type="#_x0000_t136" style="position:absolute;left:0pt;margin-left:468.7pt;margin-top:357.75pt;height:35pt;width:154pt;mso-position-horizontal-relative:margin;mso-position-vertical-relative:margin;rotation:-2949120f;z-index:-251650048;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4094597" o:spid="_x0000_s2056" o:spt="136" type="#_x0000_t136" style="position:absolute;left:0pt;margin-left:274.95pt;margin-top:551.5pt;height:35pt;width:154pt;mso-position-horizontal-relative:margin;mso-position-vertical-relative:margin;rotation:-2949120f;z-index:-251651072;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3180669" o:spid="_x0000_s2055" o:spt="136" type="#_x0000_t136" style="position:absolute;left:0pt;margin-left:81.2pt;margin-top:745.25pt;height:35pt;width:154pt;mso-position-horizontal-relative:margin;mso-position-vertical-relative:margin;rotation:-2949120f;z-index:-251652096;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2187049" o:spid="_x0000_s2054" o:spt="136" type="#_x0000_t136" style="position:absolute;left:0pt;margin-left:468.7pt;margin-top:-1.55pt;height:35pt;width:154pt;mso-position-horizontal-relative:margin;mso-position-vertical-relative:margin;rotation:-2949120f;z-index:-251653120;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1700833" o:spid="_x0000_s2053" o:spt="136" type="#_x0000_t136" style="position:absolute;left:0pt;margin-left:274.95pt;margin-top:192.2pt;height:35pt;width:154pt;mso-position-horizontal-relative:margin;mso-position-vertical-relative:margin;rotation:-2949120f;z-index:-251654144;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1238597" o:spid="_x0000_s2052" o:spt="136" type="#_x0000_t136" style="position:absolute;left:0pt;margin-left:81.2pt;margin-top:385.95pt;height:35pt;width:154pt;mso-position-horizontal-relative:margin;mso-position-vertical-relative:margin;rotation:-2949120f;z-index:-251655168;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1005087" o:spid="_x0000_s2051" o:spt="136" type="#_x0000_t136" style="position:absolute;left:0pt;margin-left:-112.55pt;margin-top:579.7pt;height:35pt;width:154pt;mso-position-horizontal-relative:margin;mso-position-vertical-relative:margin;rotation:-2949120f;z-index:-251656192;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655860" o:spid="_x0000_s2050" o:spt="136" type="#_x0000_t136" style="position:absolute;left:0pt;margin-left:81.2pt;margin-top:26.65pt;height:35pt;width:154pt;mso-position-horizontal-relative:margin;mso-position-vertical-relative:margin;rotation:-2949120f;z-index:-251657216;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r>
      <w:rPr>
        <w:sz w:val="18"/>
      </w:rPr>
      <w:pict>
        <v:shape id="PowerPlusWaterMarkObject177621" o:spid="_x0000_s2049" o:spt="136" type="#_x0000_t136" style="position:absolute;left:0pt;margin-left:-112.55pt;margin-top:220.4pt;height:35pt;width:154pt;mso-position-horizontal-relative:margin;mso-position-vertical-relative:margin;rotation:-2949120f;z-index:-251658240;mso-width-relative:page;mso-height-relative:page;" fillcolor="#C0C0C0" filled="t" stroked="f" coordsize="21600,21600" adj="10800">
          <v:path/>
          <v:fill on="t" opacity="19660f" focussize="0,0"/>
          <v:stroke on="f"/>
          <v:imagedata o:title=""/>
          <o:lock v:ext="edit" aspectratio="t"/>
          <v:textpath on="t" fitpath="t" trim="t" xscale="f" string="区规自分局" style="font-family:FangSong;font-size:35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61479"/>
    <w:multiLevelType w:val="singleLevel"/>
    <w:tmpl w:val="0EF61479"/>
    <w:lvl w:ilvl="0" w:tentative="0">
      <w:start w:val="1"/>
      <w:numFmt w:val="decimal"/>
      <w:suff w:val="nothing"/>
      <w:lvlText w:val="（%1）"/>
      <w:lvlJc w:val="left"/>
      <w:pPr>
        <w:tabs>
          <w:tab w:val="left" w:pos="0"/>
        </w:tabs>
      </w:pPr>
      <w:rPr>
        <w:rFonts w:hint="default" w:ascii="宋体" w:hAnsi="宋体" w:eastAsia="宋体" w:cs="宋体"/>
      </w:rPr>
    </w:lvl>
  </w:abstractNum>
  <w:abstractNum w:abstractNumId="1">
    <w:nsid w:val="1AA96927"/>
    <w:multiLevelType w:val="multilevel"/>
    <w:tmpl w:val="1AA9692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A1B1B18"/>
    <w:multiLevelType w:val="singleLevel"/>
    <w:tmpl w:val="5A1B1B18"/>
    <w:lvl w:ilvl="0" w:tentative="0">
      <w:start w:val="8"/>
      <w:numFmt w:val="decimal"/>
      <w:lvlText w:val="%1."/>
      <w:lvlJc w:val="left"/>
      <w:pPr>
        <w:tabs>
          <w:tab w:val="left" w:pos="312"/>
        </w:tabs>
      </w:pPr>
    </w:lvl>
  </w:abstractNum>
  <w:abstractNum w:abstractNumId="3">
    <w:nsid w:val="5AD8DB1D"/>
    <w:multiLevelType w:val="singleLevel"/>
    <w:tmpl w:val="5AD8DB1D"/>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CE"/>
    <w:rsid w:val="0006417C"/>
    <w:rsid w:val="00076D43"/>
    <w:rsid w:val="000A5D4F"/>
    <w:rsid w:val="000C769B"/>
    <w:rsid w:val="000F6904"/>
    <w:rsid w:val="00141CFF"/>
    <w:rsid w:val="0016366D"/>
    <w:rsid w:val="00163F51"/>
    <w:rsid w:val="00163F8E"/>
    <w:rsid w:val="0017102B"/>
    <w:rsid w:val="001A2128"/>
    <w:rsid w:val="00227851"/>
    <w:rsid w:val="00260330"/>
    <w:rsid w:val="00276C9E"/>
    <w:rsid w:val="00287090"/>
    <w:rsid w:val="002B65C5"/>
    <w:rsid w:val="002C7F03"/>
    <w:rsid w:val="00317975"/>
    <w:rsid w:val="00336A05"/>
    <w:rsid w:val="003C1715"/>
    <w:rsid w:val="003E318D"/>
    <w:rsid w:val="00435309"/>
    <w:rsid w:val="0045542E"/>
    <w:rsid w:val="00471A34"/>
    <w:rsid w:val="00473794"/>
    <w:rsid w:val="00477C7F"/>
    <w:rsid w:val="00487841"/>
    <w:rsid w:val="004B1E93"/>
    <w:rsid w:val="005914BE"/>
    <w:rsid w:val="005E3BD5"/>
    <w:rsid w:val="00611173"/>
    <w:rsid w:val="0061123E"/>
    <w:rsid w:val="00617A68"/>
    <w:rsid w:val="006226C6"/>
    <w:rsid w:val="00642579"/>
    <w:rsid w:val="00675E5A"/>
    <w:rsid w:val="006C3030"/>
    <w:rsid w:val="006D7733"/>
    <w:rsid w:val="006E15D7"/>
    <w:rsid w:val="00704CEE"/>
    <w:rsid w:val="00725532"/>
    <w:rsid w:val="007379A2"/>
    <w:rsid w:val="007411AA"/>
    <w:rsid w:val="00757671"/>
    <w:rsid w:val="00784AF9"/>
    <w:rsid w:val="007B395A"/>
    <w:rsid w:val="007B4BA4"/>
    <w:rsid w:val="007E5A92"/>
    <w:rsid w:val="008006D5"/>
    <w:rsid w:val="0081480F"/>
    <w:rsid w:val="008148C7"/>
    <w:rsid w:val="0085485D"/>
    <w:rsid w:val="00875388"/>
    <w:rsid w:val="008B5FC1"/>
    <w:rsid w:val="008C38F6"/>
    <w:rsid w:val="008D7832"/>
    <w:rsid w:val="008D7FCD"/>
    <w:rsid w:val="008E3935"/>
    <w:rsid w:val="009174D9"/>
    <w:rsid w:val="00936C97"/>
    <w:rsid w:val="0095680C"/>
    <w:rsid w:val="00957A74"/>
    <w:rsid w:val="00970D22"/>
    <w:rsid w:val="009A7D2C"/>
    <w:rsid w:val="009D3C0D"/>
    <w:rsid w:val="00A102C5"/>
    <w:rsid w:val="00A1602E"/>
    <w:rsid w:val="00A3797D"/>
    <w:rsid w:val="00A95F96"/>
    <w:rsid w:val="00AA6A51"/>
    <w:rsid w:val="00AB133E"/>
    <w:rsid w:val="00AC1583"/>
    <w:rsid w:val="00AD2DDB"/>
    <w:rsid w:val="00AF19F7"/>
    <w:rsid w:val="00B04A58"/>
    <w:rsid w:val="00B66687"/>
    <w:rsid w:val="00B85F29"/>
    <w:rsid w:val="00B93AAB"/>
    <w:rsid w:val="00BB37CE"/>
    <w:rsid w:val="00BC10C5"/>
    <w:rsid w:val="00BF01D5"/>
    <w:rsid w:val="00CB4554"/>
    <w:rsid w:val="00CD0E0B"/>
    <w:rsid w:val="00CD2780"/>
    <w:rsid w:val="00CE5DC4"/>
    <w:rsid w:val="00CE7B7E"/>
    <w:rsid w:val="00D01464"/>
    <w:rsid w:val="00D576F0"/>
    <w:rsid w:val="00D70FA6"/>
    <w:rsid w:val="00D95E77"/>
    <w:rsid w:val="00E06A60"/>
    <w:rsid w:val="00E268DC"/>
    <w:rsid w:val="00EA37B1"/>
    <w:rsid w:val="00EF4EE1"/>
    <w:rsid w:val="00F02719"/>
    <w:rsid w:val="00F05D6C"/>
    <w:rsid w:val="00F36BDC"/>
    <w:rsid w:val="00F8694C"/>
    <w:rsid w:val="00FB5DEF"/>
    <w:rsid w:val="00FC6F4D"/>
    <w:rsid w:val="026665B6"/>
    <w:rsid w:val="02764E75"/>
    <w:rsid w:val="02AB78A7"/>
    <w:rsid w:val="03480F78"/>
    <w:rsid w:val="097C63D5"/>
    <w:rsid w:val="0A07615D"/>
    <w:rsid w:val="0A5D58ED"/>
    <w:rsid w:val="0A9F717D"/>
    <w:rsid w:val="0AEF7F57"/>
    <w:rsid w:val="0C760F26"/>
    <w:rsid w:val="0CFC5AD1"/>
    <w:rsid w:val="0E92702D"/>
    <w:rsid w:val="0FB818DF"/>
    <w:rsid w:val="0FEA10D6"/>
    <w:rsid w:val="102159EB"/>
    <w:rsid w:val="129665A9"/>
    <w:rsid w:val="12F14999"/>
    <w:rsid w:val="1316525D"/>
    <w:rsid w:val="13810CB8"/>
    <w:rsid w:val="175C2FD6"/>
    <w:rsid w:val="186616FD"/>
    <w:rsid w:val="188A16F5"/>
    <w:rsid w:val="19543E1D"/>
    <w:rsid w:val="1C193775"/>
    <w:rsid w:val="1FE64078"/>
    <w:rsid w:val="22D724A9"/>
    <w:rsid w:val="23662889"/>
    <w:rsid w:val="23DD55C9"/>
    <w:rsid w:val="24142D6C"/>
    <w:rsid w:val="267675AC"/>
    <w:rsid w:val="29A51932"/>
    <w:rsid w:val="2E90471D"/>
    <w:rsid w:val="3003561C"/>
    <w:rsid w:val="30D2710E"/>
    <w:rsid w:val="32EE2255"/>
    <w:rsid w:val="33B90437"/>
    <w:rsid w:val="352A7547"/>
    <w:rsid w:val="3E0B26AC"/>
    <w:rsid w:val="3FDC411E"/>
    <w:rsid w:val="3FFAEEDB"/>
    <w:rsid w:val="40A75C9F"/>
    <w:rsid w:val="40F8309F"/>
    <w:rsid w:val="469257C1"/>
    <w:rsid w:val="478C4F58"/>
    <w:rsid w:val="47FD5970"/>
    <w:rsid w:val="49965C35"/>
    <w:rsid w:val="4A3C1FD9"/>
    <w:rsid w:val="4B1C50B6"/>
    <w:rsid w:val="4C8F54CA"/>
    <w:rsid w:val="4E222FC4"/>
    <w:rsid w:val="4E8E618F"/>
    <w:rsid w:val="4F1661A7"/>
    <w:rsid w:val="50F9396B"/>
    <w:rsid w:val="53FF4E31"/>
    <w:rsid w:val="55986E2E"/>
    <w:rsid w:val="56702030"/>
    <w:rsid w:val="57325893"/>
    <w:rsid w:val="5908107E"/>
    <w:rsid w:val="5A1A527C"/>
    <w:rsid w:val="5AE63679"/>
    <w:rsid w:val="5E24480C"/>
    <w:rsid w:val="60672333"/>
    <w:rsid w:val="63B62DD7"/>
    <w:rsid w:val="67343F0F"/>
    <w:rsid w:val="68AC2E48"/>
    <w:rsid w:val="69230032"/>
    <w:rsid w:val="6A7D5BE6"/>
    <w:rsid w:val="6AD413D7"/>
    <w:rsid w:val="6B80746E"/>
    <w:rsid w:val="6C735978"/>
    <w:rsid w:val="6CB85B44"/>
    <w:rsid w:val="6CD43218"/>
    <w:rsid w:val="6D521340"/>
    <w:rsid w:val="71804EC5"/>
    <w:rsid w:val="71B96CEA"/>
    <w:rsid w:val="72C15D19"/>
    <w:rsid w:val="734704D0"/>
    <w:rsid w:val="74A3566E"/>
    <w:rsid w:val="752F0D2A"/>
    <w:rsid w:val="77E87D2D"/>
    <w:rsid w:val="78497DE7"/>
    <w:rsid w:val="792F0AA8"/>
    <w:rsid w:val="79CD72A8"/>
    <w:rsid w:val="7A8C3004"/>
    <w:rsid w:val="7B580C40"/>
    <w:rsid w:val="7BEB7F5D"/>
    <w:rsid w:val="7C4A2F98"/>
    <w:rsid w:val="7DB4277D"/>
    <w:rsid w:val="7FBF5015"/>
    <w:rsid w:val="ABEE0E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heme="minorHAnsi" w:hAnsiTheme="minorHAnsi" w:eastAsiaTheme="minorEastAsia" w:cstheme="minorBidi"/>
      <w:kern w:val="2"/>
      <w:sz w:val="18"/>
      <w:szCs w:val="18"/>
    </w:rPr>
  </w:style>
  <w:style w:type="character" w:customStyle="1" w:styleId="11">
    <w:name w:val="页脚 字符"/>
    <w:basedOn w:val="9"/>
    <w:link w:val="4"/>
    <w:qFormat/>
    <w:uiPriority w:val="99"/>
    <w:rPr>
      <w:rFonts w:asciiTheme="minorHAnsi" w:hAnsiTheme="minorHAnsi" w:eastAsiaTheme="minorEastAsia" w:cstheme="minorBidi"/>
      <w:kern w:val="2"/>
      <w:sz w:val="18"/>
      <w:szCs w:val="18"/>
    </w:rPr>
  </w:style>
  <w:style w:type="paragraph" w:styleId="12">
    <w:name w:val="List Paragraph"/>
    <w:basedOn w:val="1"/>
    <w:qFormat/>
    <w:uiPriority w:val="34"/>
    <w:pPr>
      <w:ind w:firstLine="420" w:firstLineChars="200"/>
    </w:pPr>
  </w:style>
  <w:style w:type="character" w:customStyle="1" w:styleId="13">
    <w:name w:val="font51"/>
    <w:qFormat/>
    <w:uiPriority w:val="0"/>
    <w:rPr>
      <w:rFonts w:hint="default" w:ascii="Times New Roman" w:hAnsi="Times New Roman" w:cs="Times New Roman"/>
      <w:color w:val="000000"/>
      <w:sz w:val="24"/>
      <w:szCs w:val="24"/>
      <w:u w:val="single"/>
    </w:rPr>
  </w:style>
  <w:style w:type="character" w:customStyle="1" w:styleId="14">
    <w:name w:val="font61"/>
    <w:qFormat/>
    <w:uiPriority w:val="0"/>
    <w:rPr>
      <w:rFonts w:hint="default" w:ascii="Times New Roman" w:hAnsi="Times New Roman" w:cs="Times New Roman"/>
      <w:color w:val="000000"/>
      <w:sz w:val="24"/>
      <w:szCs w:val="24"/>
      <w:u w:val="none"/>
    </w:rPr>
  </w:style>
  <w:style w:type="paragraph" w:customStyle="1" w:styleId="15">
    <w:name w:val="1正文"/>
    <w:basedOn w:val="1"/>
    <w:qFormat/>
    <w:uiPriority w:val="0"/>
    <w:pPr>
      <w:adjustRightInd w:val="0"/>
      <w:snapToGrid w:val="0"/>
      <w:spacing w:line="360" w:lineRule="auto"/>
      <w:ind w:firstLine="480" w:firstLineChars="200"/>
    </w:pPr>
    <w:rPr>
      <w:rFonts w:ascii="宋体" w:hAnsi="宋体"/>
      <w:szCs w:val="22"/>
    </w:rPr>
  </w:style>
  <w:style w:type="paragraph" w:customStyle="1" w:styleId="16">
    <w:name w:val="null3"/>
    <w:basedOn w:val="1"/>
    <w:qFormat/>
    <w:uiPriority w:val="0"/>
    <w:pPr>
      <w:widowControl/>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15</Pages>
  <Words>5516</Words>
  <Characters>5706</Characters>
  <Lines>44</Lines>
  <Paragraphs>12</Paragraphs>
  <TotalTime>0</TotalTime>
  <ScaleCrop>false</ScaleCrop>
  <LinksUpToDate>false</LinksUpToDate>
  <CharactersWithSpaces>5909</CharactersWithSpaces>
  <Application>WPS Office_11.8.2.10170_F1E327BC-269C-435d-A152-05C5408002CA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2020-06-23T06:51:00Z</dcterms:created>
  <dc:creator>吴昊</dc:creator>
  <cp:lastModifiedBy>root</cp:lastModifiedBy>
  <dcterms:modified xsi:type="dcterms:W3CDTF">2025-06-19T15:48:42Z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2052-11.8.2.10170</vt:lpwstr>
  </property>
  <property fmtid="{D5CDD505-2E9C-101B-9397-08002B2CF9AE}" pid="3" name="ICV">
    <vt:lpwstr>AE8827CDEC284CE8AB0D2DDC35BBABFB</vt:lpwstr>
  </property>
  <property fmtid="{D5CDD505-2E9C-101B-9397-08002B2CF9AE}" pid="4" name="KSOTemplateDocerSaveRecord">
    <vt:lpwstr>eyJoZGlkIjoiY2YxNDYxNGIzZDY4ZTAxODlkNjFjMjFmNTViZmY4MGIiLCJ1c2VySWQiOiIyNjQwOTU5MzIifQ==</vt:lpwstr>
  </property>
</Properties>
</file>