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6706A4">
      <w:pPr>
        <w:jc w:val="center"/>
        <w:rPr>
          <w:rFonts w:ascii="仿宋_GB2312" w:hAnsi="宋体" w:eastAsia="仿宋_GB2312"/>
          <w:b/>
          <w:color w:val="auto"/>
          <w:sz w:val="44"/>
          <w:szCs w:val="44"/>
          <w:highlight w:val="none"/>
        </w:rPr>
      </w:pPr>
    </w:p>
    <w:p w14:paraId="5370859A">
      <w:pPr>
        <w:widowControl/>
        <w:ind w:firstLine="1100" w:firstLineChars="249"/>
        <w:jc w:val="left"/>
        <w:rPr>
          <w:rFonts w:ascii="宋体" w:hAnsi="宋体"/>
          <w:b/>
          <w:color w:val="auto"/>
          <w:sz w:val="44"/>
          <w:szCs w:val="44"/>
          <w:highlight w:val="none"/>
          <w:u w:val="single"/>
        </w:rPr>
      </w:pPr>
    </w:p>
    <w:p w14:paraId="754B38FB">
      <w:pPr>
        <w:widowControl/>
        <w:ind w:firstLine="1100" w:firstLineChars="249"/>
        <w:jc w:val="left"/>
        <w:rPr>
          <w:rFonts w:ascii="宋体" w:hAnsi="宋体"/>
          <w:b/>
          <w:color w:val="auto"/>
          <w:sz w:val="44"/>
          <w:szCs w:val="44"/>
          <w:highlight w:val="none"/>
          <w:u w:val="single"/>
        </w:rPr>
      </w:pPr>
    </w:p>
    <w:p w14:paraId="1FB4C259">
      <w:pPr>
        <w:widowControl/>
        <w:ind w:firstLine="1100" w:firstLineChars="249"/>
        <w:jc w:val="left"/>
        <w:rPr>
          <w:rFonts w:ascii="宋体" w:hAnsi="宋体"/>
          <w:b/>
          <w:color w:val="auto"/>
          <w:sz w:val="44"/>
          <w:szCs w:val="44"/>
          <w:highlight w:val="none"/>
          <w:u w:val="single"/>
        </w:rPr>
      </w:pPr>
    </w:p>
    <w:p w14:paraId="6C141775">
      <w:pPr>
        <w:widowControl/>
        <w:jc w:val="center"/>
        <w:rPr>
          <w:rFonts w:hint="eastAsia" w:ascii="宋体" w:hAnsi="宋体" w:eastAsia="宋体"/>
          <w:b/>
          <w:color w:val="auto"/>
          <w:sz w:val="48"/>
          <w:szCs w:val="44"/>
          <w:highlight w:val="none"/>
          <w:lang w:eastAsia="zh-CN"/>
        </w:rPr>
      </w:pPr>
      <w:r>
        <w:rPr>
          <w:rFonts w:hint="eastAsia" w:ascii="宋体" w:hAnsi="宋体"/>
          <w:b/>
          <w:color w:val="auto"/>
          <w:sz w:val="48"/>
          <w:szCs w:val="44"/>
          <w:highlight w:val="none"/>
          <w:lang w:eastAsia="zh-CN"/>
        </w:rPr>
        <w:t>广州市增城区大封门水库扩容工程输变电线路迁改工程</w:t>
      </w:r>
    </w:p>
    <w:p w14:paraId="1BC1E511">
      <w:pPr>
        <w:widowControl/>
        <w:jc w:val="center"/>
        <w:rPr>
          <w:rFonts w:ascii="宋体" w:hAnsi="宋体"/>
          <w:b/>
          <w:color w:val="auto"/>
          <w:sz w:val="44"/>
          <w:szCs w:val="44"/>
          <w:highlight w:val="none"/>
        </w:rPr>
      </w:pPr>
    </w:p>
    <w:p w14:paraId="1D9B12F0">
      <w:pPr>
        <w:widowControl/>
        <w:jc w:val="left"/>
        <w:rPr>
          <w:rFonts w:ascii="宋体" w:hAnsi="宋体"/>
          <w:b/>
          <w:color w:val="auto"/>
          <w:sz w:val="44"/>
          <w:szCs w:val="44"/>
          <w:highlight w:val="none"/>
        </w:rPr>
      </w:pPr>
    </w:p>
    <w:p w14:paraId="7E2C773E">
      <w:pPr>
        <w:widowControl/>
        <w:jc w:val="left"/>
        <w:rPr>
          <w:rFonts w:ascii="宋体" w:hAnsi="宋体"/>
          <w:b/>
          <w:color w:val="auto"/>
          <w:sz w:val="44"/>
          <w:szCs w:val="44"/>
          <w:highlight w:val="none"/>
        </w:rPr>
      </w:pPr>
    </w:p>
    <w:p w14:paraId="557AA4A4">
      <w:pPr>
        <w:spacing w:line="360" w:lineRule="auto"/>
        <w:jc w:val="center"/>
        <w:rPr>
          <w:rFonts w:ascii="仿宋_GB2312" w:hAnsi="宋体" w:eastAsia="仿宋_GB2312"/>
          <w:b/>
          <w:bCs/>
          <w:color w:val="auto"/>
          <w:spacing w:val="26"/>
          <w:sz w:val="110"/>
          <w:szCs w:val="110"/>
          <w:highlight w:val="none"/>
        </w:rPr>
      </w:pPr>
      <w:r>
        <w:rPr>
          <w:rFonts w:hint="eastAsia" w:ascii="仿宋_GB2312" w:hAnsi="宋体" w:eastAsia="仿宋_GB2312"/>
          <w:b/>
          <w:bCs/>
          <w:color w:val="auto"/>
          <w:spacing w:val="26"/>
          <w:sz w:val="110"/>
          <w:szCs w:val="110"/>
          <w:highlight w:val="none"/>
        </w:rPr>
        <w:t>招 标 文 件</w:t>
      </w:r>
    </w:p>
    <w:p w14:paraId="5464EAF8">
      <w:pPr>
        <w:widowControl/>
        <w:jc w:val="left"/>
        <w:rPr>
          <w:rFonts w:ascii="宋体" w:hAnsi="宋体"/>
          <w:color w:val="auto"/>
          <w:sz w:val="24"/>
          <w:szCs w:val="24"/>
          <w:highlight w:val="none"/>
        </w:rPr>
      </w:pPr>
    </w:p>
    <w:p w14:paraId="1C9C3D6D">
      <w:pPr>
        <w:widowControl/>
        <w:jc w:val="left"/>
        <w:rPr>
          <w:rFonts w:ascii="宋体" w:hAnsi="宋体"/>
          <w:color w:val="auto"/>
          <w:sz w:val="24"/>
          <w:szCs w:val="24"/>
          <w:highlight w:val="none"/>
        </w:rPr>
      </w:pPr>
    </w:p>
    <w:p w14:paraId="7183B5A3">
      <w:pPr>
        <w:widowControl/>
        <w:jc w:val="left"/>
        <w:rPr>
          <w:rFonts w:ascii="宋体" w:hAnsi="宋体"/>
          <w:color w:val="auto"/>
          <w:sz w:val="24"/>
          <w:szCs w:val="24"/>
          <w:highlight w:val="none"/>
        </w:rPr>
      </w:pPr>
    </w:p>
    <w:p w14:paraId="1E37DB59">
      <w:pPr>
        <w:widowControl/>
        <w:jc w:val="left"/>
        <w:rPr>
          <w:rFonts w:ascii="宋体" w:hAnsi="宋体"/>
          <w:color w:val="auto"/>
          <w:sz w:val="24"/>
          <w:szCs w:val="24"/>
          <w:highlight w:val="none"/>
        </w:rPr>
      </w:pPr>
    </w:p>
    <w:p w14:paraId="0176573C">
      <w:pPr>
        <w:widowControl/>
        <w:jc w:val="left"/>
        <w:rPr>
          <w:rFonts w:ascii="宋体" w:hAnsi="宋体"/>
          <w:color w:val="auto"/>
          <w:sz w:val="24"/>
          <w:szCs w:val="24"/>
          <w:highlight w:val="none"/>
        </w:rPr>
      </w:pPr>
    </w:p>
    <w:p w14:paraId="29813E6F">
      <w:pPr>
        <w:widowControl/>
        <w:jc w:val="left"/>
        <w:rPr>
          <w:rFonts w:ascii="宋体" w:hAnsi="宋体"/>
          <w:color w:val="auto"/>
          <w:sz w:val="24"/>
          <w:szCs w:val="24"/>
          <w:highlight w:val="none"/>
        </w:rPr>
      </w:pPr>
    </w:p>
    <w:p w14:paraId="5D9F1270">
      <w:pPr>
        <w:widowControl/>
        <w:jc w:val="left"/>
        <w:rPr>
          <w:rFonts w:ascii="宋体" w:hAnsi="宋体"/>
          <w:color w:val="auto"/>
          <w:sz w:val="24"/>
          <w:szCs w:val="24"/>
          <w:highlight w:val="none"/>
        </w:rPr>
      </w:pPr>
    </w:p>
    <w:p w14:paraId="34D08944">
      <w:pPr>
        <w:widowControl/>
        <w:jc w:val="left"/>
        <w:rPr>
          <w:rFonts w:ascii="宋体" w:hAnsi="宋体"/>
          <w:color w:val="auto"/>
          <w:sz w:val="24"/>
          <w:szCs w:val="24"/>
          <w:highlight w:val="none"/>
        </w:rPr>
      </w:pPr>
    </w:p>
    <w:p w14:paraId="5C68A708">
      <w:pPr>
        <w:widowControl/>
        <w:jc w:val="left"/>
        <w:rPr>
          <w:rFonts w:ascii="宋体" w:hAnsi="宋体"/>
          <w:color w:val="auto"/>
          <w:sz w:val="24"/>
          <w:szCs w:val="24"/>
          <w:highlight w:val="none"/>
        </w:rPr>
      </w:pPr>
    </w:p>
    <w:p w14:paraId="0216A093">
      <w:pPr>
        <w:widowControl/>
        <w:jc w:val="left"/>
        <w:rPr>
          <w:rFonts w:ascii="宋体" w:hAnsi="宋体"/>
          <w:color w:val="auto"/>
          <w:sz w:val="24"/>
          <w:szCs w:val="24"/>
          <w:highlight w:val="none"/>
        </w:rPr>
      </w:pPr>
    </w:p>
    <w:p w14:paraId="6960113B">
      <w:pPr>
        <w:widowControl/>
        <w:jc w:val="left"/>
        <w:rPr>
          <w:rFonts w:ascii="宋体" w:hAnsi="宋体"/>
          <w:color w:val="auto"/>
          <w:sz w:val="24"/>
          <w:szCs w:val="24"/>
          <w:highlight w:val="none"/>
        </w:rPr>
      </w:pPr>
    </w:p>
    <w:p w14:paraId="3426FA45">
      <w:pPr>
        <w:widowControl/>
        <w:jc w:val="left"/>
        <w:rPr>
          <w:rFonts w:ascii="宋体" w:hAnsi="宋体"/>
          <w:color w:val="auto"/>
          <w:sz w:val="24"/>
          <w:szCs w:val="24"/>
          <w:highlight w:val="none"/>
        </w:rPr>
      </w:pPr>
    </w:p>
    <w:p w14:paraId="22F28EB8">
      <w:pPr>
        <w:widowControl/>
        <w:jc w:val="left"/>
        <w:rPr>
          <w:rFonts w:ascii="宋体" w:hAnsi="宋体"/>
          <w:color w:val="auto"/>
          <w:sz w:val="24"/>
          <w:szCs w:val="24"/>
          <w:highlight w:val="none"/>
        </w:rPr>
      </w:pPr>
    </w:p>
    <w:p w14:paraId="724EFBAE">
      <w:pPr>
        <w:widowControl/>
        <w:jc w:val="left"/>
        <w:rPr>
          <w:rFonts w:ascii="宋体" w:hAnsi="宋体"/>
          <w:color w:val="auto"/>
          <w:sz w:val="24"/>
          <w:szCs w:val="24"/>
          <w:highlight w:val="none"/>
        </w:rPr>
      </w:pPr>
    </w:p>
    <w:p w14:paraId="22CE6B7C">
      <w:pPr>
        <w:widowControl/>
        <w:jc w:val="center"/>
        <w:rPr>
          <w:rFonts w:ascii="宋体" w:hAnsi="宋体"/>
          <w:color w:val="auto"/>
          <w:sz w:val="30"/>
          <w:szCs w:val="30"/>
          <w:highlight w:val="none"/>
        </w:rPr>
      </w:pPr>
      <w:r>
        <w:rPr>
          <w:rFonts w:hint="eastAsia" w:ascii="宋体" w:hAnsi="宋体"/>
          <w:color w:val="auto"/>
          <w:sz w:val="30"/>
          <w:szCs w:val="30"/>
          <w:highlight w:val="none"/>
        </w:rPr>
        <w:t>招标人：</w:t>
      </w:r>
      <w:r>
        <w:rPr>
          <w:rFonts w:hint="eastAsia" w:ascii="宋体" w:hAnsi="宋体"/>
          <w:color w:val="auto"/>
          <w:sz w:val="30"/>
          <w:szCs w:val="30"/>
          <w:highlight w:val="none"/>
          <w:u w:val="single"/>
          <w:lang w:eastAsia="zh-CN"/>
        </w:rPr>
        <w:t>广州市增城区大封门水库管理所</w:t>
      </w:r>
      <w:r>
        <w:rPr>
          <w:rFonts w:hint="eastAsia" w:ascii="宋体" w:hAnsi="宋体"/>
          <w:color w:val="auto"/>
          <w:sz w:val="30"/>
          <w:szCs w:val="30"/>
          <w:highlight w:val="none"/>
          <w:u w:val="single"/>
        </w:rPr>
        <w:t>（盖单位章）</w:t>
      </w:r>
    </w:p>
    <w:p w14:paraId="2335078C">
      <w:pPr>
        <w:widowControl/>
        <w:jc w:val="center"/>
        <w:rPr>
          <w:rFonts w:ascii="宋体" w:hAnsi="宋体"/>
          <w:color w:val="auto"/>
          <w:sz w:val="30"/>
          <w:szCs w:val="30"/>
          <w:highlight w:val="none"/>
        </w:rPr>
      </w:pPr>
      <w:r>
        <w:rPr>
          <w:rFonts w:hint="eastAsia" w:ascii="宋体" w:hAnsi="宋体"/>
          <w:color w:val="auto"/>
          <w:sz w:val="30"/>
          <w:szCs w:val="30"/>
          <w:highlight w:val="none"/>
        </w:rPr>
        <w:t>招标代理：</w:t>
      </w:r>
      <w:r>
        <w:rPr>
          <w:rFonts w:hint="eastAsia" w:ascii="宋体" w:hAnsi="宋体"/>
          <w:color w:val="auto"/>
          <w:sz w:val="30"/>
          <w:szCs w:val="30"/>
          <w:highlight w:val="none"/>
          <w:u w:val="single"/>
          <w:lang w:eastAsia="zh-CN"/>
        </w:rPr>
        <w:t>广东省城规建设监理有限公司</w:t>
      </w:r>
      <w:r>
        <w:rPr>
          <w:rFonts w:hint="eastAsia" w:ascii="宋体" w:hAnsi="宋体"/>
          <w:color w:val="auto"/>
          <w:sz w:val="30"/>
          <w:szCs w:val="30"/>
          <w:highlight w:val="none"/>
          <w:u w:val="single"/>
        </w:rPr>
        <w:t>（盖单位章）</w:t>
      </w:r>
    </w:p>
    <w:p w14:paraId="6A8BF165">
      <w:pPr>
        <w:widowControl/>
        <w:jc w:val="center"/>
        <w:rPr>
          <w:rFonts w:ascii="宋体" w:hAnsi="宋体"/>
          <w:color w:val="auto"/>
          <w:sz w:val="30"/>
          <w:szCs w:val="30"/>
          <w:highlight w:val="none"/>
        </w:rPr>
      </w:pPr>
      <w:r>
        <w:rPr>
          <w:rFonts w:hint="eastAsia" w:ascii="宋体" w:hAnsi="宋体"/>
          <w:color w:val="auto"/>
          <w:sz w:val="30"/>
          <w:szCs w:val="30"/>
          <w:highlight w:val="none"/>
        </w:rPr>
        <w:t>2024年</w:t>
      </w:r>
      <w:r>
        <w:rPr>
          <w:rFonts w:hint="eastAsia" w:ascii="宋体" w:hAnsi="宋体"/>
          <w:color w:val="auto"/>
          <w:sz w:val="30"/>
          <w:szCs w:val="30"/>
          <w:highlight w:val="none"/>
          <w:lang w:val="en-US" w:eastAsia="zh-CN"/>
        </w:rPr>
        <w:t>12</w:t>
      </w:r>
      <w:r>
        <w:rPr>
          <w:rFonts w:hint="eastAsia" w:ascii="宋体" w:hAnsi="宋体"/>
          <w:color w:val="auto"/>
          <w:sz w:val="30"/>
          <w:szCs w:val="30"/>
          <w:highlight w:val="none"/>
        </w:rPr>
        <w:t>月</w:t>
      </w:r>
    </w:p>
    <w:p w14:paraId="04E5D94E">
      <w:pPr>
        <w:pStyle w:val="29"/>
        <w:tabs>
          <w:tab w:val="right" w:leader="dot" w:pos="8296"/>
        </w:tabs>
        <w:jc w:val="center"/>
        <w:rPr>
          <w:rFonts w:hint="eastAsia"/>
          <w:b/>
          <w:bCs/>
          <w:color w:val="auto"/>
          <w:sz w:val="30"/>
          <w:szCs w:val="30"/>
          <w:highlight w:val="none"/>
        </w:rPr>
      </w:pPr>
      <w:r>
        <w:rPr>
          <w:color w:val="auto"/>
          <w:highlight w:val="none"/>
        </w:rPr>
        <w:br w:type="page"/>
      </w:r>
      <w:r>
        <w:rPr>
          <w:rFonts w:hint="eastAsia"/>
          <w:b/>
          <w:bCs/>
          <w:color w:val="auto"/>
          <w:sz w:val="30"/>
          <w:szCs w:val="30"/>
          <w:highlight w:val="none"/>
        </w:rPr>
        <w:t>目 录</w:t>
      </w:r>
    </w:p>
    <w:p w14:paraId="6868CDFD">
      <w:pPr>
        <w:pStyle w:val="29"/>
        <w:tabs>
          <w:tab w:val="right" w:leader="dot" w:pos="8296"/>
        </w:tabs>
        <w:spacing w:line="360" w:lineRule="auto"/>
        <w:rPr>
          <w:color w:val="auto"/>
          <w:kern w:val="2"/>
          <w:sz w:val="21"/>
          <w:highlight w:val="none"/>
        </w:rPr>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"_Toc180758494"</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第一章</w:t>
      </w:r>
      <w:r>
        <w:rPr>
          <w:rStyle w:val="54"/>
          <w:color w:val="auto"/>
          <w:highlight w:val="none"/>
        </w:rPr>
        <w:t xml:space="preserve"> </w:t>
      </w:r>
      <w:r>
        <w:rPr>
          <w:rStyle w:val="54"/>
          <w:rFonts w:hint="eastAsia"/>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_Toc180758494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6CA805BA">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"_Toc180758505"</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第二章</w:t>
      </w:r>
      <w:r>
        <w:rPr>
          <w:rStyle w:val="54"/>
          <w:color w:val="auto"/>
          <w:highlight w:val="none"/>
        </w:rPr>
        <w:t xml:space="preserve"> </w:t>
      </w:r>
      <w:r>
        <w:rPr>
          <w:rStyle w:val="54"/>
          <w:rFonts w:hint="eastAsia"/>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_Toc180758505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406B709C">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"_Toc180758555"</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第三章</w:t>
      </w:r>
      <w:r>
        <w:rPr>
          <w:rStyle w:val="54"/>
          <w:color w:val="auto"/>
          <w:highlight w:val="none"/>
        </w:rPr>
        <w:t xml:space="preserve"> </w:t>
      </w:r>
      <w:r>
        <w:rPr>
          <w:rStyle w:val="54"/>
          <w:rFonts w:hint="eastAsia"/>
          <w:color w:val="auto"/>
          <w:highlight w:val="none"/>
        </w:rPr>
        <w:t>评标办法（综合评估法）</w:t>
      </w:r>
      <w:r>
        <w:rPr>
          <w:color w:val="auto"/>
          <w:highlight w:val="none"/>
        </w:rPr>
        <w:tab/>
      </w:r>
      <w:r>
        <w:rPr>
          <w:color w:val="auto"/>
          <w:highlight w:val="none"/>
        </w:rPr>
        <w:fldChar w:fldCharType="begin"/>
      </w:r>
      <w:r>
        <w:rPr>
          <w:color w:val="auto"/>
          <w:highlight w:val="none"/>
        </w:rPr>
        <w:instrText xml:space="preserve"> PAGEREF _Toc180758555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7C9F4D91">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"_Toc180758577"</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第四章</w:t>
      </w:r>
      <w:r>
        <w:rPr>
          <w:rStyle w:val="54"/>
          <w:color w:val="auto"/>
          <w:highlight w:val="none"/>
        </w:rPr>
        <w:t xml:space="preserve"> </w:t>
      </w:r>
      <w:r>
        <w:rPr>
          <w:rStyle w:val="54"/>
          <w:rFonts w:hint="eastAsia"/>
          <w:color w:val="auto"/>
          <w:highlight w:val="none"/>
        </w:rPr>
        <w:t>合同条款</w:t>
      </w:r>
      <w:r>
        <w:rPr>
          <w:color w:val="auto"/>
          <w:highlight w:val="none"/>
        </w:rPr>
        <w:tab/>
      </w:r>
      <w:r>
        <w:rPr>
          <w:color w:val="auto"/>
          <w:highlight w:val="none"/>
        </w:rPr>
        <w:fldChar w:fldCharType="begin"/>
      </w:r>
      <w:r>
        <w:rPr>
          <w:color w:val="auto"/>
          <w:highlight w:val="none"/>
        </w:rPr>
        <w:instrText xml:space="preserve"> PAGEREF _Toc180758577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58999C49">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"_Toc180758578"</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第五章</w:t>
      </w:r>
      <w:r>
        <w:rPr>
          <w:rStyle w:val="54"/>
          <w:color w:val="auto"/>
          <w:highlight w:val="none"/>
        </w:rPr>
        <w:t xml:space="preserve"> </w:t>
      </w:r>
      <w:r>
        <w:rPr>
          <w:rStyle w:val="54"/>
          <w:rFonts w:hint="eastAsia"/>
          <w:color w:val="auto"/>
          <w:highlight w:val="none"/>
        </w:rPr>
        <w:t>工程量清单（综合单价承包）</w:t>
      </w:r>
      <w:r>
        <w:rPr>
          <w:color w:val="auto"/>
          <w:highlight w:val="none"/>
        </w:rPr>
        <w:tab/>
      </w:r>
      <w:r>
        <w:rPr>
          <w:color w:val="auto"/>
          <w:highlight w:val="none"/>
        </w:rPr>
        <w:fldChar w:fldCharType="begin"/>
      </w:r>
      <w:r>
        <w:rPr>
          <w:color w:val="auto"/>
          <w:highlight w:val="none"/>
        </w:rPr>
        <w:instrText xml:space="preserve"> PAGEREF _Toc180758578 \h </w:instrText>
      </w:r>
      <w:r>
        <w:rPr>
          <w:color w:val="auto"/>
          <w:highlight w:val="none"/>
        </w:rPr>
        <w:fldChar w:fldCharType="separate"/>
      </w:r>
      <w:r>
        <w:rPr>
          <w:color w:val="auto"/>
          <w:highlight w:val="none"/>
        </w:rPr>
        <w:t>183</w:t>
      </w:r>
      <w:r>
        <w:rPr>
          <w:color w:val="auto"/>
          <w:highlight w:val="none"/>
        </w:rPr>
        <w:fldChar w:fldCharType="end"/>
      </w:r>
      <w:r>
        <w:rPr>
          <w:color w:val="auto"/>
          <w:highlight w:val="none"/>
        </w:rPr>
        <w:fldChar w:fldCharType="end"/>
      </w:r>
    </w:p>
    <w:p w14:paraId="17CAF915">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"_Toc180758583"</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第六章</w:t>
      </w:r>
      <w:r>
        <w:rPr>
          <w:rStyle w:val="54"/>
          <w:color w:val="auto"/>
          <w:highlight w:val="none"/>
        </w:rPr>
        <w:t xml:space="preserve"> </w:t>
      </w:r>
      <w:r>
        <w:rPr>
          <w:rStyle w:val="54"/>
          <w:rFonts w:hint="eastAsia"/>
          <w:color w:val="auto"/>
          <w:highlight w:val="none"/>
        </w:rPr>
        <w:t>图纸及勘察资料</w:t>
      </w:r>
      <w:r>
        <w:rPr>
          <w:color w:val="auto"/>
          <w:highlight w:val="none"/>
        </w:rPr>
        <w:tab/>
      </w:r>
      <w:r>
        <w:rPr>
          <w:color w:val="auto"/>
          <w:highlight w:val="none"/>
        </w:rPr>
        <w:fldChar w:fldCharType="begin"/>
      </w:r>
      <w:r>
        <w:rPr>
          <w:color w:val="auto"/>
          <w:highlight w:val="none"/>
        </w:rPr>
        <w:instrText xml:space="preserve"> PAGEREF _Toc180758583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14:paraId="0EA4C5D4">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"_Toc180758584"</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第七章</w:t>
      </w:r>
      <w:r>
        <w:rPr>
          <w:rStyle w:val="54"/>
          <w:color w:val="auto"/>
          <w:highlight w:val="none"/>
        </w:rPr>
        <w:t xml:space="preserve"> </w:t>
      </w:r>
      <w:r>
        <w:rPr>
          <w:rStyle w:val="54"/>
          <w:rFonts w:hint="eastAsia"/>
          <w:color w:val="auto"/>
          <w:highlight w:val="none"/>
        </w:rPr>
        <w:t>技术标准和要求</w:t>
      </w:r>
      <w:r>
        <w:rPr>
          <w:color w:val="auto"/>
          <w:highlight w:val="none"/>
        </w:rPr>
        <w:tab/>
      </w:r>
      <w:r>
        <w:rPr>
          <w:color w:val="auto"/>
          <w:highlight w:val="none"/>
        </w:rPr>
        <w:fldChar w:fldCharType="begin"/>
      </w:r>
      <w:r>
        <w:rPr>
          <w:color w:val="auto"/>
          <w:highlight w:val="none"/>
        </w:rPr>
        <w:instrText xml:space="preserve"> PAGEREF _Toc180758584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14:paraId="0835A15E">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"_Toc180758595"</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第八章</w:t>
      </w:r>
      <w:r>
        <w:rPr>
          <w:rStyle w:val="54"/>
          <w:color w:val="auto"/>
          <w:highlight w:val="none"/>
        </w:rPr>
        <w:t xml:space="preserve"> </w:t>
      </w:r>
      <w:r>
        <w:rPr>
          <w:rStyle w:val="54"/>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_Toc180758595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14:paraId="4855D51B">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"_Toc180758607"</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第九章</w:t>
      </w:r>
      <w:r>
        <w:rPr>
          <w:rStyle w:val="54"/>
          <w:color w:val="auto"/>
          <w:highlight w:val="none"/>
        </w:rPr>
        <w:t xml:space="preserve"> </w:t>
      </w:r>
      <w:r>
        <w:rPr>
          <w:rStyle w:val="54"/>
          <w:rFonts w:hint="eastAsia"/>
          <w:color w:val="auto"/>
          <w:highlight w:val="none"/>
        </w:rPr>
        <w:t>否决性条款汇总</w:t>
      </w:r>
      <w:r>
        <w:rPr>
          <w:color w:val="auto"/>
          <w:highlight w:val="none"/>
        </w:rPr>
        <w:tab/>
      </w:r>
      <w:r>
        <w:rPr>
          <w:color w:val="auto"/>
          <w:highlight w:val="none"/>
        </w:rPr>
        <w:fldChar w:fldCharType="begin"/>
      </w:r>
      <w:r>
        <w:rPr>
          <w:color w:val="auto"/>
          <w:highlight w:val="none"/>
        </w:rPr>
        <w:instrText xml:space="preserve"> PAGEREF _Toc180758607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14:paraId="69F6EACF">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"_Toc180758608"</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第十章</w:t>
      </w:r>
      <w:r>
        <w:rPr>
          <w:rStyle w:val="54"/>
          <w:color w:val="auto"/>
          <w:highlight w:val="none"/>
        </w:rPr>
        <w:t xml:space="preserve"> </w:t>
      </w:r>
      <w:r>
        <w:rPr>
          <w:rStyle w:val="54"/>
          <w:rFonts w:hint="eastAsia"/>
          <w:color w:val="auto"/>
          <w:highlight w:val="none"/>
        </w:rPr>
        <w:t>最高投标限价（招标控制价）</w:t>
      </w:r>
      <w:r>
        <w:rPr>
          <w:color w:val="auto"/>
          <w:highlight w:val="none"/>
        </w:rPr>
        <w:tab/>
      </w:r>
      <w:r>
        <w:rPr>
          <w:color w:val="auto"/>
          <w:highlight w:val="none"/>
        </w:rPr>
        <w:fldChar w:fldCharType="begin"/>
      </w:r>
      <w:r>
        <w:rPr>
          <w:color w:val="auto"/>
          <w:highlight w:val="none"/>
        </w:rPr>
        <w:instrText xml:space="preserve"> PAGEREF _Toc180758608 \h </w:instrText>
      </w:r>
      <w:r>
        <w:rPr>
          <w:color w:val="auto"/>
          <w:highlight w:val="none"/>
        </w:rPr>
        <w:fldChar w:fldCharType="separate"/>
      </w:r>
      <w:r>
        <w:rPr>
          <w:color w:val="auto"/>
          <w:highlight w:val="none"/>
        </w:rPr>
        <w:t>226</w:t>
      </w:r>
      <w:r>
        <w:rPr>
          <w:color w:val="auto"/>
          <w:highlight w:val="none"/>
        </w:rPr>
        <w:fldChar w:fldCharType="end"/>
      </w:r>
      <w:r>
        <w:rPr>
          <w:color w:val="auto"/>
          <w:highlight w:val="none"/>
        </w:rPr>
        <w:fldChar w:fldCharType="end"/>
      </w:r>
    </w:p>
    <w:p w14:paraId="10854655">
      <w:pPr>
        <w:spacing w:line="360" w:lineRule="auto"/>
        <w:rPr>
          <w:color w:val="auto"/>
          <w:highlight w:val="none"/>
        </w:rPr>
      </w:pPr>
      <w:r>
        <w:rPr>
          <w:b/>
          <w:bCs/>
          <w:color w:val="auto"/>
          <w:highlight w:val="none"/>
          <w:lang w:val="zh-CN"/>
        </w:rPr>
        <w:fldChar w:fldCharType="end"/>
      </w:r>
    </w:p>
    <w:p w14:paraId="748E41FB">
      <w:pPr>
        <w:pStyle w:val="2"/>
        <w:jc w:val="center"/>
        <w:rPr>
          <w:color w:val="auto"/>
          <w:highlight w:val="none"/>
        </w:rPr>
      </w:pPr>
      <w:r>
        <w:rPr>
          <w:color w:val="auto"/>
          <w:highlight w:val="none"/>
        </w:rPr>
        <w:br w:type="page"/>
      </w:r>
      <w:bookmarkStart w:id="0" w:name="_Toc21787625"/>
      <w:bookmarkStart w:id="1" w:name="_Toc180758494"/>
      <w:r>
        <w:rPr>
          <w:rFonts w:hint="eastAsia"/>
          <w:color w:val="auto"/>
          <w:highlight w:val="none"/>
        </w:rPr>
        <w:t>第一章 招标公告</w:t>
      </w:r>
      <w:bookmarkEnd w:id="0"/>
      <w:bookmarkEnd w:id="1"/>
    </w:p>
    <w:p w14:paraId="30B250CE">
      <w:pPr>
        <w:rPr>
          <w:color w:val="auto"/>
          <w:highlight w:val="none"/>
        </w:rPr>
      </w:pPr>
    </w:p>
    <w:p w14:paraId="7E99420E">
      <w:pPr>
        <w:jc w:val="center"/>
        <w:rPr>
          <w:rFonts w:hint="eastAsia" w:ascii="宋体" w:hAnsi="宋体"/>
          <w:b/>
          <w:color w:val="auto"/>
          <w:kern w:val="0"/>
          <w:sz w:val="32"/>
          <w:szCs w:val="32"/>
          <w:highlight w:val="none"/>
          <w:u w:val="single"/>
          <w:lang w:eastAsia="zh-CN"/>
        </w:rPr>
      </w:pPr>
      <w:r>
        <w:rPr>
          <w:rFonts w:hint="eastAsia" w:ascii="宋体" w:hAnsi="宋体"/>
          <w:b/>
          <w:color w:val="auto"/>
          <w:kern w:val="0"/>
          <w:sz w:val="32"/>
          <w:szCs w:val="32"/>
          <w:highlight w:val="none"/>
          <w:u w:val="single"/>
          <w:lang w:eastAsia="zh-CN"/>
        </w:rPr>
        <w:t>广州市增城区大封门水库扩容工程输变电线路迁改工程</w:t>
      </w:r>
    </w:p>
    <w:p w14:paraId="7065CAE5">
      <w:pPr>
        <w:jc w:val="center"/>
        <w:rPr>
          <w:rFonts w:ascii="宋体" w:hAnsi="宋体"/>
          <w:b/>
          <w:color w:val="auto"/>
          <w:kern w:val="0"/>
          <w:sz w:val="32"/>
          <w:szCs w:val="32"/>
          <w:highlight w:val="none"/>
        </w:rPr>
      </w:pPr>
      <w:r>
        <w:rPr>
          <w:rFonts w:hint="eastAsia" w:ascii="宋体" w:hAnsi="宋体"/>
          <w:b/>
          <w:color w:val="auto"/>
          <w:kern w:val="0"/>
          <w:sz w:val="32"/>
          <w:szCs w:val="32"/>
          <w:highlight w:val="none"/>
        </w:rPr>
        <w:t>招标公告</w:t>
      </w:r>
    </w:p>
    <w:p w14:paraId="3FA06EC4">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hint="eastAsia" w:ascii="黑体" w:hAnsi="黑体" w:eastAsia="黑体"/>
          <w:b/>
          <w:bCs/>
          <w:color w:val="auto"/>
          <w:kern w:val="44"/>
          <w:sz w:val="30"/>
          <w:szCs w:val="30"/>
          <w:highlight w:val="none"/>
        </w:rPr>
        <w:t>招标条件</w:t>
      </w:r>
    </w:p>
    <w:p w14:paraId="7296E76C">
      <w:pPr>
        <w:spacing w:line="360" w:lineRule="auto"/>
        <w:ind w:firstLine="540" w:firstLineChars="225"/>
        <w:rPr>
          <w:rFonts w:ascii="宋体" w:hAnsi="宋体"/>
          <w:color w:val="auto"/>
          <w:sz w:val="24"/>
          <w:szCs w:val="24"/>
          <w:highlight w:val="none"/>
        </w:rPr>
      </w:pPr>
      <w:r>
        <w:rPr>
          <w:rFonts w:ascii="宋体" w:hAnsi="宋体"/>
          <w:color w:val="auto"/>
          <w:sz w:val="24"/>
          <w:szCs w:val="24"/>
          <w:highlight w:val="none"/>
        </w:rPr>
        <w:t>本招标项目</w:t>
      </w:r>
      <w:r>
        <w:rPr>
          <w:rFonts w:hint="eastAsia" w:ascii="宋体" w:hAnsi="宋体"/>
          <w:color w:val="auto"/>
          <w:sz w:val="24"/>
          <w:szCs w:val="24"/>
          <w:highlight w:val="none"/>
          <w:u w:val="single"/>
        </w:rPr>
        <w:t xml:space="preserve"> 广州市增城区大封门水库扩容工程输变电线路迁改工程 </w:t>
      </w:r>
      <w:r>
        <w:rPr>
          <w:rFonts w:ascii="宋体" w:hAnsi="宋体"/>
          <w:color w:val="auto"/>
          <w:sz w:val="24"/>
          <w:szCs w:val="24"/>
          <w:highlight w:val="none"/>
        </w:rPr>
        <w:t>已由</w:t>
      </w:r>
      <w:r>
        <w:rPr>
          <w:rFonts w:hint="eastAsia" w:ascii="宋体" w:hAnsi="宋体"/>
          <w:color w:val="auto"/>
          <w:sz w:val="24"/>
          <w:szCs w:val="24"/>
          <w:highlight w:val="none"/>
          <w:u w:val="single"/>
        </w:rPr>
        <w:t xml:space="preserve"> 广州市发展和改革委员会 </w:t>
      </w:r>
      <w:r>
        <w:rPr>
          <w:rFonts w:ascii="宋体" w:hAnsi="宋体"/>
          <w:color w:val="auto"/>
          <w:sz w:val="24"/>
          <w:szCs w:val="24"/>
          <w:highlight w:val="none"/>
        </w:rPr>
        <w:t>以</w:t>
      </w:r>
      <w:r>
        <w:rPr>
          <w:rFonts w:hint="eastAsia" w:ascii="宋体" w:hAnsi="宋体"/>
          <w:color w:val="auto"/>
          <w:sz w:val="24"/>
          <w:szCs w:val="24"/>
          <w:highlight w:val="none"/>
          <w:u w:val="single"/>
        </w:rPr>
        <w:t xml:space="preserve"> 穗发改投批〔2024〕99号（项目代码：2020-440118-48-01-067482） </w:t>
      </w:r>
      <w:r>
        <w:rPr>
          <w:rFonts w:ascii="宋体" w:hAnsi="宋体"/>
          <w:color w:val="auto"/>
          <w:sz w:val="24"/>
          <w:szCs w:val="24"/>
          <w:highlight w:val="none"/>
        </w:rPr>
        <w:t>批准建设</w:t>
      </w:r>
      <w:r>
        <w:rPr>
          <w:rFonts w:hint="eastAsia" w:ascii="宋体" w:hAnsi="宋体"/>
          <w:color w:val="auto"/>
          <w:sz w:val="24"/>
          <w:szCs w:val="24"/>
          <w:highlight w:val="none"/>
        </w:rPr>
        <w:t>，</w:t>
      </w:r>
      <w:r>
        <w:rPr>
          <w:rFonts w:ascii="宋体" w:hAnsi="宋体"/>
          <w:color w:val="auto"/>
          <w:sz w:val="24"/>
          <w:szCs w:val="24"/>
          <w:highlight w:val="none"/>
        </w:rPr>
        <w:t>项目业主为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eastAsia="zh-CN"/>
        </w:rPr>
        <w:t>广州市增城区大封门水库管理所</w:t>
      </w:r>
      <w:r>
        <w:rPr>
          <w:rFonts w:hint="eastAsia" w:ascii="宋体" w:hAnsi="宋体"/>
          <w:color w:val="auto"/>
          <w:sz w:val="24"/>
          <w:szCs w:val="24"/>
          <w:highlight w:val="none"/>
          <w:u w:val="single"/>
        </w:rPr>
        <w:t xml:space="preserve"> </w:t>
      </w:r>
      <w:r>
        <w:rPr>
          <w:rFonts w:ascii="宋体" w:hAnsi="宋体"/>
          <w:color w:val="auto"/>
          <w:sz w:val="24"/>
          <w:szCs w:val="24"/>
          <w:highlight w:val="none"/>
        </w:rPr>
        <w:t>，建设资金来自</w:t>
      </w:r>
      <w:r>
        <w:rPr>
          <w:rFonts w:hint="eastAsia" w:ascii="宋体" w:hAnsi="宋体"/>
          <w:color w:val="auto"/>
          <w:sz w:val="24"/>
          <w:szCs w:val="24"/>
          <w:highlight w:val="none"/>
          <w:u w:val="single"/>
        </w:rPr>
        <w:t xml:space="preserve"> 除中央和省级补助资金外，由广州市级财政承担40%，由增城区财政承担60% </w:t>
      </w:r>
      <w:r>
        <w:rPr>
          <w:rFonts w:ascii="宋体" w:hAnsi="宋体"/>
          <w:color w:val="auto"/>
          <w:sz w:val="24"/>
          <w:szCs w:val="24"/>
          <w:highlight w:val="none"/>
        </w:rPr>
        <w:t>，</w:t>
      </w:r>
      <w:r>
        <w:rPr>
          <w:rFonts w:hint="eastAsia" w:ascii="宋体" w:hAnsi="宋体"/>
          <w:color w:val="auto"/>
          <w:sz w:val="24"/>
          <w:szCs w:val="24"/>
          <w:highlight w:val="none"/>
        </w:rPr>
        <w:t>资金来源已落实，</w:t>
      </w:r>
      <w:r>
        <w:rPr>
          <w:rFonts w:ascii="宋体" w:hAnsi="宋体"/>
          <w:color w:val="auto"/>
          <w:sz w:val="24"/>
          <w:szCs w:val="24"/>
          <w:highlight w:val="none"/>
        </w:rPr>
        <w:t>项目出资比例为</w:t>
      </w:r>
      <w:r>
        <w:rPr>
          <w:rFonts w:hint="eastAsia" w:ascii="宋体" w:hAnsi="宋体"/>
          <w:color w:val="auto"/>
          <w:sz w:val="24"/>
          <w:szCs w:val="24"/>
          <w:highlight w:val="none"/>
          <w:u w:val="single"/>
        </w:rPr>
        <w:t xml:space="preserve"> 100% </w:t>
      </w:r>
      <w:r>
        <w:rPr>
          <w:rFonts w:ascii="宋体" w:hAnsi="宋体"/>
          <w:color w:val="auto"/>
          <w:sz w:val="24"/>
          <w:szCs w:val="24"/>
          <w:highlight w:val="none"/>
        </w:rPr>
        <w:t>, 招标人为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eastAsia="zh-CN"/>
        </w:rPr>
        <w:t>广州市增城区大封门水库管理所</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项目已具备招标条件，现对该项目施工进行公开招标。</w:t>
      </w:r>
    </w:p>
    <w:p w14:paraId="74A91833">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ascii="黑体" w:hAnsi="黑体" w:eastAsia="黑体"/>
          <w:b/>
          <w:bCs/>
          <w:color w:val="auto"/>
          <w:kern w:val="44"/>
          <w:sz w:val="30"/>
          <w:szCs w:val="30"/>
          <w:highlight w:val="none"/>
        </w:rPr>
        <w:t>项目概况与招标范围</w:t>
      </w:r>
    </w:p>
    <w:p w14:paraId="3C394A34">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建设地点：</w:t>
      </w:r>
      <w:r>
        <w:rPr>
          <w:rFonts w:hint="eastAsia" w:ascii="宋体" w:hAnsi="宋体"/>
          <w:color w:val="auto"/>
          <w:sz w:val="24"/>
          <w:szCs w:val="24"/>
          <w:highlight w:val="none"/>
          <w:u w:val="single"/>
        </w:rPr>
        <w:t>广州市增城区大封门水库</w:t>
      </w:r>
      <w:r>
        <w:rPr>
          <w:rFonts w:hint="eastAsia" w:ascii="宋体" w:hAnsi="宋体"/>
          <w:color w:val="auto"/>
          <w:sz w:val="24"/>
          <w:szCs w:val="24"/>
          <w:highlight w:val="none"/>
        </w:rPr>
        <w:t>。</w:t>
      </w:r>
    </w:p>
    <w:p w14:paraId="6CA5EA25">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项目规模：</w:t>
      </w:r>
      <w:r>
        <w:rPr>
          <w:rFonts w:hint="eastAsia" w:ascii="宋体" w:hAnsi="宋体"/>
          <w:color w:val="auto"/>
          <w:sz w:val="24"/>
          <w:szCs w:val="24"/>
          <w:highlight w:val="none"/>
          <w:u w:val="single"/>
        </w:rPr>
        <w:t>本项目建设的主要任务为供水、防洪、灌溉。大封门水库扩容后总库容为2240万m³，为中型水库，主要建筑物包括大坝及引水枢纽、进场道路、管理区等。大坝采用原址重建，坝型采用碾压混凝土重力坝，坝轴线长535.0m，最大坝高86.5m。工程等别为Ⅲ等，规模为中型水库，按100年一遇洪水设计，1000年一遇洪水校核。主要包含：1、高滩站F2上九坡线西坑护林站分支线原#26-#35杆10kV架空线从大封门水库原坝坡上经过，需对以上两段架空线进行迁移；2、迁改后#26-#33杆10kV架空线沿温南公路边山坡架设；#33-#34杆10kV架空线改为沿淹迁道路旁边埋管敷设电缆至新立#34塔；3、将原#28杆250kVA箱变迁移至新立#33杆安装，供道班和漂流等用户用电等。</w:t>
      </w:r>
    </w:p>
    <w:p w14:paraId="2A805886">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最高投标限价：</w:t>
      </w:r>
      <w:r>
        <w:rPr>
          <w:rFonts w:hint="eastAsia" w:ascii="宋体" w:hAnsi="宋体"/>
          <w:color w:val="auto"/>
          <w:sz w:val="24"/>
          <w:szCs w:val="24"/>
          <w:highlight w:val="none"/>
          <w:u w:val="single"/>
          <w:lang w:val="en-US" w:eastAsia="zh-CN"/>
        </w:rPr>
        <w:t>6,631,691.11</w:t>
      </w:r>
      <w:r>
        <w:rPr>
          <w:rFonts w:hint="eastAsia" w:ascii="宋体" w:hAnsi="宋体"/>
          <w:color w:val="auto"/>
          <w:sz w:val="24"/>
          <w:szCs w:val="24"/>
          <w:highlight w:val="none"/>
          <w:u w:val="single"/>
        </w:rPr>
        <w:t>元</w:t>
      </w:r>
      <w:r>
        <w:rPr>
          <w:rFonts w:hint="eastAsia" w:ascii="宋体" w:hAnsi="宋体"/>
          <w:color w:val="auto"/>
          <w:sz w:val="24"/>
          <w:szCs w:val="24"/>
          <w:highlight w:val="none"/>
        </w:rPr>
        <w:t>。本工程根据国家和省有关计价规范设置最高投标限价。</w:t>
      </w:r>
    </w:p>
    <w:p w14:paraId="44D36523">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计划工期：</w:t>
      </w:r>
      <w:r>
        <w:rPr>
          <w:rFonts w:hint="eastAsia" w:ascii="宋体" w:hAnsi="宋体"/>
          <w:color w:val="auto"/>
          <w:sz w:val="24"/>
          <w:szCs w:val="24"/>
          <w:highlight w:val="none"/>
          <w:u w:val="single"/>
          <w:lang w:val="en-US" w:eastAsia="zh-CN"/>
        </w:rPr>
        <w:t>120</w:t>
      </w:r>
      <w:r>
        <w:rPr>
          <w:rFonts w:hint="eastAsia" w:ascii="宋体" w:hAnsi="宋体"/>
          <w:color w:val="auto"/>
          <w:sz w:val="24"/>
          <w:szCs w:val="24"/>
          <w:highlight w:val="none"/>
          <w:u w:val="single"/>
        </w:rPr>
        <w:t>日历天</w:t>
      </w:r>
      <w:r>
        <w:rPr>
          <w:rFonts w:hint="eastAsia" w:ascii="宋体" w:hAnsi="宋体"/>
          <w:color w:val="auto"/>
          <w:sz w:val="24"/>
          <w:szCs w:val="24"/>
          <w:highlight w:val="none"/>
        </w:rPr>
        <w:t>。</w:t>
      </w:r>
    </w:p>
    <w:p w14:paraId="73EDE698">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招标内容：</w:t>
      </w:r>
      <w:r>
        <w:rPr>
          <w:rFonts w:hint="eastAsia" w:ascii="宋体" w:hAnsi="宋体"/>
          <w:color w:val="auto"/>
          <w:sz w:val="24"/>
          <w:szCs w:val="24"/>
          <w:highlight w:val="none"/>
          <w:u w:val="single"/>
        </w:rPr>
        <w:t>按发包人提供的招标文件、工程量清单、招标答疑文件、全套施工图纸、设计说明及补充说明，承包广州市增城区大封门水库扩容工程输变电线路迁改工程。（具体工作内容详见施工设计图纸和工程量清单）。</w:t>
      </w:r>
    </w:p>
    <w:p w14:paraId="3260D655">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标段划分：</w:t>
      </w:r>
      <w:r>
        <w:rPr>
          <w:rFonts w:hint="eastAsia" w:ascii="宋体" w:hAnsi="宋体"/>
          <w:color w:val="auto"/>
          <w:sz w:val="24"/>
          <w:szCs w:val="24"/>
          <w:highlight w:val="none"/>
          <w:u w:val="single"/>
        </w:rPr>
        <w:t xml:space="preserve"> 1 </w:t>
      </w:r>
      <w:r>
        <w:rPr>
          <w:rFonts w:hint="eastAsia" w:ascii="宋体" w:hAnsi="宋体"/>
          <w:color w:val="auto"/>
          <w:sz w:val="24"/>
          <w:szCs w:val="24"/>
          <w:highlight w:val="none"/>
        </w:rPr>
        <w:t>个标段。</w:t>
      </w:r>
    </w:p>
    <w:p w14:paraId="3E150601">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承包方式：</w:t>
      </w:r>
      <w:r>
        <w:rPr>
          <w:rFonts w:hint="eastAsia" w:ascii="宋体" w:hAnsi="宋体"/>
          <w:color w:val="auto"/>
          <w:sz w:val="24"/>
          <w:szCs w:val="24"/>
          <w:highlight w:val="none"/>
          <w:u w:val="single"/>
        </w:rPr>
        <w:t>包工、包料、包工期、包质量、包安全、包文明施工。永久工程综合单价包干、项目临时工程总价包干。</w:t>
      </w:r>
    </w:p>
    <w:p w14:paraId="46FB6BD9">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ascii="黑体" w:hAnsi="黑体" w:eastAsia="黑体"/>
          <w:b/>
          <w:bCs/>
          <w:color w:val="auto"/>
          <w:kern w:val="44"/>
          <w:sz w:val="30"/>
          <w:szCs w:val="30"/>
          <w:highlight w:val="none"/>
        </w:rPr>
        <w:t>投标人资格要求</w:t>
      </w:r>
    </w:p>
    <w:p w14:paraId="12DB4439">
      <w:pPr>
        <w:spacing w:line="360" w:lineRule="auto"/>
        <w:rPr>
          <w:rFonts w:ascii="宋体" w:hAnsi="宋体"/>
          <w:bCs/>
          <w:color w:val="auto"/>
          <w:sz w:val="24"/>
          <w:highlight w:val="none"/>
        </w:rPr>
      </w:pPr>
      <w:r>
        <w:rPr>
          <w:rFonts w:hint="eastAsia" w:ascii="宋体" w:hAnsi="宋体"/>
          <w:bCs/>
          <w:color w:val="auto"/>
          <w:sz w:val="24"/>
          <w:highlight w:val="none"/>
        </w:rPr>
        <w:t>投标人应具备承担本工程施工的资质条件、能力和信誉，具体要求如下：</w:t>
      </w:r>
    </w:p>
    <w:p w14:paraId="1D7612ED">
      <w:pPr>
        <w:widowControl/>
        <w:numPr>
          <w:ilvl w:val="0"/>
          <w:numId w:val="5"/>
        </w:numPr>
        <w:spacing w:line="360" w:lineRule="auto"/>
        <w:ind w:left="420"/>
        <w:jc w:val="left"/>
        <w:rPr>
          <w:rFonts w:ascii="宋体" w:hAnsi="宋体" w:cs="仿宋_GB2312"/>
          <w:color w:val="auto"/>
          <w:sz w:val="24"/>
          <w:szCs w:val="24"/>
          <w:highlight w:val="none"/>
        </w:rPr>
      </w:pPr>
      <w:r>
        <w:rPr>
          <w:rFonts w:ascii="宋体" w:hAnsi="宋体" w:cs="宋体"/>
          <w:color w:val="auto"/>
          <w:sz w:val="24"/>
          <w:szCs w:val="24"/>
          <w:highlight w:val="none"/>
        </w:rPr>
        <w:t>投标人是法人或其他组织，按国家法律经营（</w:t>
      </w:r>
      <w:r>
        <w:rPr>
          <w:rFonts w:hint="eastAsia" w:ascii="宋体" w:hAnsi="宋体" w:cs="宋体"/>
          <w:color w:val="auto"/>
          <w:sz w:val="24"/>
          <w:szCs w:val="24"/>
          <w:highlight w:val="none"/>
        </w:rPr>
        <w:t>依法取得营业执照，营业执照处于有效期</w:t>
      </w:r>
      <w:r>
        <w:rPr>
          <w:rFonts w:ascii="宋体" w:hAnsi="宋体" w:cs="宋体"/>
          <w:color w:val="auto"/>
          <w:sz w:val="24"/>
          <w:szCs w:val="24"/>
          <w:highlight w:val="none"/>
        </w:rPr>
        <w:t>）</w:t>
      </w:r>
      <w:r>
        <w:rPr>
          <w:rFonts w:hint="eastAsia" w:ascii="宋体" w:hAnsi="宋体" w:cs="仿宋_GB2312"/>
          <w:color w:val="auto"/>
          <w:sz w:val="24"/>
          <w:szCs w:val="24"/>
          <w:highlight w:val="none"/>
        </w:rPr>
        <w:t>。</w:t>
      </w:r>
    </w:p>
    <w:p w14:paraId="2ADD2558">
      <w:pPr>
        <w:widowControl/>
        <w:numPr>
          <w:ilvl w:val="0"/>
          <w:numId w:val="5"/>
        </w:numPr>
        <w:spacing w:line="360" w:lineRule="auto"/>
        <w:ind w:left="420"/>
        <w:jc w:val="left"/>
        <w:rPr>
          <w:rFonts w:ascii="宋体" w:hAnsi="宋体" w:cs="仿宋_GB2312"/>
          <w:color w:val="auto"/>
          <w:sz w:val="24"/>
          <w:szCs w:val="24"/>
          <w:highlight w:val="none"/>
        </w:rPr>
      </w:pPr>
      <w:r>
        <w:rPr>
          <w:rFonts w:hint="eastAsia" w:ascii="宋体" w:hAnsi="宋体" w:cs="仿宋_GB2312"/>
          <w:color w:val="auto"/>
          <w:sz w:val="24"/>
          <w:szCs w:val="24"/>
          <w:highlight w:val="none"/>
        </w:rPr>
        <w:t>投标人应持有建设行政主管部门颁发的企业资质证书及安全生产许可证。</w:t>
      </w:r>
    </w:p>
    <w:p w14:paraId="2AA01A68">
      <w:pPr>
        <w:widowControl/>
        <w:numPr>
          <w:ilvl w:val="0"/>
          <w:numId w:val="5"/>
        </w:numPr>
        <w:spacing w:line="360" w:lineRule="auto"/>
        <w:ind w:left="420"/>
        <w:jc w:val="left"/>
        <w:rPr>
          <w:rFonts w:ascii="宋体" w:hAnsi="宋体" w:cs="仿宋_GB2312"/>
          <w:color w:val="auto"/>
          <w:sz w:val="24"/>
          <w:szCs w:val="24"/>
          <w:highlight w:val="none"/>
        </w:rPr>
      </w:pPr>
      <w:r>
        <w:rPr>
          <w:rFonts w:hint="eastAsia" w:ascii="宋体" w:hAnsi="宋体" w:cs="宋体"/>
          <w:color w:val="auto"/>
          <w:kern w:val="0"/>
          <w:sz w:val="24"/>
          <w:szCs w:val="24"/>
          <w:highlight w:val="none"/>
        </w:rPr>
        <w:t>投标人应具备以下资质：</w:t>
      </w:r>
    </w:p>
    <w:p w14:paraId="385A07F1">
      <w:pPr>
        <w:widowControl/>
        <w:spacing w:line="360" w:lineRule="auto"/>
        <w:ind w:firstLine="54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投标人具有承接本工程所需的</w:t>
      </w:r>
      <w:r>
        <w:rPr>
          <w:rFonts w:hint="eastAsia" w:ascii="宋体" w:hAnsi="宋体" w:cs="宋体"/>
          <w:color w:val="auto"/>
          <w:kern w:val="0"/>
          <w:sz w:val="24"/>
          <w:szCs w:val="24"/>
          <w:highlight w:val="none"/>
          <w:u w:val="single"/>
        </w:rPr>
        <w:t>电力工程施工总承包叁级（或以上）资质；并且同时具备《承装(修、试)电力设施许可证》承装类五级或以上资格</w:t>
      </w:r>
    </w:p>
    <w:p w14:paraId="610D6136">
      <w:pPr>
        <w:widowControl/>
        <w:spacing w:line="360" w:lineRule="auto"/>
        <w:ind w:firstLine="540"/>
        <w:jc w:val="left"/>
        <w:rPr>
          <w:rFonts w:hint="eastAsia" w:ascii="仿宋" w:hAnsi="仿宋" w:eastAsia="仿宋" w:cs="宋体"/>
          <w:bCs/>
          <w:color w:val="auto"/>
          <w:kern w:val="0"/>
          <w:sz w:val="24"/>
          <w:szCs w:val="24"/>
          <w:highlight w:val="none"/>
        </w:rPr>
      </w:pPr>
      <w:r>
        <w:rPr>
          <w:rFonts w:hint="eastAsia" w:ascii="仿宋_GB2312" w:hAnsi="宋体" w:eastAsia="仿宋_GB2312"/>
          <w:color w:val="auto"/>
          <w:sz w:val="24"/>
          <w:szCs w:val="24"/>
          <w:highlight w:val="none"/>
        </w:rPr>
        <w:t>注：</w:t>
      </w:r>
      <w:r>
        <w:rPr>
          <w:rFonts w:hint="eastAsia" w:ascii="仿宋" w:hAnsi="仿宋" w:eastAsia="仿宋" w:cs="宋体"/>
          <w:bCs/>
          <w:color w:val="auto"/>
          <w:kern w:val="0"/>
          <w:sz w:val="24"/>
          <w:szCs w:val="24"/>
          <w:highlight w:val="none"/>
        </w:rPr>
        <w:t>（1）资质内容按照建市〔2014〕159号文颁布的新版《建筑业企业资质标准》中对应的资质类别及等级的承包工程范围和《住房城乡建设部关于建筑业企业资质管理有关问题的通知》（建市〔2015〕154号）、《住房城乡建设部关于简化建筑业企业资质标准部分指标的通知》(建市〔2016〕226号)、《住房和城乡建设部关于印发建设工程企业资质管理制度改革方案的通知》（建市〔2020〕94号）、《住房和城乡建设部办公厅关于做好建筑业“证照分离”改革衔接有关工作的通知》（建办市〔2021〕30号）、《住房和城乡建设部办公厅关于建设工程企业资质有关事宜的通知》（建办市函〔2022〕361号）、《广东省住房和城乡建设厅关于建设工程企业资质有关事宜的通知》（粤建许函〔2022〕846号）、《住房城乡建设部建筑市场监管司关于建设工程企业资质延续有关事项的通知》（建司局函市〔2023〕116号）、《广东省住房和城乡建设厅关于建设工程企业资质延续有关事项的通知》（粤建许函〔2023〕820号）、广东省住房和城乡建设厅关于做好有关建设工程企业资质证书换领工作的通知（粤建许函〔2024〕124号）的要求设置。招标内容含有设计要求，且设计要求仅为深化设计的，在投标人的资质设置要求中，不允许设置设计资质。</w:t>
      </w:r>
    </w:p>
    <w:p w14:paraId="675D09E8">
      <w:pPr>
        <w:spacing w:line="360" w:lineRule="auto"/>
        <w:ind w:firstLine="480" w:firstLineChars="200"/>
        <w:textAlignment w:val="baseline"/>
        <w:rPr>
          <w:rFonts w:ascii="仿宋" w:hAnsi="仿宋" w:eastAsia="仿宋" w:cs="宋体"/>
          <w:bCs/>
          <w:color w:val="auto"/>
          <w:kern w:val="0"/>
          <w:sz w:val="24"/>
          <w:szCs w:val="24"/>
          <w:highlight w:val="none"/>
        </w:rPr>
      </w:pPr>
      <w:r>
        <w:rPr>
          <w:rFonts w:ascii="仿宋" w:hAnsi="仿宋" w:eastAsia="仿宋" w:cs="宋体"/>
          <w:bCs/>
          <w:color w:val="auto"/>
          <w:kern w:val="0"/>
          <w:sz w:val="24"/>
          <w:szCs w:val="24"/>
          <w:highlight w:val="none"/>
        </w:rPr>
        <w:t>（2）同一招标人在同一时间段实施多个同类型建设项目的，可采用合并招标的方式进行招标。同类型项目是指所用资质类型、等级相同的项目。</w:t>
      </w:r>
    </w:p>
    <w:p w14:paraId="4D52F6F5">
      <w:pPr>
        <w:spacing w:line="360" w:lineRule="auto"/>
        <w:ind w:firstLine="480" w:firstLineChars="200"/>
        <w:textAlignment w:val="baseline"/>
        <w:rPr>
          <w:rFonts w:ascii="仿宋" w:hAnsi="仿宋" w:eastAsia="仿宋" w:cs="宋体"/>
          <w:bCs/>
          <w:color w:val="auto"/>
          <w:kern w:val="0"/>
          <w:sz w:val="24"/>
          <w:szCs w:val="24"/>
          <w:highlight w:val="none"/>
        </w:rPr>
      </w:pPr>
      <w:r>
        <w:rPr>
          <w:rFonts w:ascii="仿宋" w:hAnsi="仿宋" w:eastAsia="仿宋" w:cs="宋体"/>
          <w:bCs/>
          <w:color w:val="auto"/>
          <w:kern w:val="0"/>
          <w:sz w:val="24"/>
          <w:szCs w:val="24"/>
          <w:highlight w:val="none"/>
        </w:rPr>
        <w:t>（3）如投标人的企业资质是根据 2020年11月30日发布的《住房和城乡建设部关于印发建设工程企业资质管理制度改革方案的通知》（建市〔2020〕94号）办理的，则资质相应要求如下：具有建设行政主管部门颁发的</w:t>
      </w:r>
      <w:r>
        <w:rPr>
          <w:rFonts w:hint="eastAsia" w:ascii="仿宋" w:hAnsi="仿宋" w:eastAsia="仿宋" w:cs="宋体"/>
          <w:b/>
          <w:bCs/>
          <w:color w:val="auto"/>
          <w:kern w:val="0"/>
          <w:sz w:val="24"/>
          <w:szCs w:val="24"/>
          <w:highlight w:val="none"/>
        </w:rPr>
        <w:t>电力工程施工总承包</w:t>
      </w:r>
      <w:r>
        <w:rPr>
          <w:rFonts w:hint="eastAsia" w:ascii="仿宋" w:hAnsi="仿宋" w:eastAsia="仿宋" w:cs="宋体"/>
          <w:b/>
          <w:bCs/>
          <w:color w:val="auto"/>
          <w:kern w:val="0"/>
          <w:sz w:val="24"/>
          <w:szCs w:val="24"/>
          <w:highlight w:val="none"/>
          <w:lang w:val="en-US" w:eastAsia="zh-CN"/>
        </w:rPr>
        <w:t>乙</w:t>
      </w:r>
      <w:r>
        <w:rPr>
          <w:rFonts w:ascii="仿宋" w:hAnsi="仿宋" w:eastAsia="仿宋" w:cs="宋体"/>
          <w:b/>
          <w:bCs/>
          <w:color w:val="auto"/>
          <w:kern w:val="0"/>
          <w:sz w:val="24"/>
          <w:szCs w:val="24"/>
          <w:highlight w:val="none"/>
        </w:rPr>
        <w:t>级或以上</w:t>
      </w:r>
      <w:r>
        <w:rPr>
          <w:rFonts w:ascii="仿宋" w:hAnsi="仿宋" w:eastAsia="仿宋" w:cs="宋体"/>
          <w:bCs/>
          <w:color w:val="auto"/>
          <w:kern w:val="0"/>
          <w:sz w:val="24"/>
          <w:szCs w:val="24"/>
          <w:highlight w:val="none"/>
        </w:rPr>
        <w:t>资质。</w:t>
      </w:r>
    </w:p>
    <w:p w14:paraId="3491FBAC">
      <w:pPr>
        <w:widowControl/>
        <w:numPr>
          <w:ilvl w:val="0"/>
          <w:numId w:val="5"/>
        </w:numPr>
        <w:spacing w:line="360" w:lineRule="auto"/>
        <w:ind w:left="42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对投标人拟派项目负责人的要求：</w:t>
      </w:r>
    </w:p>
    <w:p w14:paraId="755EEC01">
      <w:pPr>
        <w:spacing w:line="360" w:lineRule="auto"/>
        <w:ind w:firstLine="480" w:firstLineChars="200"/>
        <w:rPr>
          <w:rFonts w:ascii="宋体" w:hAnsi="宋体"/>
          <w:color w:val="auto"/>
          <w:sz w:val="24"/>
          <w:szCs w:val="24"/>
          <w:highlight w:val="none"/>
        </w:rPr>
      </w:pPr>
      <w:r>
        <w:rPr>
          <w:rFonts w:hint="eastAsia" w:ascii="宋体" w:hAnsi="宋体"/>
          <w:bCs/>
          <w:color w:val="auto"/>
          <w:sz w:val="24"/>
          <w:highlight w:val="none"/>
        </w:rPr>
        <w:t>（1）投标人拟担任本工程项目负责人的人员须具有</w:t>
      </w:r>
      <w:r>
        <w:rPr>
          <w:rFonts w:hint="eastAsia" w:ascii="宋体" w:hAnsi="宋体" w:cs="宋体"/>
          <w:color w:val="auto"/>
          <w:kern w:val="0"/>
          <w:sz w:val="24"/>
          <w:szCs w:val="24"/>
          <w:highlight w:val="none"/>
          <w:u w:val="single"/>
        </w:rPr>
        <w:t xml:space="preserve"> </w:t>
      </w:r>
      <w:r>
        <w:rPr>
          <w:rFonts w:hint="eastAsia" w:ascii="宋体" w:hAnsi="宋体" w:cs="宋体"/>
          <w:b/>
          <w:color w:val="auto"/>
          <w:kern w:val="0"/>
          <w:sz w:val="24"/>
          <w:szCs w:val="24"/>
          <w:highlight w:val="none"/>
          <w:u w:val="single"/>
        </w:rPr>
        <w:t>机电工程</w:t>
      </w:r>
      <w:r>
        <w:rPr>
          <w:rFonts w:hint="eastAsia" w:ascii="宋体" w:hAnsi="宋体" w:cs="宋体"/>
          <w:color w:val="auto"/>
          <w:kern w:val="0"/>
          <w:sz w:val="24"/>
          <w:szCs w:val="24"/>
          <w:highlight w:val="none"/>
          <w:u w:val="single"/>
        </w:rPr>
        <w:t xml:space="preserve"> </w:t>
      </w:r>
      <w:r>
        <w:rPr>
          <w:rFonts w:hint="eastAsia" w:ascii="宋体" w:hAnsi="宋体"/>
          <w:color w:val="auto"/>
          <w:sz w:val="24"/>
          <w:szCs w:val="24"/>
          <w:highlight w:val="none"/>
        </w:rPr>
        <w:t>专业</w:t>
      </w:r>
      <w:r>
        <w:rPr>
          <w:rFonts w:hint="eastAsia" w:ascii="宋体" w:hAnsi="宋体" w:cs="宋体"/>
          <w:color w:val="auto"/>
          <w:kern w:val="0"/>
          <w:sz w:val="24"/>
          <w:szCs w:val="24"/>
          <w:highlight w:val="none"/>
          <w:u w:val="single"/>
        </w:rPr>
        <w:t xml:space="preserve"> </w:t>
      </w:r>
      <w:r>
        <w:rPr>
          <w:rFonts w:hint="eastAsia" w:ascii="宋体" w:hAnsi="宋体" w:cs="宋体"/>
          <w:b/>
          <w:color w:val="auto"/>
          <w:kern w:val="0"/>
          <w:sz w:val="24"/>
          <w:szCs w:val="24"/>
          <w:highlight w:val="none"/>
          <w:u w:val="single"/>
          <w:lang w:val="en-US" w:eastAsia="zh-CN"/>
        </w:rPr>
        <w:t>二</w:t>
      </w:r>
      <w:r>
        <w:rPr>
          <w:rFonts w:hint="eastAsia" w:ascii="宋体" w:hAnsi="宋体" w:cs="宋体"/>
          <w:color w:val="auto"/>
          <w:kern w:val="0"/>
          <w:sz w:val="24"/>
          <w:szCs w:val="24"/>
          <w:highlight w:val="none"/>
          <w:u w:val="single"/>
        </w:rPr>
        <w:t xml:space="preserve"> </w:t>
      </w:r>
      <w:r>
        <w:rPr>
          <w:rFonts w:hint="eastAsia" w:ascii="宋体" w:hAnsi="宋体"/>
          <w:color w:val="auto"/>
          <w:sz w:val="24"/>
          <w:szCs w:val="24"/>
          <w:highlight w:val="none"/>
        </w:rPr>
        <w:t>级或以上级别的注册建造师。</w:t>
      </w:r>
    </w:p>
    <w:p w14:paraId="2DFCBF10">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2）项目负责人持有</w:t>
      </w:r>
      <w:r>
        <w:rPr>
          <w:rFonts w:hint="eastAsia" w:ascii="宋体" w:hAnsi="宋体"/>
          <w:color w:val="auto"/>
          <w:sz w:val="24"/>
          <w:szCs w:val="24"/>
          <w:highlight w:val="none"/>
        </w:rPr>
        <w:t>有效的安全生产考核合格证（B类）或建筑施工企业项目负责人安全生产考核合格证书。</w:t>
      </w:r>
    </w:p>
    <w:p w14:paraId="490DDB2F">
      <w:pPr>
        <w:widowControl/>
        <w:spacing w:line="360" w:lineRule="auto"/>
        <w:ind w:firstLine="540"/>
        <w:jc w:val="left"/>
        <w:rPr>
          <w:rFonts w:hint="eastAsia" w:ascii="仿宋_GB2312" w:hAnsi="宋体" w:eastAsia="仿宋_GB2312" w:cs="宋体"/>
          <w:color w:val="auto"/>
          <w:kern w:val="0"/>
          <w:sz w:val="24"/>
          <w:szCs w:val="24"/>
          <w:highlight w:val="none"/>
        </w:rPr>
      </w:pPr>
      <w:r>
        <w:rPr>
          <w:rFonts w:hint="eastAsia" w:ascii="仿宋" w:hAnsi="仿宋" w:eastAsia="仿宋" w:cs="宋体"/>
          <w:bCs/>
          <w:color w:val="auto"/>
          <w:kern w:val="0"/>
          <w:sz w:val="24"/>
          <w:szCs w:val="24"/>
          <w:highlight w:val="none"/>
        </w:rPr>
        <w:t>注：（1）根据广东省住建厅《关于明确二级建造师注册执业有关问题的通知》（粤建市函〔</w:t>
      </w:r>
      <w:r>
        <w:rPr>
          <w:rFonts w:ascii="仿宋" w:hAnsi="仿宋" w:eastAsia="仿宋" w:cs="宋体"/>
          <w:bCs/>
          <w:color w:val="auto"/>
          <w:kern w:val="0"/>
          <w:sz w:val="24"/>
          <w:szCs w:val="24"/>
          <w:highlight w:val="none"/>
        </w:rPr>
        <w:t>20</w:t>
      </w:r>
      <w:r>
        <w:rPr>
          <w:rFonts w:hint="eastAsia" w:ascii="仿宋" w:hAnsi="仿宋" w:eastAsia="仿宋" w:cs="宋体"/>
          <w:bCs/>
          <w:color w:val="auto"/>
          <w:kern w:val="0"/>
          <w:sz w:val="24"/>
          <w:szCs w:val="24"/>
          <w:highlight w:val="none"/>
        </w:rPr>
        <w:t>23</w:t>
      </w:r>
      <w:r>
        <w:rPr>
          <w:rFonts w:ascii="仿宋" w:hAnsi="仿宋" w:eastAsia="仿宋" w:cs="宋体"/>
          <w:bCs/>
          <w:color w:val="auto"/>
          <w:kern w:val="0"/>
          <w:sz w:val="24"/>
          <w:szCs w:val="24"/>
          <w:highlight w:val="none"/>
        </w:rPr>
        <w:t>〕</w:t>
      </w:r>
      <w:r>
        <w:rPr>
          <w:rFonts w:hint="eastAsia" w:ascii="仿宋" w:hAnsi="仿宋" w:eastAsia="仿宋" w:cs="宋体"/>
          <w:bCs/>
          <w:color w:val="auto"/>
          <w:kern w:val="0"/>
          <w:sz w:val="24"/>
          <w:szCs w:val="24"/>
          <w:highlight w:val="none"/>
        </w:rPr>
        <w:t>469</w:t>
      </w:r>
      <w:r>
        <w:rPr>
          <w:rFonts w:ascii="仿宋" w:hAnsi="仿宋" w:eastAsia="仿宋" w:cs="宋体"/>
          <w:bCs/>
          <w:color w:val="auto"/>
          <w:kern w:val="0"/>
          <w:sz w:val="24"/>
          <w:szCs w:val="24"/>
          <w:highlight w:val="none"/>
        </w:rPr>
        <w:t>号），二级建造师</w:t>
      </w:r>
      <w:r>
        <w:rPr>
          <w:rFonts w:hint="eastAsia" w:ascii="仿宋" w:hAnsi="仿宋" w:eastAsia="仿宋" w:cs="宋体"/>
          <w:bCs/>
          <w:color w:val="auto"/>
          <w:kern w:val="0"/>
          <w:sz w:val="24"/>
          <w:szCs w:val="24"/>
          <w:highlight w:val="none"/>
        </w:rPr>
        <w:t>应在考试取得执业资格的省、自治区、直辖市申请注册，二级注册</w:t>
      </w:r>
      <w:r>
        <w:rPr>
          <w:rFonts w:ascii="仿宋" w:hAnsi="仿宋" w:eastAsia="仿宋" w:cs="宋体"/>
          <w:bCs/>
          <w:color w:val="auto"/>
          <w:kern w:val="0"/>
          <w:sz w:val="24"/>
          <w:szCs w:val="24"/>
          <w:highlight w:val="none"/>
        </w:rPr>
        <w:t>建造师</w:t>
      </w:r>
      <w:r>
        <w:rPr>
          <w:rFonts w:hint="eastAsia" w:ascii="仿宋" w:hAnsi="仿宋" w:eastAsia="仿宋" w:cs="宋体"/>
          <w:bCs/>
          <w:color w:val="auto"/>
          <w:kern w:val="0"/>
          <w:sz w:val="24"/>
          <w:szCs w:val="24"/>
          <w:highlight w:val="none"/>
        </w:rPr>
        <w:t>可随注册企业在全国范围内执业。</w:t>
      </w:r>
      <w:r>
        <w:rPr>
          <w:rFonts w:ascii="仿宋" w:hAnsi="仿宋" w:eastAsia="仿宋" w:cs="宋体"/>
          <w:bCs/>
          <w:color w:val="auto"/>
          <w:kern w:val="0"/>
          <w:sz w:val="24"/>
          <w:szCs w:val="24"/>
          <w:highlight w:val="none"/>
        </w:rPr>
        <w:t>项目负责人在任职期间不得担任专职安全员，项目专职安全员在任职期间也不得担任项目负责人，项</w:t>
      </w:r>
      <w:r>
        <w:rPr>
          <w:rFonts w:hint="eastAsia" w:ascii="仿宋" w:hAnsi="仿宋" w:eastAsia="仿宋" w:cs="宋体"/>
          <w:bCs/>
          <w:color w:val="auto"/>
          <w:kern w:val="0"/>
          <w:sz w:val="24"/>
          <w:szCs w:val="24"/>
          <w:highlight w:val="none"/>
        </w:rPr>
        <w:t>目负责人和专职安全员不为同一人。</w:t>
      </w:r>
    </w:p>
    <w:p w14:paraId="212F7445">
      <w:pPr>
        <w:spacing w:line="360" w:lineRule="auto"/>
        <w:ind w:firstLine="480" w:firstLineChars="200"/>
        <w:textAlignment w:val="baseline"/>
        <w:rPr>
          <w:rFonts w:ascii="仿宋" w:hAnsi="仿宋" w:eastAsia="仿宋" w:cs="宋体"/>
          <w:bCs/>
          <w:color w:val="auto"/>
          <w:kern w:val="0"/>
          <w:sz w:val="24"/>
          <w:szCs w:val="24"/>
          <w:highlight w:val="none"/>
        </w:rPr>
      </w:pPr>
      <w:r>
        <w:rPr>
          <w:rFonts w:ascii="仿宋" w:hAnsi="仿宋" w:eastAsia="仿宋" w:cs="宋体"/>
          <w:bCs/>
          <w:color w:val="auto"/>
          <w:kern w:val="0"/>
          <w:sz w:val="24"/>
          <w:szCs w:val="24"/>
          <w:highlight w:val="none"/>
        </w:rPr>
        <w:t>（2）根据《住房和城乡建设部办公厅关于全面实行一级建造师电子注册证书的通知》（建办市〔2021〕40号），自2022年1月1日起，一级建造师统一使用电子证书，纸质证书作废。广东、北京、福建、四川等地二级建造师已实行电子证书，电子证书下载、签字等具体操作流程可查阅相关文件。根据规定二级建造师纸质证书未作废的，资格审查时不得以投标人未提供电子证书为由，认定投标人资格审查不通过。</w:t>
      </w:r>
    </w:p>
    <w:p w14:paraId="43418D2E">
      <w:pPr>
        <w:spacing w:line="360" w:lineRule="auto"/>
        <w:ind w:firstLine="480" w:firstLineChars="200"/>
        <w:textAlignment w:val="baseline"/>
        <w:rPr>
          <w:rFonts w:ascii="仿宋" w:hAnsi="仿宋" w:eastAsia="仿宋" w:cs="宋体"/>
          <w:bCs/>
          <w:color w:val="auto"/>
          <w:kern w:val="0"/>
          <w:sz w:val="24"/>
          <w:szCs w:val="24"/>
          <w:highlight w:val="none"/>
        </w:rPr>
      </w:pPr>
      <w:r>
        <w:rPr>
          <w:rFonts w:ascii="仿宋" w:hAnsi="仿宋" w:eastAsia="仿宋" w:cs="宋体"/>
          <w:bCs/>
          <w:color w:val="auto"/>
          <w:kern w:val="0"/>
          <w:sz w:val="24"/>
          <w:szCs w:val="24"/>
          <w:highlight w:val="none"/>
        </w:rPr>
        <w:t>若投标人提供的注册建造师电子证书超过使用有效期、未在个人签名处手写签名或手写签名与签名图像笔迹存在差异的，资格审查时应通过“全国建筑市场监管公共服务平台”或各省规定的查询渠道查询持证人注册建造师注册信息，注册信息与投标文件所附电子证书一致的，上述情形不影响投标人通过资格审查。评标结束后，若该投标人为中标候选人的，投标人应在招标人规定的时限内提交符合要求的电子证书打印件和持证人出具的知情承诺。投标人未按时提交或提交资料不符合上述要求的，视为放弃中标资格。</w:t>
      </w:r>
    </w:p>
    <w:p w14:paraId="67599F3F">
      <w:pPr>
        <w:widowControl/>
        <w:numPr>
          <w:ilvl w:val="0"/>
          <w:numId w:val="5"/>
        </w:numPr>
        <w:spacing w:line="360" w:lineRule="auto"/>
        <w:ind w:left="42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对投标人拟派专职安全员的要求：</w:t>
      </w:r>
    </w:p>
    <w:p w14:paraId="362F3DE8">
      <w:pPr>
        <w:widowControl/>
        <w:spacing w:line="360" w:lineRule="auto"/>
        <w:ind w:firstLine="540"/>
        <w:jc w:val="left"/>
        <w:rPr>
          <w:rFonts w:hint="eastAsia" w:ascii="宋体" w:hAnsi="宋体" w:cs="仿宋_GB2312"/>
          <w:color w:val="auto"/>
          <w:sz w:val="24"/>
          <w:szCs w:val="24"/>
          <w:highlight w:val="none"/>
        </w:rPr>
      </w:pPr>
      <w:r>
        <w:rPr>
          <w:rFonts w:hint="eastAsia" w:ascii="宋体" w:hAnsi="宋体" w:cs="仿宋_GB2312"/>
          <w:color w:val="auto"/>
          <w:sz w:val="24"/>
          <w:szCs w:val="24"/>
          <w:highlight w:val="none"/>
        </w:rPr>
        <w:t>专职安全员须具有在有效期内的安全生产考核合格证书（C类）或建筑施工企业专职安全生产管理人员安全生产考核合格证书（C3）</w:t>
      </w:r>
      <w:r>
        <w:rPr>
          <w:rFonts w:hint="eastAsia" w:ascii="宋体" w:hAnsi="宋体" w:cs="仿宋_GB2312"/>
          <w:color w:val="auto"/>
          <w:sz w:val="24"/>
          <w:szCs w:val="24"/>
          <w:highlight w:val="none"/>
          <w:lang w:eastAsia="zh-CN"/>
        </w:rPr>
        <w:t>。</w:t>
      </w:r>
    </w:p>
    <w:p w14:paraId="4F1E54B7">
      <w:pPr>
        <w:widowControl/>
        <w:numPr>
          <w:ilvl w:val="0"/>
          <w:numId w:val="5"/>
        </w:numPr>
        <w:spacing w:line="360" w:lineRule="auto"/>
        <w:ind w:left="42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类似项目业绩要求：/。</w:t>
      </w:r>
    </w:p>
    <w:p w14:paraId="1CF81903">
      <w:pPr>
        <w:widowControl/>
        <w:numPr>
          <w:ilvl w:val="0"/>
          <w:numId w:val="5"/>
        </w:numPr>
        <w:spacing w:line="360" w:lineRule="auto"/>
        <w:ind w:left="42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提交社保文件的要求</w:t>
      </w:r>
    </w:p>
    <w:p w14:paraId="7E1A706E">
      <w:pPr>
        <w:widowControl/>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投标申请人须保证授权的委托代理人及项目部主要组成人员（项目负责人、技术负责人（如有）、专职安全员）均为本单位的正式职工，必须具有离投标截止时间最近1个月（即2024年1</w:t>
      </w:r>
      <w:r>
        <w:rPr>
          <w:rFonts w:hint="eastAsia" w:ascii="宋体" w:hAnsi="宋体" w:cs="宋体"/>
          <w:color w:val="auto"/>
          <w:kern w:val="0"/>
          <w:sz w:val="24"/>
          <w:szCs w:val="24"/>
          <w:highlight w:val="none"/>
          <w:lang w:eastAsia="zh-CN"/>
        </w:rPr>
        <w:t>1</w:t>
      </w:r>
      <w:r>
        <w:rPr>
          <w:rFonts w:hint="eastAsia" w:ascii="宋体" w:hAnsi="宋体" w:cs="宋体"/>
          <w:color w:val="auto"/>
          <w:kern w:val="0"/>
          <w:sz w:val="24"/>
          <w:szCs w:val="24"/>
          <w:highlight w:val="none"/>
        </w:rPr>
        <w:t>月份）在本单位缴纳的社保证明文件（以加盖社会保险基金管理中心印章的《投保单》或《社会保险参保人员证明》资料为准）。</w:t>
      </w:r>
    </w:p>
    <w:p w14:paraId="58A35183">
      <w:pPr>
        <w:widowControl/>
        <w:numPr>
          <w:ilvl w:val="0"/>
          <w:numId w:val="5"/>
        </w:numPr>
        <w:spacing w:line="360" w:lineRule="auto"/>
        <w:ind w:left="42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关于联合体投标</w:t>
      </w:r>
    </w:p>
    <w:p w14:paraId="39CD1C24">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本次招标不接受联合体投标。</w:t>
      </w:r>
    </w:p>
    <w:p w14:paraId="39A06707">
      <w:pPr>
        <w:snapToGrid w:val="0"/>
        <w:spacing w:line="360" w:lineRule="auto"/>
        <w:rPr>
          <w:rFonts w:ascii="宋体" w:hAnsi="宋体"/>
          <w:color w:val="auto"/>
          <w:sz w:val="24"/>
          <w:szCs w:val="24"/>
          <w:highlight w:val="none"/>
        </w:rPr>
      </w:pPr>
      <w:r>
        <w:rPr>
          <w:rFonts w:hint="eastAsia" w:ascii="宋体" w:hAnsi="宋体"/>
          <w:color w:val="auto"/>
          <w:sz w:val="24"/>
          <w:highlight w:val="none"/>
        </w:rPr>
        <w:t>3.9投标人已按照招标文件要求签署盖章《投标人声明》，且法定代表人、施工项目负责人和施工技术负责人签字确认。</w:t>
      </w:r>
    </w:p>
    <w:p w14:paraId="28EF058B">
      <w:pPr>
        <w:snapToGrid w:val="0"/>
        <w:spacing w:line="360" w:lineRule="auto"/>
        <w:rPr>
          <w:rFonts w:ascii="宋体" w:hAnsi="宋体"/>
          <w:color w:val="auto"/>
          <w:sz w:val="24"/>
          <w:szCs w:val="24"/>
          <w:highlight w:val="none"/>
        </w:rPr>
      </w:pPr>
      <w:r>
        <w:rPr>
          <w:rFonts w:ascii="宋体" w:hAnsi="宋体"/>
          <w:color w:val="auto"/>
          <w:sz w:val="24"/>
          <w:szCs w:val="24"/>
          <w:highlight w:val="none"/>
        </w:rPr>
        <w:t>3.</w:t>
      </w:r>
      <w:r>
        <w:rPr>
          <w:rFonts w:hint="eastAsia" w:ascii="宋体" w:hAnsi="宋体"/>
          <w:color w:val="auto"/>
          <w:sz w:val="24"/>
          <w:szCs w:val="24"/>
          <w:highlight w:val="none"/>
        </w:rPr>
        <w:t>10</w:t>
      </w:r>
      <w:r>
        <w:rPr>
          <w:rFonts w:ascii="宋体" w:hAnsi="宋体"/>
          <w:color w:val="auto"/>
          <w:sz w:val="24"/>
          <w:szCs w:val="24"/>
          <w:highlight w:val="none"/>
        </w:rPr>
        <w:t>投标人未被列入“在一定期限内依法取消参加依法必须进行招标的项目的投标资格”，具体名单以递交投标文件截止时间“信用广州”公布的“黑名单”为准。</w:t>
      </w:r>
    </w:p>
    <w:p w14:paraId="4814F07F">
      <w:pPr>
        <w:snapToGrid w:val="0"/>
        <w:spacing w:line="360" w:lineRule="auto"/>
        <w:ind w:firstLine="480" w:firstLineChars="200"/>
        <w:rPr>
          <w:rFonts w:hint="eastAsia" w:ascii="仿宋" w:hAnsi="仿宋" w:eastAsia="仿宋" w:cs="仿宋"/>
          <w:color w:val="auto"/>
          <w:sz w:val="24"/>
          <w:szCs w:val="24"/>
          <w:highlight w:val="none"/>
        </w:rPr>
      </w:pPr>
      <w:r>
        <w:rPr>
          <w:rFonts w:ascii="宋体" w:hAnsi="宋体"/>
          <w:color w:val="auto"/>
          <w:sz w:val="24"/>
          <w:szCs w:val="24"/>
          <w:highlight w:val="none"/>
        </w:rPr>
        <w:t>注：《全国失信惩戒措施清单基础清单》（2024版）</w:t>
      </w:r>
      <w:r>
        <w:rPr>
          <w:rFonts w:hint="eastAsia" w:ascii="仿宋" w:hAnsi="仿宋" w:eastAsia="仿宋" w:cs="仿宋"/>
          <w:color w:val="auto"/>
          <w:sz w:val="24"/>
          <w:szCs w:val="24"/>
          <w:highlight w:val="none"/>
        </w:rPr>
        <w:t>。</w:t>
      </w:r>
    </w:p>
    <w:p w14:paraId="00EE1545">
      <w:pPr>
        <w:snapToGrid w:val="0"/>
        <w:spacing w:line="360" w:lineRule="auto"/>
        <w:rPr>
          <w:rFonts w:ascii="宋体" w:hAnsi="宋体"/>
          <w:color w:val="auto"/>
          <w:sz w:val="24"/>
          <w:szCs w:val="24"/>
          <w:highlight w:val="none"/>
        </w:rPr>
      </w:pPr>
    </w:p>
    <w:p w14:paraId="46F66ABD">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hint="eastAsia" w:ascii="黑体" w:hAnsi="黑体" w:eastAsia="黑体"/>
          <w:b/>
          <w:bCs/>
          <w:color w:val="auto"/>
          <w:kern w:val="44"/>
          <w:sz w:val="30"/>
          <w:szCs w:val="30"/>
          <w:highlight w:val="none"/>
        </w:rPr>
        <w:t>招标公告发布和</w:t>
      </w:r>
      <w:r>
        <w:rPr>
          <w:rFonts w:ascii="黑体" w:hAnsi="黑体" w:eastAsia="黑体"/>
          <w:b/>
          <w:bCs/>
          <w:color w:val="auto"/>
          <w:kern w:val="44"/>
          <w:sz w:val="30"/>
          <w:szCs w:val="30"/>
          <w:highlight w:val="none"/>
        </w:rPr>
        <w:t>招标文件的获取</w:t>
      </w:r>
    </w:p>
    <w:p w14:paraId="122A48F4">
      <w:pPr>
        <w:widowControl/>
        <w:numPr>
          <w:ilvl w:val="1"/>
          <w:numId w:val="1"/>
        </w:numPr>
        <w:shd w:val="clear" w:color="auto" w:fill="FFFFFF"/>
        <w:snapToGrid w:val="0"/>
        <w:spacing w:line="360" w:lineRule="auto"/>
        <w:rPr>
          <w:rFonts w:ascii="宋体" w:hAnsi="宋体"/>
          <w:bCs/>
          <w:color w:val="auto"/>
          <w:sz w:val="24"/>
          <w:highlight w:val="none"/>
        </w:rPr>
      </w:pPr>
      <w:r>
        <w:rPr>
          <w:rFonts w:hint="eastAsia" w:ascii="宋体" w:hAnsi="宋体"/>
          <w:bCs/>
          <w:color w:val="auto"/>
          <w:sz w:val="24"/>
          <w:highlight w:val="none"/>
        </w:rPr>
        <w:t>招标公告发布时间</w:t>
      </w:r>
    </w:p>
    <w:p w14:paraId="605452CA">
      <w:pPr>
        <w:widowControl/>
        <w:shd w:val="clear" w:color="auto" w:fill="FFFFFF"/>
        <w:snapToGrid w:val="0"/>
        <w:spacing w:line="360" w:lineRule="auto"/>
        <w:ind w:firstLine="480" w:firstLineChars="200"/>
        <w:rPr>
          <w:rFonts w:ascii="宋体" w:hAnsi="宋体"/>
          <w:color w:val="auto"/>
          <w:sz w:val="24"/>
          <w:szCs w:val="24"/>
          <w:highlight w:val="none"/>
        </w:rPr>
      </w:pPr>
      <w:r>
        <w:rPr>
          <w:rFonts w:hint="eastAsia" w:ascii="宋体" w:hAnsi="宋体"/>
          <w:bCs/>
          <w:color w:val="auto"/>
          <w:sz w:val="24"/>
          <w:highlight w:val="none"/>
        </w:rPr>
        <w:t>从</w:t>
      </w:r>
      <w:r>
        <w:rPr>
          <w:rFonts w:hint="eastAsia" w:ascii="宋体" w:hAnsi="宋体"/>
          <w:bCs/>
          <w:color w:val="auto"/>
          <w:sz w:val="24"/>
          <w:highlight w:val="none"/>
          <w:u w:val="single"/>
        </w:rPr>
        <w:t xml:space="preserve"> 2024 年   月   日</w:t>
      </w:r>
      <w:r>
        <w:rPr>
          <w:rFonts w:hint="eastAsia" w:ascii="宋体" w:hAnsi="宋体"/>
          <w:bCs/>
          <w:color w:val="auto"/>
          <w:sz w:val="24"/>
          <w:highlight w:val="none"/>
        </w:rPr>
        <w:t>至</w:t>
      </w:r>
      <w:r>
        <w:rPr>
          <w:rFonts w:hint="eastAsia" w:ascii="宋体" w:hAnsi="宋体"/>
          <w:bCs/>
          <w:color w:val="auto"/>
          <w:sz w:val="24"/>
          <w:highlight w:val="none"/>
          <w:u w:val="single"/>
        </w:rPr>
        <w:t xml:space="preserve"> </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u w:val="single"/>
        </w:rPr>
        <w:t xml:space="preserve"> 年   月   日   时   分</w:t>
      </w:r>
      <w:r>
        <w:rPr>
          <w:rFonts w:hint="eastAsia" w:ascii="宋体" w:hAnsi="宋体"/>
          <w:bCs/>
          <w:color w:val="auto"/>
          <w:sz w:val="24"/>
          <w:highlight w:val="none"/>
        </w:rPr>
        <w:t>，凡有意参加投标者，请登录</w:t>
      </w:r>
      <w:r>
        <w:rPr>
          <w:rFonts w:hint="eastAsia" w:ascii="宋体" w:hAnsi="宋体"/>
          <w:color w:val="auto"/>
          <w:sz w:val="24"/>
          <w:szCs w:val="24"/>
          <w:highlight w:val="none"/>
        </w:rPr>
        <w:t>广州交易集团有限公司（广州公共资源交易中心）网站</w:t>
      </w:r>
      <w:r>
        <w:rPr>
          <w:rFonts w:hint="eastAsia" w:ascii="宋体" w:hAnsi="宋体"/>
          <w:bCs/>
          <w:color w:val="auto"/>
          <w:sz w:val="24"/>
          <w:highlight w:val="none"/>
        </w:rPr>
        <w:t>下载电子招标文件。（注：发布招标公告的时间为招标公告发出之日起至投标截止时间止）。</w:t>
      </w:r>
    </w:p>
    <w:p w14:paraId="4AE8D863">
      <w:pPr>
        <w:widowControl/>
        <w:numPr>
          <w:ilvl w:val="1"/>
          <w:numId w:val="1"/>
        </w:numPr>
        <w:shd w:val="clear" w:color="auto" w:fill="FFFFFF"/>
        <w:snapToGrid w:val="0"/>
        <w:spacing w:line="360" w:lineRule="auto"/>
        <w:rPr>
          <w:rFonts w:ascii="宋体" w:hAnsi="宋体"/>
          <w:bCs/>
          <w:color w:val="auto"/>
          <w:sz w:val="24"/>
          <w:highlight w:val="none"/>
        </w:rPr>
      </w:pPr>
      <w:r>
        <w:rPr>
          <w:rFonts w:hint="eastAsia" w:ascii="宋体" w:hAnsi="宋体"/>
          <w:bCs/>
          <w:color w:val="auto"/>
          <w:sz w:val="24"/>
          <w:highlight w:val="none"/>
        </w:rPr>
        <w:t>招标文件获取方式</w:t>
      </w:r>
    </w:p>
    <w:p w14:paraId="070BFDFB">
      <w:pPr>
        <w:widowControl/>
        <w:shd w:val="clear" w:color="auto" w:fill="FFFFFF"/>
        <w:snapToGrid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本项</w:t>
      </w:r>
      <w:r>
        <w:rPr>
          <w:rFonts w:hint="eastAsia" w:ascii="宋体" w:hAnsi="宋体"/>
          <w:color w:val="auto"/>
          <w:sz w:val="24"/>
          <w:szCs w:val="24"/>
          <w:highlight w:val="none"/>
        </w:rPr>
        <w:t>目招标文件随招标公告一并在广州交易集团有限公司（广州公共资源交易中心）网站发布，由投标人自行下载。</w:t>
      </w:r>
    </w:p>
    <w:p w14:paraId="104685CE">
      <w:pPr>
        <w:widowControl/>
        <w:numPr>
          <w:ilvl w:val="1"/>
          <w:numId w:val="1"/>
        </w:numPr>
        <w:shd w:val="clear" w:color="auto" w:fill="FFFFFF"/>
        <w:snapToGrid w:val="0"/>
        <w:spacing w:line="360" w:lineRule="auto"/>
        <w:ind w:left="7" w:hanging="7"/>
        <w:rPr>
          <w:rFonts w:ascii="宋体" w:hAnsi="宋体"/>
          <w:bCs/>
          <w:color w:val="auto"/>
          <w:sz w:val="24"/>
          <w:highlight w:val="none"/>
        </w:rPr>
      </w:pPr>
      <w:r>
        <w:rPr>
          <w:rFonts w:hint="eastAsia" w:ascii="宋体" w:hAnsi="宋体"/>
          <w:bCs/>
          <w:color w:val="auto"/>
          <w:sz w:val="24"/>
          <w:highlight w:val="none"/>
        </w:rPr>
        <w:t>招标公告网上发布时，同时</w:t>
      </w:r>
      <w:r>
        <w:rPr>
          <w:rFonts w:hint="eastAsia" w:ascii="宋体" w:hAnsi="宋体"/>
          <w:color w:val="auto"/>
          <w:sz w:val="24"/>
          <w:szCs w:val="24"/>
          <w:highlight w:val="none"/>
        </w:rPr>
        <w:t>在广州交易集团有限公司（广州公共资源交易中心）网站</w:t>
      </w:r>
      <w:r>
        <w:rPr>
          <w:rFonts w:hint="eastAsia" w:ascii="宋体" w:hAnsi="宋体"/>
          <w:bCs/>
          <w:color w:val="auto"/>
          <w:sz w:val="24"/>
          <w:highlight w:val="none"/>
        </w:rPr>
        <w:t>发布招标文件、施工图纸、最高投标限价。</w:t>
      </w:r>
    </w:p>
    <w:p w14:paraId="3E1789BD">
      <w:pPr>
        <w:widowControl/>
        <w:numPr>
          <w:ilvl w:val="1"/>
          <w:numId w:val="1"/>
        </w:numPr>
        <w:shd w:val="clear" w:color="auto" w:fill="FFFFFF"/>
        <w:snapToGrid w:val="0"/>
        <w:spacing w:line="360" w:lineRule="auto"/>
        <w:rPr>
          <w:rFonts w:ascii="宋体" w:hAnsi="宋体"/>
          <w:bCs/>
          <w:color w:val="auto"/>
          <w:sz w:val="24"/>
          <w:highlight w:val="none"/>
        </w:rPr>
      </w:pPr>
      <w:r>
        <w:rPr>
          <w:rFonts w:hint="eastAsia" w:ascii="宋体" w:hAnsi="宋体"/>
          <w:bCs/>
          <w:color w:val="auto"/>
          <w:sz w:val="24"/>
          <w:highlight w:val="none"/>
        </w:rPr>
        <w:t>发布公告的媒介</w:t>
      </w:r>
    </w:p>
    <w:p w14:paraId="2201B113">
      <w:pPr>
        <w:widowControl/>
        <w:shd w:val="clear" w:color="auto" w:fill="FFFFFF"/>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本公告在广州交易集团有限公司（广州公共资源交易中心）网（网址：http://www.gzggzy.cn）、广东省招标投标监管网（网址：</w:t>
      </w:r>
      <w:r>
        <w:rPr>
          <w:rFonts w:ascii="宋体" w:hAnsi="宋体"/>
          <w:bCs/>
          <w:color w:val="auto"/>
          <w:sz w:val="24"/>
          <w:highlight w:val="none"/>
        </w:rPr>
        <w:t xml:space="preserve"> http://zbtb.gd.gov.cn/login</w:t>
      </w:r>
      <w:r>
        <w:rPr>
          <w:rFonts w:hint="eastAsia" w:ascii="宋体" w:hAnsi="宋体"/>
          <w:bCs/>
          <w:color w:val="auto"/>
          <w:sz w:val="24"/>
          <w:highlight w:val="none"/>
        </w:rPr>
        <w:t>）和中国招标投标公共服务平台（网址：http://www.cebpubservice.com/）及广州市增城区人民政府门户网站（http://www.zc.gov.cn/）的“首页&gt;公开&gt;公共资源配置领域&gt;工程建设项目招投标”栏目发布，本公告的修改、补充，在</w:t>
      </w:r>
      <w:r>
        <w:rPr>
          <w:rFonts w:hint="eastAsia" w:ascii="宋体" w:hAnsi="宋体"/>
          <w:color w:val="auto"/>
          <w:sz w:val="24"/>
          <w:szCs w:val="24"/>
          <w:highlight w:val="none"/>
        </w:rPr>
        <w:t>广州交易集团有限公司（广州公共资源交易中心）网站</w:t>
      </w:r>
      <w:r>
        <w:rPr>
          <w:rFonts w:hint="eastAsia" w:ascii="宋体" w:hAnsi="宋体"/>
          <w:bCs/>
          <w:color w:val="auto"/>
          <w:sz w:val="24"/>
          <w:highlight w:val="none"/>
        </w:rPr>
        <w:t>发布。</w:t>
      </w:r>
    </w:p>
    <w:p w14:paraId="7F2B28EA">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ascii="黑体" w:hAnsi="黑体" w:eastAsia="黑体"/>
          <w:b/>
          <w:bCs/>
          <w:color w:val="auto"/>
          <w:kern w:val="44"/>
          <w:sz w:val="30"/>
          <w:szCs w:val="30"/>
          <w:highlight w:val="none"/>
        </w:rPr>
        <w:t>投标文件的递交</w:t>
      </w:r>
    </w:p>
    <w:p w14:paraId="4FD532BB">
      <w:pPr>
        <w:numPr>
          <w:ilvl w:val="0"/>
          <w:numId w:val="6"/>
        </w:numPr>
        <w:spacing w:line="360" w:lineRule="auto"/>
        <w:jc w:val="left"/>
        <w:rPr>
          <w:rFonts w:ascii="宋体" w:hAnsi="宋体"/>
          <w:color w:val="auto"/>
          <w:sz w:val="24"/>
          <w:szCs w:val="24"/>
          <w:highlight w:val="none"/>
        </w:rPr>
      </w:pPr>
      <w:r>
        <w:rPr>
          <w:rFonts w:hint="eastAsia" w:ascii="宋体" w:hAnsi="宋体"/>
          <w:color w:val="auto"/>
          <w:sz w:val="24"/>
          <w:szCs w:val="24"/>
          <w:highlight w:val="none"/>
        </w:rPr>
        <w:t>递交投标文件起始时间：</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时</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分</w:t>
      </w:r>
    </w:p>
    <w:p w14:paraId="4242C43A">
      <w:pPr>
        <w:spacing w:line="360" w:lineRule="auto"/>
        <w:ind w:firstLine="2160" w:firstLineChars="900"/>
        <w:jc w:val="left"/>
        <w:rPr>
          <w:rFonts w:ascii="宋体" w:hAnsi="宋体"/>
          <w:color w:val="auto"/>
          <w:sz w:val="24"/>
          <w:szCs w:val="24"/>
          <w:highlight w:val="none"/>
        </w:rPr>
      </w:pPr>
      <w:r>
        <w:rPr>
          <w:rFonts w:hint="eastAsia" w:ascii="宋体" w:hAnsi="宋体"/>
          <w:color w:val="auto"/>
          <w:sz w:val="24"/>
          <w:szCs w:val="24"/>
          <w:highlight w:val="none"/>
        </w:rPr>
        <w:t>截止时间：</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时</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分</w:t>
      </w:r>
    </w:p>
    <w:p w14:paraId="4194572B">
      <w:pPr>
        <w:spacing w:line="360" w:lineRule="auto"/>
        <w:ind w:firstLine="540" w:firstLineChars="225"/>
        <w:rPr>
          <w:rFonts w:ascii="宋体" w:hAnsi="宋体"/>
          <w:color w:val="auto"/>
          <w:sz w:val="24"/>
          <w:szCs w:val="24"/>
          <w:highlight w:val="none"/>
        </w:rPr>
      </w:pPr>
      <w:r>
        <w:rPr>
          <w:rFonts w:hint="eastAsia" w:ascii="宋体" w:hAnsi="宋体" w:cs="宋体"/>
          <w:color w:val="auto"/>
          <w:sz w:val="24"/>
          <w:szCs w:val="24"/>
          <w:highlight w:val="none"/>
        </w:rPr>
        <w:t>在投标截止时间后半小时内，投标人通过</w:t>
      </w:r>
      <w:r>
        <w:rPr>
          <w:rFonts w:hint="eastAsia" w:ascii="宋体" w:hAnsi="宋体" w:cs="宋体"/>
          <w:color w:val="auto"/>
          <w:sz w:val="24"/>
          <w:szCs w:val="24"/>
          <w:highlight w:val="none"/>
          <w:u w:val="single"/>
        </w:rPr>
        <w:t>广州交易集团有限公司（广州公共资源交易中心）</w:t>
      </w:r>
      <w:r>
        <w:rPr>
          <w:rFonts w:hint="eastAsia" w:ascii="宋体" w:hAnsi="宋体" w:cs="宋体"/>
          <w:color w:val="auto"/>
          <w:sz w:val="24"/>
          <w:szCs w:val="24"/>
          <w:highlight w:val="none"/>
        </w:rPr>
        <w:t>网站对已递交的电子投标文件进行解密（具体递交要求以招标文件为准。投标人通过广州公共资源交易中心网站递交电子投标文件，按照广州公共资源交易中心网站关于全流程电子化项目的相关指南进行操作。）。</w:t>
      </w:r>
    </w:p>
    <w:p w14:paraId="1508994A">
      <w:pPr>
        <w:numPr>
          <w:ilvl w:val="0"/>
          <w:numId w:val="6"/>
        </w:numPr>
        <w:spacing w:line="360" w:lineRule="auto"/>
        <w:jc w:val="left"/>
        <w:rPr>
          <w:rFonts w:ascii="宋体" w:hAnsi="宋体"/>
          <w:color w:val="auto"/>
          <w:sz w:val="24"/>
          <w:szCs w:val="24"/>
          <w:highlight w:val="none"/>
        </w:rPr>
      </w:pPr>
      <w:r>
        <w:rPr>
          <w:rFonts w:hint="eastAsia" w:ascii="宋体" w:hAnsi="宋体"/>
          <w:color w:val="auto"/>
          <w:sz w:val="24"/>
          <w:szCs w:val="24"/>
          <w:highlight w:val="none"/>
        </w:rPr>
        <w:t>开标开始时间：____年_</w:t>
      </w:r>
      <w:r>
        <w:rPr>
          <w:rFonts w:ascii="宋体" w:hAnsi="宋体"/>
          <w:color w:val="auto"/>
          <w:sz w:val="24"/>
          <w:szCs w:val="24"/>
          <w:highlight w:val="none"/>
        </w:rPr>
        <w:t>_</w:t>
      </w:r>
      <w:r>
        <w:rPr>
          <w:rFonts w:hint="eastAsia" w:ascii="宋体" w:hAnsi="宋体"/>
          <w:color w:val="auto"/>
          <w:sz w:val="24"/>
          <w:szCs w:val="24"/>
          <w:highlight w:val="none"/>
        </w:rPr>
        <w:t>_月_</w:t>
      </w:r>
      <w:r>
        <w:rPr>
          <w:rFonts w:ascii="宋体" w:hAnsi="宋体"/>
          <w:color w:val="auto"/>
          <w:sz w:val="24"/>
          <w:szCs w:val="24"/>
          <w:highlight w:val="none"/>
        </w:rPr>
        <w:t>_</w:t>
      </w:r>
      <w:r>
        <w:rPr>
          <w:rFonts w:hint="eastAsia" w:ascii="宋体" w:hAnsi="宋体"/>
          <w:color w:val="auto"/>
          <w:sz w:val="24"/>
          <w:szCs w:val="24"/>
          <w:highlight w:val="none"/>
        </w:rPr>
        <w:t>_日_</w:t>
      </w:r>
      <w:r>
        <w:rPr>
          <w:rFonts w:ascii="宋体" w:hAnsi="宋体"/>
          <w:color w:val="auto"/>
          <w:sz w:val="24"/>
          <w:szCs w:val="24"/>
          <w:highlight w:val="none"/>
        </w:rPr>
        <w:t>_</w:t>
      </w:r>
      <w:r>
        <w:rPr>
          <w:rFonts w:hint="eastAsia" w:ascii="宋体" w:hAnsi="宋体"/>
          <w:color w:val="auto"/>
          <w:sz w:val="24"/>
          <w:szCs w:val="24"/>
          <w:highlight w:val="none"/>
        </w:rPr>
        <w:t>_时_</w:t>
      </w:r>
      <w:r>
        <w:rPr>
          <w:rFonts w:ascii="宋体" w:hAnsi="宋体"/>
          <w:color w:val="auto"/>
          <w:sz w:val="24"/>
          <w:szCs w:val="24"/>
          <w:highlight w:val="none"/>
        </w:rPr>
        <w:t>_</w:t>
      </w:r>
      <w:r>
        <w:rPr>
          <w:rFonts w:hint="eastAsia" w:ascii="宋体" w:hAnsi="宋体"/>
          <w:color w:val="auto"/>
          <w:sz w:val="24"/>
          <w:szCs w:val="24"/>
          <w:highlight w:val="none"/>
        </w:rPr>
        <w:t>_分在</w:t>
      </w:r>
      <w:r>
        <w:rPr>
          <w:rFonts w:hint="eastAsia" w:ascii="宋体" w:hAnsi="宋体"/>
          <w:color w:val="auto"/>
          <w:sz w:val="24"/>
          <w:szCs w:val="24"/>
          <w:highlight w:val="none"/>
          <w:u w:val="single"/>
        </w:rPr>
        <w:t>广州公共资源交易中心增城交易部第   开标室</w:t>
      </w:r>
      <w:r>
        <w:rPr>
          <w:rFonts w:hint="eastAsia" w:ascii="宋体" w:hAnsi="宋体"/>
          <w:color w:val="auto"/>
          <w:sz w:val="24"/>
          <w:szCs w:val="24"/>
          <w:highlight w:val="none"/>
        </w:rPr>
        <w:t>。</w:t>
      </w:r>
    </w:p>
    <w:p w14:paraId="3B93E9B5">
      <w:pPr>
        <w:numPr>
          <w:ilvl w:val="0"/>
          <w:numId w:val="6"/>
        </w:numPr>
        <w:spacing w:line="360" w:lineRule="auto"/>
        <w:ind w:left="6" w:hanging="6"/>
        <w:rPr>
          <w:rFonts w:hint="eastAsia" w:ascii="宋体" w:hAnsi="宋体"/>
          <w:color w:val="auto"/>
          <w:sz w:val="24"/>
          <w:szCs w:val="24"/>
          <w:highlight w:val="none"/>
        </w:rPr>
      </w:pPr>
      <w:r>
        <w:rPr>
          <w:rFonts w:hint="eastAsia" w:ascii="宋体" w:hAnsi="宋体"/>
          <w:color w:val="auto"/>
          <w:sz w:val="24"/>
          <w:szCs w:val="24"/>
          <w:highlight w:val="none"/>
        </w:rPr>
        <w:t>递交投标文件截止时间与开标时间是否有变化，请密切留意招标答疑中的相关信息。递交投标文件截止时间后，开标时间因故推迟的，相关评标信息仍以原递交投标文件截止时间的信息为准。</w:t>
      </w:r>
    </w:p>
    <w:p w14:paraId="63AF633B">
      <w:pPr>
        <w:numPr>
          <w:ilvl w:val="0"/>
          <w:numId w:val="6"/>
        </w:numPr>
        <w:spacing w:line="360" w:lineRule="auto"/>
        <w:ind w:left="6" w:hanging="6"/>
        <w:jc w:val="left"/>
        <w:rPr>
          <w:rFonts w:ascii="宋体" w:hAnsi="宋体"/>
          <w:color w:val="auto"/>
          <w:sz w:val="24"/>
          <w:szCs w:val="24"/>
          <w:highlight w:val="none"/>
        </w:rPr>
      </w:pPr>
      <w:r>
        <w:rPr>
          <w:rFonts w:hint="eastAsia" w:ascii="宋体" w:hAnsi="宋体"/>
          <w:color w:val="auto"/>
          <w:sz w:val="24"/>
          <w:szCs w:val="24"/>
          <w:highlight w:val="none"/>
        </w:rPr>
        <w:t>逾期送达的或者未送达指定地点的投标文件，招标人不予受理。</w:t>
      </w:r>
    </w:p>
    <w:p w14:paraId="783A55C1">
      <w:pPr>
        <w:numPr>
          <w:ilvl w:val="0"/>
          <w:numId w:val="6"/>
        </w:numPr>
        <w:spacing w:line="360" w:lineRule="auto"/>
        <w:ind w:left="6" w:hanging="6"/>
        <w:jc w:val="left"/>
        <w:rPr>
          <w:rFonts w:ascii="宋体" w:hAnsi="宋体"/>
          <w:color w:val="auto"/>
          <w:sz w:val="24"/>
          <w:szCs w:val="24"/>
          <w:highlight w:val="none"/>
        </w:rPr>
      </w:pPr>
      <w:r>
        <w:rPr>
          <w:rFonts w:hint="eastAsia" w:ascii="宋体" w:hAnsi="宋体"/>
          <w:color w:val="auto"/>
          <w:sz w:val="24"/>
          <w:szCs w:val="24"/>
          <w:highlight w:val="none"/>
        </w:rPr>
        <w:t>投标人通过广州交易集团有限公司（广州公共资源交易中心）网站递交电子投标文件。投标人应在递交投标文件截止时间前，登录广州交易集团有限公司（广州公共资源交易中心）网站办理网上投标登记手续。按照广州交易集团有限公司（广州公共资源交易中心）网站关于全流程电子化项目的相关指南进行操作。</w:t>
      </w:r>
    </w:p>
    <w:p w14:paraId="0CCCE0AA">
      <w:pPr>
        <w:spacing w:line="360" w:lineRule="auto"/>
        <w:jc w:val="left"/>
        <w:rPr>
          <w:rFonts w:ascii="宋体" w:hAnsi="宋体"/>
          <w:color w:val="auto"/>
          <w:sz w:val="24"/>
          <w:szCs w:val="24"/>
          <w:highlight w:val="none"/>
        </w:rPr>
      </w:pPr>
      <w:r>
        <w:rPr>
          <w:rFonts w:hint="eastAsia" w:ascii="宋体" w:hAnsi="宋体"/>
          <w:color w:val="auto"/>
          <w:sz w:val="24"/>
          <w:szCs w:val="24"/>
          <w:highlight w:val="none"/>
        </w:rPr>
        <w:t>5.5投标人应自行检查广州交易集团有限公司（广州公共资源交易中心）信息登记中的企业基础信息扫描件（包括企业资质证书、企业营业执照、企业安全生产许可证、项目负责人相关证书、专职安全员安全生产考核合格证等），评标委员会对上述资料的审查将以递交投标文件截止时间在广州交易集团有限公司（广州公共资源交易中心）信息登记的信息为依据。投标人应及时维护其在广州交易集团有限公司（广州公共资源交易中心）信息登记的信息，确保各项信息在有效期内。如因投标单位资料缺失导致资格审查不通过，责任由投标单位自行承担。</w:t>
      </w:r>
    </w:p>
    <w:p w14:paraId="721F62BB">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hint="eastAsia" w:ascii="黑体" w:hAnsi="黑体" w:eastAsia="黑体"/>
          <w:b/>
          <w:bCs/>
          <w:color w:val="auto"/>
          <w:kern w:val="44"/>
          <w:sz w:val="30"/>
          <w:szCs w:val="30"/>
          <w:highlight w:val="none"/>
        </w:rPr>
        <w:t>资格审查方式</w:t>
      </w:r>
    </w:p>
    <w:p w14:paraId="0565433C">
      <w:pPr>
        <w:spacing w:line="360" w:lineRule="auto"/>
        <w:rPr>
          <w:rFonts w:ascii="宋体" w:hAnsi="宋体"/>
          <w:color w:val="auto"/>
          <w:sz w:val="24"/>
          <w:szCs w:val="24"/>
          <w:highlight w:val="none"/>
        </w:rPr>
      </w:pPr>
      <w:r>
        <w:rPr>
          <w:rFonts w:hint="eastAsia" w:ascii="宋体" w:hAnsi="宋体"/>
          <w:color w:val="auto"/>
          <w:sz w:val="24"/>
          <w:szCs w:val="24"/>
          <w:highlight w:val="none"/>
        </w:rPr>
        <w:t>6.1本工程采用资格后审方式，由评标委员会负责资格审查。</w:t>
      </w:r>
    </w:p>
    <w:p w14:paraId="61EC7091">
      <w:pPr>
        <w:spacing w:line="360" w:lineRule="auto"/>
        <w:rPr>
          <w:rFonts w:ascii="宋体" w:hAnsi="宋体"/>
          <w:color w:val="auto"/>
          <w:sz w:val="24"/>
          <w:szCs w:val="24"/>
          <w:highlight w:val="none"/>
        </w:rPr>
      </w:pPr>
      <w:r>
        <w:rPr>
          <w:rFonts w:hint="eastAsia" w:ascii="宋体" w:hAnsi="宋体"/>
          <w:color w:val="auto"/>
          <w:sz w:val="24"/>
          <w:szCs w:val="24"/>
          <w:highlight w:val="none"/>
        </w:rPr>
        <w:t>6.2资格审查结果将在广州交易集团有限公司（广州公共资源交易中心）网站和广东省招标投标监管网公示，公示时间不得少于3日，最后一天应为工作日。</w:t>
      </w:r>
    </w:p>
    <w:p w14:paraId="228F4D21">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hint="eastAsia" w:ascii="黑体" w:hAnsi="黑体" w:eastAsia="黑体"/>
          <w:b/>
          <w:bCs/>
          <w:color w:val="auto"/>
          <w:kern w:val="44"/>
          <w:sz w:val="30"/>
          <w:szCs w:val="30"/>
          <w:highlight w:val="none"/>
        </w:rPr>
        <w:t>企业信息登记</w:t>
      </w:r>
    </w:p>
    <w:p w14:paraId="2C5074A3">
      <w:pPr>
        <w:spacing w:line="360" w:lineRule="auto"/>
        <w:ind w:firstLine="480" w:firstLineChars="200"/>
        <w:rPr>
          <w:color w:val="auto"/>
          <w:highlight w:val="none"/>
        </w:rPr>
      </w:pPr>
      <w:r>
        <w:rPr>
          <w:rFonts w:hint="eastAsia"/>
          <w:color w:val="auto"/>
          <w:sz w:val="24"/>
          <w:highlight w:val="none"/>
        </w:rPr>
        <w:t>本次招标要求投标人办理网上投标登记前，须在</w:t>
      </w:r>
      <w:r>
        <w:rPr>
          <w:rFonts w:hint="eastAsia" w:ascii="宋体" w:hAnsi="宋体"/>
          <w:color w:val="auto"/>
          <w:sz w:val="24"/>
          <w:szCs w:val="24"/>
          <w:highlight w:val="none"/>
        </w:rPr>
        <w:t>广州交易集团有限公司（广州公共资源交易中心）网站</w:t>
      </w:r>
      <w:r>
        <w:rPr>
          <w:rFonts w:hint="eastAsia"/>
          <w:color w:val="auto"/>
          <w:sz w:val="24"/>
          <w:highlight w:val="none"/>
        </w:rPr>
        <w:t>完成企业信息登记，及拟担任本工程项目负责人、专职安全员须是本企业信息登记中的在册人员。</w:t>
      </w:r>
      <w:r>
        <w:rPr>
          <w:rFonts w:hint="eastAsia" w:ascii="宋体" w:hAnsi="宋体" w:cs="宋体"/>
          <w:color w:val="auto"/>
          <w:kern w:val="0"/>
          <w:sz w:val="24"/>
          <w:szCs w:val="24"/>
          <w:highlight w:val="none"/>
        </w:rPr>
        <w:t>企业信息登记应按照</w:t>
      </w:r>
      <w:r>
        <w:rPr>
          <w:rFonts w:hint="eastAsia" w:ascii="宋体" w:hAnsi="宋体"/>
          <w:color w:val="auto"/>
          <w:sz w:val="24"/>
          <w:szCs w:val="24"/>
          <w:highlight w:val="none"/>
        </w:rPr>
        <w:t>广州交易集团有限公司（广州公共资源交易中心）网站</w:t>
      </w:r>
      <w:r>
        <w:rPr>
          <w:rFonts w:hint="eastAsia" w:ascii="宋体" w:hAnsi="宋体" w:cs="宋体"/>
          <w:color w:val="auto"/>
          <w:kern w:val="0"/>
          <w:sz w:val="24"/>
          <w:szCs w:val="24"/>
          <w:highlight w:val="none"/>
        </w:rPr>
        <w:t>关于企业信息登记的相关指南进行操作。</w:t>
      </w:r>
    </w:p>
    <w:p w14:paraId="76ED8F96">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hint="eastAsia" w:ascii="黑体" w:hAnsi="黑体" w:eastAsia="黑体"/>
          <w:b/>
          <w:bCs/>
          <w:color w:val="auto"/>
          <w:kern w:val="44"/>
          <w:sz w:val="30"/>
          <w:szCs w:val="30"/>
          <w:highlight w:val="none"/>
        </w:rPr>
        <w:t>疑问、异议、投诉处理</w:t>
      </w:r>
    </w:p>
    <w:p w14:paraId="2A54394F">
      <w:pPr>
        <w:spacing w:line="360" w:lineRule="auto"/>
        <w:rPr>
          <w:rFonts w:hint="eastAsia"/>
          <w:color w:val="auto"/>
          <w:sz w:val="24"/>
          <w:highlight w:val="none"/>
        </w:rPr>
      </w:pPr>
      <w:r>
        <w:rPr>
          <w:rFonts w:hint="eastAsia"/>
          <w:color w:val="auto"/>
          <w:sz w:val="24"/>
          <w:highlight w:val="none"/>
        </w:rPr>
        <w:t>8.1关于疑问、异议、投诉的基本概念和处理程序详见《中华人民共和国招标投标法》、《中华人民共和国招标投标法实施条例》、《工程建设项目招标投标活动投诉处理办法》和《广州市水务局关于进一步加强水务工程项目招标投标活动监督管理工作的通知》（穗水建管〔2023〕78号）。</w:t>
      </w:r>
    </w:p>
    <w:p w14:paraId="5D4BECAF">
      <w:pPr>
        <w:spacing w:line="360" w:lineRule="auto"/>
        <w:rPr>
          <w:rFonts w:hint="eastAsia"/>
          <w:color w:val="auto"/>
          <w:sz w:val="24"/>
          <w:highlight w:val="none"/>
        </w:rPr>
      </w:pPr>
      <w:r>
        <w:rPr>
          <w:rFonts w:hint="eastAsia"/>
          <w:color w:val="auto"/>
          <w:sz w:val="24"/>
          <w:highlight w:val="none"/>
        </w:rPr>
        <w:t>8.2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14:paraId="37F636B8">
      <w:pPr>
        <w:spacing w:line="360" w:lineRule="auto"/>
        <w:rPr>
          <w:rFonts w:hint="eastAsia"/>
          <w:color w:val="auto"/>
          <w:sz w:val="24"/>
          <w:highlight w:val="none"/>
        </w:rPr>
      </w:pPr>
      <w:r>
        <w:rPr>
          <w:rFonts w:hint="eastAsia"/>
          <w:color w:val="auto"/>
          <w:sz w:val="24"/>
          <w:highlight w:val="none"/>
        </w:rPr>
        <w:t>8.3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14:paraId="6FBFED41">
      <w:pPr>
        <w:spacing w:line="360" w:lineRule="auto"/>
        <w:ind w:firstLine="480" w:firstLineChars="200"/>
        <w:rPr>
          <w:rFonts w:hint="eastAsia"/>
          <w:color w:val="auto"/>
          <w:sz w:val="24"/>
          <w:highlight w:val="none"/>
        </w:rPr>
      </w:pPr>
      <w:r>
        <w:rPr>
          <w:rFonts w:hint="eastAsia"/>
          <w:color w:val="auto"/>
          <w:sz w:val="24"/>
          <w:highlight w:val="none"/>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p>
    <w:p w14:paraId="051C526B">
      <w:pPr>
        <w:spacing w:line="360" w:lineRule="auto"/>
        <w:rPr>
          <w:rFonts w:hint="eastAsia"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8</w:t>
      </w:r>
      <w:r>
        <w:rPr>
          <w:rFonts w:ascii="宋体" w:hAnsi="宋体" w:cs="宋体"/>
          <w:color w:val="auto"/>
          <w:kern w:val="0"/>
          <w:sz w:val="24"/>
          <w:szCs w:val="24"/>
          <w:highlight w:val="none"/>
          <w:u w:val="single"/>
        </w:rPr>
        <w:t>.4</w:t>
      </w:r>
      <w:r>
        <w:rPr>
          <w:rFonts w:hint="eastAsia" w:ascii="宋体" w:hAnsi="宋体" w:cs="宋体"/>
          <w:color w:val="auto"/>
          <w:kern w:val="0"/>
          <w:sz w:val="24"/>
          <w:szCs w:val="24"/>
          <w:highlight w:val="none"/>
          <w:u w:val="single"/>
        </w:rPr>
        <w:t>招标监管机构：广州市增城区水务局，电话：020-82639502；</w:t>
      </w:r>
    </w:p>
    <w:p w14:paraId="43647108">
      <w:pPr>
        <w:widowControl/>
        <w:spacing w:before="94" w:after="94" w:line="360" w:lineRule="auto"/>
        <w:ind w:firstLine="598"/>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潜在投标人或利害关系人可以通过线下或线上的形式提出异议。线上提出异议的，应通过交易平台提交，招标人也应通过交易平台答复线上提出的异议。具体按照交易平台相关指南进行操作。作出答复前，应当暂停招标投标活动。</w:t>
      </w:r>
    </w:p>
    <w:p w14:paraId="71B4B75A">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异议受理部门（招标人）：</w:t>
      </w:r>
      <w:r>
        <w:rPr>
          <w:rFonts w:hint="eastAsia" w:ascii="宋体" w:hAnsi="宋体" w:cs="宋体"/>
          <w:color w:val="auto"/>
          <w:kern w:val="0"/>
          <w:sz w:val="24"/>
          <w:szCs w:val="24"/>
          <w:highlight w:val="none"/>
          <w:u w:val="single"/>
          <w:lang w:eastAsia="zh-CN"/>
        </w:rPr>
        <w:t>广州市增城区大封门水库管理所</w:t>
      </w:r>
      <w:r>
        <w:rPr>
          <w:rFonts w:hint="eastAsia" w:ascii="宋体" w:hAnsi="宋体" w:cs="宋体"/>
          <w:color w:val="auto"/>
          <w:kern w:val="0"/>
          <w:sz w:val="24"/>
          <w:szCs w:val="24"/>
          <w:highlight w:val="none"/>
          <w:u w:val="single"/>
        </w:rPr>
        <w:t xml:space="preserve">  </w:t>
      </w:r>
    </w:p>
    <w:p w14:paraId="1342534F">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地址：广州市增城区派潭镇上九陂村北山路132号</w:t>
      </w:r>
    </w:p>
    <w:p w14:paraId="07A4C196">
      <w:pPr>
        <w:spacing w:line="360" w:lineRule="auto"/>
        <w:ind w:firstLine="480" w:firstLineChars="200"/>
        <w:rPr>
          <w:rFonts w:hint="eastAsia"/>
          <w:color w:val="auto"/>
          <w:sz w:val="24"/>
          <w:highlight w:val="none"/>
        </w:rPr>
      </w:pPr>
      <w:r>
        <w:rPr>
          <w:rFonts w:hint="eastAsia" w:ascii="宋体" w:hAnsi="宋体"/>
          <w:color w:val="auto"/>
          <w:sz w:val="24"/>
          <w:szCs w:val="24"/>
          <w:highlight w:val="none"/>
          <w:u w:val="single"/>
        </w:rPr>
        <w:t>电话：020-82639382</w:t>
      </w:r>
    </w:p>
    <w:p w14:paraId="6CD3EB16">
      <w:pPr>
        <w:keepNext/>
        <w:keepLines/>
        <w:numPr>
          <w:ilvl w:val="0"/>
          <w:numId w:val="3"/>
        </w:numPr>
        <w:spacing w:before="260" w:after="260" w:line="360" w:lineRule="auto"/>
        <w:outlineLvl w:val="1"/>
        <w:rPr>
          <w:rFonts w:hint="eastAsia" w:ascii="宋体" w:hAnsi="宋体" w:cs="宋体"/>
          <w:color w:val="auto"/>
          <w:kern w:val="44"/>
          <w:sz w:val="24"/>
          <w:szCs w:val="24"/>
          <w:highlight w:val="none"/>
        </w:rPr>
      </w:pPr>
      <w:r>
        <w:rPr>
          <w:rFonts w:hint="eastAsia" w:ascii="宋体" w:hAnsi="宋体" w:cs="宋体"/>
          <w:color w:val="auto"/>
          <w:kern w:val="44"/>
          <w:sz w:val="24"/>
          <w:szCs w:val="24"/>
          <w:highlight w:val="none"/>
        </w:rPr>
        <w:t>投标人和中标候选人的重大变化告知义务：投标人发生可能影响其资格条件或者招标公正性的重大变化、中标候选人的经营、财务状况发生较大变化或者存在违法行为的（包括但不限于：合并、分立、破产、重大财务变化、项目负责人等主要人员变化、被责令关闭、被吊销营业执照、被暂扣安全生产许可证、一定期限内被禁止参加依法必须招标项目的投标等情形），应当及时书面告知招标人。</w:t>
      </w:r>
    </w:p>
    <w:p w14:paraId="474FCDF0">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ascii="黑体" w:hAnsi="黑体" w:eastAsia="黑体"/>
          <w:b/>
          <w:bCs/>
          <w:color w:val="auto"/>
          <w:kern w:val="44"/>
          <w:sz w:val="30"/>
          <w:szCs w:val="30"/>
          <w:highlight w:val="none"/>
        </w:rPr>
        <w:t>联系方式</w:t>
      </w:r>
    </w:p>
    <w:p w14:paraId="30D66697">
      <w:pPr>
        <w:spacing w:line="360" w:lineRule="auto"/>
        <w:ind w:firstLine="480" w:firstLineChars="200"/>
        <w:rPr>
          <w:rFonts w:hint="eastAsia" w:ascii="宋体" w:eastAsia="宋体"/>
          <w:color w:val="auto"/>
          <w:sz w:val="24"/>
          <w:highlight w:val="none"/>
          <w:u w:val="single"/>
          <w:lang w:eastAsia="zh-CN"/>
        </w:rPr>
      </w:pPr>
      <w:r>
        <w:rPr>
          <w:rFonts w:hint="eastAsia" w:ascii="宋体" w:hAnsi="宋体"/>
          <w:color w:val="auto"/>
          <w:sz w:val="24"/>
          <w:highlight w:val="none"/>
        </w:rPr>
        <w:t>招标单位：</w:t>
      </w:r>
      <w:r>
        <w:rPr>
          <w:rFonts w:hint="eastAsia" w:ascii="宋体" w:hAnsi="宋体"/>
          <w:color w:val="auto"/>
          <w:sz w:val="24"/>
          <w:highlight w:val="none"/>
          <w:lang w:eastAsia="zh-CN"/>
        </w:rPr>
        <w:t>广州市增城区大封门水库管理所</w:t>
      </w:r>
    </w:p>
    <w:p w14:paraId="2EA1E098">
      <w:pPr>
        <w:spacing w:line="360" w:lineRule="auto"/>
        <w:ind w:firstLine="480" w:firstLineChars="200"/>
        <w:rPr>
          <w:rFonts w:ascii="宋体"/>
          <w:color w:val="auto"/>
          <w:sz w:val="24"/>
          <w:highlight w:val="none"/>
          <w:u w:val="single"/>
        </w:rPr>
      </w:pPr>
      <w:r>
        <w:rPr>
          <w:rFonts w:hint="eastAsia" w:ascii="宋体" w:hAnsi="宋体"/>
          <w:color w:val="auto"/>
          <w:sz w:val="24"/>
          <w:highlight w:val="none"/>
        </w:rPr>
        <w:t>联系人：屈工           联系电话：020-82639382</w:t>
      </w:r>
    </w:p>
    <w:p w14:paraId="63E447A8">
      <w:pPr>
        <w:spacing w:line="360" w:lineRule="auto"/>
        <w:ind w:firstLine="480" w:firstLineChars="200"/>
        <w:rPr>
          <w:rFonts w:hint="eastAsia" w:ascii="宋体" w:hAnsi="宋体"/>
          <w:color w:val="auto"/>
          <w:sz w:val="24"/>
          <w:highlight w:val="none"/>
        </w:rPr>
      </w:pPr>
    </w:p>
    <w:p w14:paraId="662384C6">
      <w:pPr>
        <w:spacing w:line="360" w:lineRule="auto"/>
        <w:ind w:firstLine="480" w:firstLineChars="200"/>
        <w:rPr>
          <w:rFonts w:ascii="宋体"/>
          <w:color w:val="auto"/>
          <w:sz w:val="24"/>
          <w:highlight w:val="none"/>
          <w:u w:val="single"/>
        </w:rPr>
      </w:pPr>
      <w:r>
        <w:rPr>
          <w:rFonts w:hint="eastAsia" w:ascii="宋体" w:hAnsi="宋体"/>
          <w:color w:val="auto"/>
          <w:sz w:val="24"/>
          <w:highlight w:val="none"/>
        </w:rPr>
        <w:t>招标代理机构：</w:t>
      </w:r>
      <w:r>
        <w:rPr>
          <w:rFonts w:hint="eastAsia" w:ascii="宋体" w:hAnsi="宋体"/>
          <w:color w:val="auto"/>
          <w:sz w:val="24"/>
          <w:highlight w:val="none"/>
          <w:lang w:val="en-US" w:eastAsia="zh-CN"/>
        </w:rPr>
        <w:t>广东省城规建设监理有限公司</w:t>
      </w:r>
    </w:p>
    <w:p w14:paraId="1302B513">
      <w:pPr>
        <w:spacing w:line="360" w:lineRule="auto"/>
        <w:ind w:firstLine="480" w:firstLineChars="200"/>
        <w:rPr>
          <w:rFonts w:ascii="宋体"/>
          <w:color w:val="auto"/>
          <w:sz w:val="24"/>
          <w:highlight w:val="none"/>
          <w:u w:val="single"/>
        </w:rPr>
      </w:pPr>
      <w:r>
        <w:rPr>
          <w:rFonts w:hint="eastAsia" w:ascii="宋体" w:hAnsi="宋体"/>
          <w:color w:val="auto"/>
          <w:sz w:val="24"/>
          <w:highlight w:val="none"/>
        </w:rPr>
        <w:t>联系人：叶工             联系电话：</w:t>
      </w:r>
      <w:r>
        <w:rPr>
          <w:rFonts w:hint="eastAsia" w:ascii="宋体" w:hAnsi="宋体"/>
          <w:color w:val="auto"/>
          <w:sz w:val="24"/>
          <w:highlight w:val="none"/>
        </w:rPr>
        <w:tab/>
      </w:r>
      <w:r>
        <w:rPr>
          <w:rFonts w:hint="eastAsia" w:ascii="宋体" w:hAnsi="宋体"/>
          <w:color w:val="auto"/>
          <w:sz w:val="24"/>
          <w:highlight w:val="none"/>
        </w:rPr>
        <w:t>020-83560819</w:t>
      </w:r>
    </w:p>
    <w:p w14:paraId="4F7A7D99">
      <w:pPr>
        <w:spacing w:line="360" w:lineRule="auto"/>
        <w:ind w:firstLine="480" w:firstLineChars="200"/>
        <w:rPr>
          <w:rFonts w:hint="eastAsia" w:ascii="宋体" w:hAnsi="宋体"/>
          <w:color w:val="auto"/>
          <w:sz w:val="24"/>
          <w:highlight w:val="none"/>
        </w:rPr>
      </w:pPr>
    </w:p>
    <w:p w14:paraId="3379BD0B">
      <w:pPr>
        <w:spacing w:line="360" w:lineRule="auto"/>
        <w:ind w:firstLine="480" w:firstLineChars="200"/>
        <w:rPr>
          <w:rFonts w:ascii="宋体"/>
          <w:color w:val="auto"/>
          <w:sz w:val="24"/>
          <w:highlight w:val="none"/>
        </w:rPr>
      </w:pPr>
      <w:r>
        <w:rPr>
          <w:rFonts w:hint="eastAsia" w:ascii="宋体" w:hAnsi="宋体"/>
          <w:color w:val="auto"/>
          <w:sz w:val="24"/>
          <w:highlight w:val="none"/>
        </w:rPr>
        <w:t>招标监督机构：广州市增城区水务局</w:t>
      </w:r>
    </w:p>
    <w:p w14:paraId="7864E289">
      <w:pPr>
        <w:spacing w:line="360" w:lineRule="auto"/>
        <w:ind w:firstLine="480" w:firstLineChars="200"/>
        <w:rPr>
          <w:color w:val="auto"/>
          <w:sz w:val="24"/>
          <w:szCs w:val="21"/>
          <w:highlight w:val="none"/>
        </w:rPr>
      </w:pPr>
      <w:r>
        <w:rPr>
          <w:rFonts w:hint="eastAsia" w:ascii="宋体" w:hAnsi="宋体"/>
          <w:color w:val="auto"/>
          <w:sz w:val="24"/>
          <w:highlight w:val="none"/>
        </w:rPr>
        <w:t>监督电话：</w:t>
      </w:r>
      <w:r>
        <w:rPr>
          <w:rFonts w:ascii="宋体" w:hAnsi="宋体"/>
          <w:color w:val="auto"/>
          <w:sz w:val="24"/>
          <w:highlight w:val="none"/>
        </w:rPr>
        <w:t>020-82639502</w:t>
      </w:r>
    </w:p>
    <w:p w14:paraId="21312B15">
      <w:pPr>
        <w:jc w:val="right"/>
        <w:rPr>
          <w:rFonts w:hint="eastAsia" w:ascii="宋体" w:hAnsi="宋体"/>
          <w:color w:val="auto"/>
          <w:sz w:val="24"/>
          <w:highlight w:val="none"/>
        </w:rPr>
      </w:pPr>
      <w:r>
        <w:rPr>
          <w:rFonts w:hint="eastAsia" w:ascii="宋体" w:hAnsi="宋体"/>
          <w:color w:val="auto"/>
          <w:sz w:val="24"/>
          <w:highlight w:val="none"/>
          <w:u w:val="single"/>
        </w:rPr>
        <w:t xml:space="preserve"> 2024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7F3AFF67">
      <w:pPr>
        <w:jc w:val="right"/>
        <w:rPr>
          <w:rFonts w:hint="eastAsia" w:ascii="宋体" w:hAnsi="宋体"/>
          <w:color w:val="auto"/>
          <w:sz w:val="24"/>
          <w:highlight w:val="none"/>
        </w:rPr>
      </w:pPr>
    </w:p>
    <w:p w14:paraId="692D141B">
      <w:pPr>
        <w:spacing w:line="360" w:lineRule="auto"/>
        <w:rPr>
          <w:rFonts w:hint="eastAsia" w:ascii="宋体" w:hAnsi="宋体" w:cs="宋体"/>
          <w:b/>
          <w:color w:val="auto"/>
          <w:sz w:val="24"/>
          <w:szCs w:val="24"/>
          <w:highlight w:val="none"/>
        </w:rPr>
      </w:pPr>
      <w:r>
        <w:rPr>
          <w:rFonts w:hint="eastAsia" w:ascii="宋体" w:hAnsi="宋体" w:cs="宋体"/>
          <w:color w:val="auto"/>
          <w:sz w:val="24"/>
          <w:szCs w:val="24"/>
          <w:highlight w:val="none"/>
        </w:rPr>
        <w:br w:type="page"/>
      </w:r>
      <w:r>
        <w:rPr>
          <w:rFonts w:hint="eastAsia" w:ascii="宋体" w:hAnsi="宋体" w:cs="宋体"/>
          <w:color w:val="auto"/>
          <w:sz w:val="24"/>
          <w:szCs w:val="24"/>
          <w:highlight w:val="none"/>
        </w:rPr>
        <w:t>附件一：</w:t>
      </w:r>
    </w:p>
    <w:p w14:paraId="10066886">
      <w:pPr>
        <w:spacing w:line="360" w:lineRule="auto"/>
        <w:jc w:val="center"/>
        <w:rPr>
          <w:rFonts w:hint="eastAsia" w:ascii="宋体" w:hAnsi="宋体" w:cs="宋体"/>
          <w:b/>
          <w:color w:val="auto"/>
          <w:sz w:val="44"/>
          <w:szCs w:val="44"/>
          <w:highlight w:val="none"/>
        </w:rPr>
      </w:pPr>
      <w:r>
        <w:rPr>
          <w:rFonts w:hint="eastAsia" w:ascii="宋体" w:hAnsi="宋体" w:cs="宋体"/>
          <w:b/>
          <w:color w:val="auto"/>
          <w:kern w:val="0"/>
          <w:sz w:val="44"/>
          <w:szCs w:val="44"/>
          <w:highlight w:val="none"/>
        </w:rPr>
        <w:t>投标人</w:t>
      </w:r>
      <w:r>
        <w:rPr>
          <w:rFonts w:hint="eastAsia" w:ascii="宋体" w:hAnsi="宋体" w:cs="宋体"/>
          <w:b/>
          <w:color w:val="auto"/>
          <w:sz w:val="44"/>
          <w:szCs w:val="44"/>
          <w:highlight w:val="none"/>
        </w:rPr>
        <w:t>声明</w:t>
      </w:r>
    </w:p>
    <w:p w14:paraId="3CAB2939">
      <w:pPr>
        <w:spacing w:line="360" w:lineRule="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广州市</w:t>
      </w:r>
      <w:r>
        <w:rPr>
          <w:rFonts w:hint="eastAsia" w:ascii="宋体" w:hAnsi="宋体" w:cs="宋体"/>
          <w:color w:val="auto"/>
          <w:kern w:val="0"/>
          <w:sz w:val="24"/>
          <w:szCs w:val="24"/>
          <w:highlight w:val="none"/>
          <w:lang w:val="en-US" w:eastAsia="zh-CN"/>
        </w:rPr>
        <w:t>增城区</w:t>
      </w:r>
      <w:r>
        <w:rPr>
          <w:rFonts w:hint="eastAsia" w:ascii="宋体" w:hAnsi="宋体" w:cs="宋体"/>
          <w:color w:val="auto"/>
          <w:kern w:val="0"/>
          <w:sz w:val="24"/>
          <w:szCs w:val="24"/>
          <w:highlight w:val="none"/>
        </w:rPr>
        <w:t>水务局、本招标项目招标人及招标监管机构：</w:t>
      </w:r>
    </w:p>
    <w:p w14:paraId="4F83F4DF">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本公司就参加</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（项目名称）</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rPr>
        <w:t>投标工作，作出郑重声明：</w:t>
      </w:r>
    </w:p>
    <w:p w14:paraId="419B206B">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一、本公司保证投标文件及其后提供的一切材料都是真实的。如我司成为本项目中标候选人，我司同意并授权招标人将我司投标文件商务部分的人员、业绩、奖项等资料进行公开。</w:t>
      </w:r>
    </w:p>
    <w:p w14:paraId="1959550B">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二、本公司保证在本项目投标中不与其他单位围标、串标，不出让投标资格，不向招标人或评标委员会成员行贿。</w:t>
      </w:r>
    </w:p>
    <w:p w14:paraId="3942EC7D">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三、本公司不存在下列情形之一：</w:t>
      </w:r>
    </w:p>
    <w:p w14:paraId="4F57EA07">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（1）为招标人不具有独立法人资格的附属机构（单位）；</w:t>
      </w:r>
    </w:p>
    <w:p w14:paraId="2C8C893A">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（2）为本标段前期准备提供设计或咨询服务或者与本项目设计人或提供咨询服务的机构存在附属关系的；</w:t>
      </w:r>
    </w:p>
    <w:p w14:paraId="1FE53EAD">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（3）为本项目监理人或者与本项目监理人存在隶属关系或者其他利害关系；</w:t>
      </w:r>
    </w:p>
    <w:p w14:paraId="25B43F6B">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（4）为本标段的代建人；</w:t>
      </w:r>
    </w:p>
    <w:p w14:paraId="31484565">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（5）为本标段提供招标代理服务的；</w:t>
      </w:r>
    </w:p>
    <w:p w14:paraId="366A30F7">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（6）与本标段的监理人或代建人或招标代理机构同为一个法定代表人的；</w:t>
      </w:r>
    </w:p>
    <w:p w14:paraId="62E2DEDA">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（7）与本标段的监理人或代建人或招标代理机构互相控股或参股的；</w:t>
      </w:r>
    </w:p>
    <w:p w14:paraId="141AEA12">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（8）与本标段的监理人或代建人或招标代理机构相互任职或工作的；</w:t>
      </w:r>
    </w:p>
    <w:p w14:paraId="68F3E39E">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（9）与本标段的检测机构、建设、监理单位以及建筑材料、建筑构配件和设备供应商有隶属关系或者其他利害关系有隶属关系或者其他利害关系；</w:t>
      </w:r>
    </w:p>
    <w:p w14:paraId="282409BB">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（10）与招标人存在利害关系且可能影响招标公正性；</w:t>
      </w:r>
    </w:p>
    <w:p w14:paraId="5231039D">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11）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6C6B3EC7">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（12）被责令停产停业、暂扣或者吊销许可证、暂扣或者吊销执照的（本项事实应当以根据《中华人民共和国行政处罚法》依法作出并已经生效的行政处罚决定为认定依据。）；</w:t>
      </w:r>
    </w:p>
    <w:p w14:paraId="469B9E7E">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（13）进入清算程序，或被宣布破产，或其他丧失履约能力的情形；</w:t>
      </w:r>
    </w:p>
    <w:p w14:paraId="03170313">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14）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148E66D3">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（15）法律法规规定的其他情形。</w:t>
      </w:r>
    </w:p>
    <w:p w14:paraId="11087536">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四、本公司保证：本项目拟派的项目负责人没有在其他在建项目中任施工单位项目负责人，本项目拟派的专职安全员没有在其他在建项目中任职。</w:t>
      </w:r>
    </w:p>
    <w:p w14:paraId="5F289C4B">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五、本公司已经对投标时拟投入本项目的管理团队和专业技术人员进行了自查，保证拟投入的所有人员都是本单位正式人员，都在本单位缴纳社保，不存在持证人注册单位与实际工作单位不符、买卖租借（专业）资格（注册）证书等“挂证”违法违规行为。</w:t>
      </w:r>
    </w:p>
    <w:p w14:paraId="22E3CC0D">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六、本公司承诺，中标后不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14:paraId="6D43F0A4">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七、本公司承诺，切实落实《住房和城乡建设部人力资源社会保障部关于修改&lt;建筑工人实名制管理办法（试行）&gt;的通知》建市〔2022〕59号、《住房城乡建设部 人力资源社会保障部关于印发建筑工人实名管理办法（试行）的通知》（建市〔2019〕18号）、《广东省建设工程领域工人工资支付专用账户管理办法》（粤人社规〔2018〕14号）、《广州市住房和城乡建设局关于印发&lt;广州市建筑施工实名制管理办法&gt;的通知》（穗建规字〔2020〕18号）、《广州市建设领域工人工资支付分账管理实施细则》（穗建规字〔2020〕37号）、《关于印发广州市房屋建筑及市政工程实名制和工资支付分账平台化管理工作方案的通知》（穗建筑〔2018〕183号）、《广州市住房和城乡建设委员会关于转发&lt;广东省住房和城乡建设厅关于房屋建筑和市政基础设施工程用工实名管理暂行办法&gt;的通知》（穗建筑〔2018〕981号）等关于用工实名制和工人工资支付分账管理的各项规定。中标后将利用信息技术手段，采用人脸、指纹、虹膜等生物识别技术进行电子打卡，实施考勤管理，对施工现场人员建立基本信息档案、实行实名制管理的制度并按照工程进度将建筑工人工资通过本企业在银行开设的工资专用账户按时足额支付。我公司对实名制管理负总责。若本项目在经招标人认可后，部分专业工程依法分包或实行劳务分包的，我公司对专业分包企业和劳务分包企业实施统一管理，监督其用工企业按时足额支付作业工人工资，督促落实实名制管理制度。本公司接受招标人及水行政主管部门的监督、检查。</w:t>
      </w:r>
    </w:p>
    <w:p w14:paraId="12A081EF">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八、与本公司单位负责人为同一人或者与本公司存在控股、管理关系的其他单位包括：</w:t>
      </w:r>
      <w:r>
        <w:rPr>
          <w:rFonts w:hint="eastAsia" w:ascii="宋体" w:hAnsi="宋体"/>
          <w:color w:val="auto"/>
          <w:kern w:val="0"/>
          <w:sz w:val="24"/>
          <w:szCs w:val="24"/>
          <w:highlight w:val="none"/>
          <w:u w:val="single"/>
        </w:rPr>
        <w:t xml:space="preserve">         </w:t>
      </w:r>
      <w:r>
        <w:rPr>
          <w:rFonts w:hint="eastAsia" w:ascii="宋体" w:hAnsi="宋体"/>
          <w:color w:val="auto"/>
          <w:kern w:val="0"/>
          <w:sz w:val="24"/>
          <w:szCs w:val="24"/>
          <w:highlight w:val="none"/>
        </w:rPr>
        <w:t>。（注：本条由投标人如实填写，如有，应列出全部满足招标公告资质要求的相关单位的名称；如无，则填写“无”。）</w:t>
      </w:r>
    </w:p>
    <w:p w14:paraId="3E53B2D4">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九、本公司拟委派专职安全员兼任本工程的工地余泥渣土运输与排放管理员，严格遵守建设工程余泥渣土运输与排放管理制度，执行“一不准进、三不准出”规定，选择合法的余泥渣土运输单位及排放点。</w:t>
      </w:r>
    </w:p>
    <w:p w14:paraId="4C0548B6">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十、如果本公司使用采用告知承诺制方式取得的资质参与本项目投标，该资质经资质审批部门核查被依法注销的，本公司承诺自动放弃投标及中标资格。如经查实该资质为以欺骗等不正当手段取得的，将依法接受监督部门的行政处罚。</w:t>
      </w:r>
    </w:p>
    <w:p w14:paraId="380DD49A">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十一、本公司违反上述保证，或本声明陈述与事实不符，一经查实将按相关规定进行信用记录。本公司对失信行为产生的一切后果已知悉。其中，本声明陈述与事实不符的，属于弄虚作假骗取中标，将依法接受监管部门的处罚。</w:t>
      </w:r>
    </w:p>
    <w:p w14:paraId="1076B389">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十二、本公司积极响应广州市关于投身“百千万工程”的号召，主动参与政府投资类建设工程施工项目的建筑业结对帮扶等活动（市属国有企业投资项目参照执行）</w:t>
      </w:r>
      <w:r>
        <w:rPr>
          <w:rFonts w:hint="eastAsia" w:ascii="宋体" w:hAnsi="宋体"/>
          <w:color w:val="auto"/>
          <w:kern w:val="0"/>
          <w:sz w:val="24"/>
          <w:szCs w:val="24"/>
          <w:highlight w:val="none"/>
          <w:lang w:eastAsia="zh-CN"/>
        </w:rPr>
        <w:t>，具体事项以双方商定为准</w:t>
      </w:r>
      <w:r>
        <w:rPr>
          <w:rFonts w:hint="eastAsia" w:ascii="宋体" w:hAnsi="宋体"/>
          <w:color w:val="auto"/>
          <w:kern w:val="0"/>
          <w:sz w:val="24"/>
          <w:szCs w:val="24"/>
          <w:highlight w:val="none"/>
        </w:rPr>
        <w:t>。</w:t>
      </w:r>
    </w:p>
    <w:p w14:paraId="5B2966D1">
      <w:pPr>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特此声明。</w:t>
      </w:r>
    </w:p>
    <w:p w14:paraId="0E4A9CCE">
      <w:pPr>
        <w:spacing w:line="360" w:lineRule="auto"/>
        <w:ind w:left="629" w:right="1449"/>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声明企业：</w:t>
      </w:r>
    </w:p>
    <w:p w14:paraId="179DDBD6">
      <w:pPr>
        <w:spacing w:line="360" w:lineRule="auto"/>
        <w:ind w:right="1179"/>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法定代表人签字：</w:t>
      </w:r>
    </w:p>
    <w:p w14:paraId="7E75D0E8">
      <w:pPr>
        <w:spacing w:line="360" w:lineRule="auto"/>
        <w:ind w:right="1179"/>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项目负责人签字:</w:t>
      </w:r>
    </w:p>
    <w:p w14:paraId="18CB927C">
      <w:pPr>
        <w:spacing w:line="360" w:lineRule="auto"/>
        <w:ind w:right="879" w:firstLine="2160" w:firstLineChars="9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技术负责人签字：</w:t>
      </w:r>
    </w:p>
    <w:p w14:paraId="6EF449DF">
      <w:pPr>
        <w:spacing w:line="360" w:lineRule="auto"/>
        <w:ind w:right="879" w:firstLine="2160" w:firstLineChars="900"/>
        <w:jc w:val="righ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年   月   日</w:t>
      </w:r>
    </w:p>
    <w:p w14:paraId="2EB8FDB6">
      <w:pPr>
        <w:rPr>
          <w:color w:val="auto"/>
          <w:highlight w:val="none"/>
        </w:rPr>
      </w:pPr>
      <w:r>
        <w:rPr>
          <w:rFonts w:hint="eastAsia" w:ascii="宋体" w:hAnsi="宋体" w:cs="宋体"/>
          <w:color w:val="auto"/>
          <w:sz w:val="24"/>
          <w:szCs w:val="24"/>
          <w:highlight w:val="none"/>
        </w:rPr>
        <w:t xml:space="preserve">                                                       </w:t>
      </w:r>
      <w:r>
        <w:rPr>
          <w:rFonts w:hint="eastAsia" w:ascii="宋体" w:hAnsi="宋体" w:cs="宋体"/>
          <w:color w:val="auto"/>
          <w:kern w:val="0"/>
          <w:sz w:val="24"/>
          <w:szCs w:val="24"/>
          <w:highlight w:val="none"/>
        </w:rPr>
        <w:t>（企业公章）</w:t>
      </w:r>
    </w:p>
    <w:p w14:paraId="217BE727">
      <w:pPr>
        <w:spacing w:line="360" w:lineRule="auto"/>
        <w:rPr>
          <w:rFonts w:hint="eastAsia" w:ascii="宋体" w:hAnsi="宋体" w:cs="宋体"/>
          <w:color w:val="auto"/>
          <w:sz w:val="24"/>
          <w:szCs w:val="24"/>
          <w:highlight w:val="none"/>
        </w:rPr>
      </w:pPr>
      <w:r>
        <w:rPr>
          <w:rFonts w:ascii="宋体" w:hAnsi="宋体" w:cs="宋体"/>
          <w:color w:val="auto"/>
          <w:kern w:val="0"/>
          <w:sz w:val="24"/>
          <w:szCs w:val="24"/>
          <w:highlight w:val="none"/>
        </w:rPr>
        <w:br w:type="page"/>
      </w:r>
    </w:p>
    <w:p w14:paraId="13D29D03">
      <w:pPr>
        <w:jc w:val="left"/>
        <w:rPr>
          <w:color w:val="auto"/>
          <w:highlight w:val="none"/>
        </w:rPr>
      </w:pPr>
    </w:p>
    <w:p w14:paraId="5DAB2990">
      <w:pPr>
        <w:pStyle w:val="2"/>
        <w:jc w:val="center"/>
        <w:rPr>
          <w:rFonts w:ascii="宋体" w:hAnsi="宋体"/>
          <w:color w:val="auto"/>
          <w:sz w:val="24"/>
          <w:highlight w:val="none"/>
        </w:rPr>
      </w:pPr>
      <w:bookmarkStart w:id="2" w:name="_Toc21787637"/>
      <w:bookmarkStart w:id="3" w:name="_Toc180758505"/>
      <w:r>
        <w:rPr>
          <w:rFonts w:hint="eastAsia"/>
          <w:color w:val="auto"/>
          <w:highlight w:val="none"/>
        </w:rPr>
        <w:t>第二章 投标人须知</w:t>
      </w:r>
      <w:bookmarkEnd w:id="2"/>
      <w:bookmarkEnd w:id="3"/>
    </w:p>
    <w:p w14:paraId="78ED686C">
      <w:pPr>
        <w:spacing w:line="360" w:lineRule="auto"/>
        <w:jc w:val="center"/>
        <w:outlineLvl w:val="2"/>
        <w:rPr>
          <w:rFonts w:ascii="黑体" w:hAnsi="黑体" w:eastAsia="黑体"/>
          <w:color w:val="auto"/>
          <w:sz w:val="28"/>
          <w:szCs w:val="27"/>
          <w:highlight w:val="none"/>
        </w:rPr>
      </w:pPr>
      <w:bookmarkStart w:id="4" w:name="_Toc180758506"/>
      <w:bookmarkStart w:id="5" w:name="_Toc32468"/>
      <w:bookmarkStart w:id="6" w:name="_Toc21787638"/>
      <w:r>
        <w:rPr>
          <w:rFonts w:hint="eastAsia" w:ascii="黑体" w:hAnsi="黑体" w:eastAsia="黑体"/>
          <w:color w:val="auto"/>
          <w:sz w:val="28"/>
          <w:szCs w:val="27"/>
          <w:highlight w:val="none"/>
        </w:rPr>
        <w:t>投标人须知修改表</w:t>
      </w:r>
      <w:bookmarkEnd w:id="4"/>
      <w:bookmarkEnd w:id="5"/>
      <w:bookmarkEnd w:id="6"/>
    </w:p>
    <w:p w14:paraId="68937C6B">
      <w:pPr>
        <w:spacing w:line="480" w:lineRule="auto"/>
        <w:ind w:firstLine="540" w:firstLineChars="224"/>
        <w:rPr>
          <w:rFonts w:ascii="宋体" w:hAnsi="宋体"/>
          <w:color w:val="auto"/>
          <w:sz w:val="24"/>
          <w:szCs w:val="24"/>
          <w:highlight w:val="none"/>
        </w:rPr>
      </w:pPr>
      <w:r>
        <w:rPr>
          <w:rFonts w:hint="eastAsia" w:ascii="宋体" w:hAnsi="宋体"/>
          <w:b/>
          <w:bCs/>
          <w:color w:val="auto"/>
          <w:sz w:val="24"/>
          <w:szCs w:val="24"/>
          <w:highlight w:val="none"/>
        </w:rPr>
        <w:t>条款号：1.4.2             修改类型：修改</w:t>
      </w:r>
    </w:p>
    <w:p w14:paraId="0CA7D63C">
      <w:pPr>
        <w:spacing w:line="360" w:lineRule="auto"/>
        <w:ind w:firstLine="482" w:firstLineChars="200"/>
        <w:jc w:val="left"/>
        <w:rPr>
          <w:rFonts w:hint="eastAsia"/>
          <w:color w:val="auto"/>
          <w:sz w:val="24"/>
          <w:highlight w:val="none"/>
        </w:rPr>
      </w:pPr>
      <w:r>
        <w:rPr>
          <w:rFonts w:hint="eastAsia"/>
          <w:b/>
          <w:color w:val="auto"/>
          <w:sz w:val="24"/>
          <w:highlight w:val="none"/>
        </w:rPr>
        <w:t>原文：</w:t>
      </w:r>
      <w:r>
        <w:rPr>
          <w:rFonts w:hint="eastAsia"/>
          <w:color w:val="auto"/>
          <w:sz w:val="24"/>
          <w:highlight w:val="none"/>
        </w:rPr>
        <w:t>1.4.2 投标人须知前附表规定接受联合体投标的，联合体除应符合本章第 1.4.1 项和投标人须知前附表的要求外，还应遵守以下规定：</w:t>
      </w:r>
    </w:p>
    <w:p w14:paraId="7838556D">
      <w:pPr>
        <w:spacing w:line="360" w:lineRule="auto"/>
        <w:ind w:firstLine="480" w:firstLineChars="200"/>
        <w:jc w:val="left"/>
        <w:rPr>
          <w:rFonts w:hint="eastAsia"/>
          <w:color w:val="auto"/>
          <w:sz w:val="24"/>
          <w:highlight w:val="none"/>
        </w:rPr>
      </w:pPr>
      <w:r>
        <w:rPr>
          <w:rFonts w:hint="eastAsia"/>
          <w:color w:val="auto"/>
          <w:sz w:val="24"/>
          <w:highlight w:val="none"/>
        </w:rPr>
        <w:t>（1）联合体各方应按招标文件提供的格式签订联合体协议书，明确联合体主办方和各方权利义务，并承诺就中标项目向招标人承担连带责任；</w:t>
      </w:r>
    </w:p>
    <w:p w14:paraId="67A927E6">
      <w:pPr>
        <w:spacing w:line="360" w:lineRule="auto"/>
        <w:ind w:firstLine="480" w:firstLineChars="200"/>
        <w:jc w:val="left"/>
        <w:rPr>
          <w:rFonts w:hint="eastAsia"/>
          <w:color w:val="auto"/>
          <w:sz w:val="24"/>
          <w:highlight w:val="none"/>
        </w:rPr>
      </w:pPr>
      <w:r>
        <w:rPr>
          <w:rFonts w:hint="eastAsia"/>
          <w:color w:val="auto"/>
          <w:sz w:val="24"/>
          <w:highlight w:val="none"/>
        </w:rPr>
        <w:t>（2）由同一专业的单位组成的联合体，按照资质等级较低的单位确定资质等级；</w:t>
      </w:r>
    </w:p>
    <w:p w14:paraId="033D0C77">
      <w:pPr>
        <w:spacing w:line="360" w:lineRule="auto"/>
        <w:ind w:firstLine="480" w:firstLineChars="200"/>
        <w:jc w:val="left"/>
        <w:rPr>
          <w:rFonts w:hint="eastAsia"/>
          <w:color w:val="auto"/>
          <w:sz w:val="24"/>
          <w:highlight w:val="none"/>
        </w:rPr>
      </w:pPr>
      <w:r>
        <w:rPr>
          <w:rFonts w:hint="eastAsia"/>
          <w:color w:val="auto"/>
          <w:sz w:val="24"/>
          <w:highlight w:val="none"/>
        </w:rPr>
        <w:t>（3）联合体各方不得再以自己名义单独或参加其他联合体在本招标项目中投标，否则各相关投标均无效。</w:t>
      </w:r>
    </w:p>
    <w:p w14:paraId="4B3B8694">
      <w:pPr>
        <w:pBdr>
          <w:bottom w:val="single" w:color="auto" w:sz="6" w:space="1"/>
        </w:pBdr>
        <w:spacing w:line="276" w:lineRule="auto"/>
        <w:ind w:firstLine="540" w:firstLineChars="224"/>
        <w:rPr>
          <w:rFonts w:hint="eastAsia" w:ascii="宋体" w:hAnsi="宋体" w:cs="宋体"/>
          <w:bCs/>
          <w:color w:val="auto"/>
          <w:sz w:val="24"/>
          <w:highlight w:val="none"/>
        </w:rPr>
      </w:pPr>
      <w:r>
        <w:rPr>
          <w:rFonts w:hint="eastAsia" w:ascii="宋体" w:hAnsi="宋体"/>
          <w:b/>
          <w:bCs/>
          <w:color w:val="auto"/>
          <w:sz w:val="24"/>
          <w:szCs w:val="24"/>
          <w:highlight w:val="none"/>
        </w:rPr>
        <w:t>现文：</w:t>
      </w:r>
      <w:r>
        <w:rPr>
          <w:rFonts w:hint="eastAsia" w:ascii="宋体" w:hAnsi="宋体" w:cs="宋体"/>
          <w:bCs/>
          <w:color w:val="auto"/>
          <w:sz w:val="24"/>
          <w:highlight w:val="none"/>
          <w:u w:val="single"/>
        </w:rPr>
        <w:t>1.4.2 本次招标不接受联合体投标。</w:t>
      </w:r>
    </w:p>
    <w:p w14:paraId="5EC66F70">
      <w:pPr>
        <w:spacing w:line="480" w:lineRule="auto"/>
        <w:ind w:firstLine="540" w:firstLineChars="224"/>
        <w:rPr>
          <w:rFonts w:hint="eastAsia" w:ascii="宋体" w:hAnsi="宋体"/>
          <w:b/>
          <w:color w:val="auto"/>
          <w:sz w:val="24"/>
          <w:szCs w:val="24"/>
          <w:highlight w:val="none"/>
        </w:rPr>
      </w:pPr>
      <w:r>
        <w:rPr>
          <w:rFonts w:hint="eastAsia" w:ascii="宋体" w:hAnsi="宋体"/>
          <w:b/>
          <w:color w:val="auto"/>
          <w:sz w:val="24"/>
          <w:szCs w:val="24"/>
          <w:highlight w:val="none"/>
        </w:rPr>
        <w:t>条款号：1.4.4                          修改类型：增加</w:t>
      </w:r>
    </w:p>
    <w:p w14:paraId="217B31B9">
      <w:pPr>
        <w:spacing w:line="360" w:lineRule="auto"/>
        <w:ind w:firstLine="482" w:firstLineChars="200"/>
        <w:jc w:val="left"/>
        <w:rPr>
          <w:rFonts w:hint="eastAsia" w:ascii="宋体" w:hAnsi="宋体"/>
          <w:color w:val="auto"/>
          <w:sz w:val="24"/>
          <w:szCs w:val="24"/>
          <w:highlight w:val="none"/>
        </w:rPr>
      </w:pPr>
      <w:r>
        <w:rPr>
          <w:rFonts w:hint="eastAsia"/>
          <w:b/>
          <w:color w:val="auto"/>
          <w:sz w:val="24"/>
          <w:highlight w:val="none"/>
        </w:rPr>
        <w:t>现文：</w:t>
      </w:r>
      <w:r>
        <w:rPr>
          <w:rFonts w:hint="eastAsia" w:ascii="宋体" w:hAnsi="宋体"/>
          <w:bCs/>
          <w:color w:val="auto"/>
          <w:sz w:val="24"/>
          <w:szCs w:val="24"/>
          <w:highlight w:val="none"/>
        </w:rPr>
        <w:t>1.4.4单位负责人为同一人或者存在控股、管理关系的不同单位，不得同时参加本招标项目投标。</w:t>
      </w:r>
    </w:p>
    <w:p w14:paraId="58BCAB3D">
      <w:pPr>
        <w:pBdr>
          <w:bottom w:val="single" w:color="auto" w:sz="6" w:space="1"/>
        </w:pBdr>
        <w:spacing w:line="276" w:lineRule="auto"/>
        <w:rPr>
          <w:rFonts w:hint="eastAsia" w:ascii="宋体" w:hAnsi="宋体" w:cs="宋体"/>
          <w:bCs/>
          <w:color w:val="auto"/>
          <w:sz w:val="24"/>
          <w:highlight w:val="none"/>
        </w:rPr>
      </w:pPr>
    </w:p>
    <w:p w14:paraId="7FF49D46">
      <w:pPr>
        <w:spacing w:line="480" w:lineRule="auto"/>
        <w:ind w:firstLine="540" w:firstLineChars="224"/>
        <w:rPr>
          <w:rFonts w:hint="eastAsia" w:ascii="宋体" w:hAnsi="宋体"/>
          <w:b/>
          <w:color w:val="auto"/>
          <w:sz w:val="24"/>
          <w:szCs w:val="24"/>
          <w:highlight w:val="none"/>
        </w:rPr>
      </w:pPr>
      <w:r>
        <w:rPr>
          <w:rFonts w:hint="eastAsia" w:ascii="宋体" w:hAnsi="宋体"/>
          <w:b/>
          <w:color w:val="auto"/>
          <w:sz w:val="24"/>
          <w:szCs w:val="24"/>
          <w:highlight w:val="none"/>
        </w:rPr>
        <w:t>条款号：1.4.5                          修改类型：增加</w:t>
      </w:r>
    </w:p>
    <w:p w14:paraId="3D29D60C">
      <w:pPr>
        <w:spacing w:line="360" w:lineRule="auto"/>
        <w:ind w:firstLine="482" w:firstLineChars="200"/>
        <w:jc w:val="left"/>
        <w:rPr>
          <w:rFonts w:ascii="宋体" w:hAnsi="宋体"/>
          <w:bCs/>
          <w:color w:val="auto"/>
          <w:sz w:val="24"/>
          <w:szCs w:val="24"/>
          <w:highlight w:val="none"/>
        </w:rPr>
      </w:pPr>
      <w:r>
        <w:rPr>
          <w:rFonts w:hint="eastAsia"/>
          <w:b/>
          <w:color w:val="auto"/>
          <w:sz w:val="24"/>
          <w:highlight w:val="none"/>
        </w:rPr>
        <w:t>现文：</w:t>
      </w:r>
    </w:p>
    <w:p w14:paraId="19A5B253">
      <w:pPr>
        <w:spacing w:line="36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投标人未被列入“在一定期限内依法取消参加依法必须进行招标的项目的投标资格”，具体名单以递交投标文件截止时间“信用广州”公布的“黑名单”为准。</w:t>
      </w:r>
    </w:p>
    <w:p w14:paraId="67CF95D2">
      <w:pPr>
        <w:spacing w:line="360" w:lineRule="auto"/>
        <w:ind w:firstLine="480" w:firstLineChars="200"/>
        <w:jc w:val="left"/>
        <w:rPr>
          <w:rFonts w:hint="eastAsia" w:ascii="宋体" w:hAnsi="宋体"/>
          <w:color w:val="auto"/>
          <w:sz w:val="24"/>
          <w:szCs w:val="24"/>
          <w:highlight w:val="none"/>
        </w:rPr>
      </w:pPr>
      <w:r>
        <w:rPr>
          <w:rFonts w:hint="eastAsia" w:ascii="宋体" w:hAnsi="宋体"/>
          <w:bCs/>
          <w:color w:val="auto"/>
          <w:sz w:val="24"/>
          <w:szCs w:val="24"/>
          <w:highlight w:val="none"/>
        </w:rPr>
        <w:t>注：《全国失信惩戒措施清单基础清单》（2024版）。</w:t>
      </w:r>
    </w:p>
    <w:p w14:paraId="290C8287">
      <w:pPr>
        <w:pBdr>
          <w:bottom w:val="single" w:color="auto" w:sz="4" w:space="0"/>
        </w:pBdr>
        <w:ind w:firstLine="420" w:firstLineChars="200"/>
        <w:rPr>
          <w:color w:val="auto"/>
          <w:highlight w:val="none"/>
        </w:rPr>
      </w:pPr>
    </w:p>
    <w:p w14:paraId="4AB86EBC">
      <w:pPr>
        <w:spacing w:line="360" w:lineRule="auto"/>
        <w:ind w:firstLine="482" w:firstLineChars="200"/>
        <w:rPr>
          <w:rFonts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条款号：2.2           修改类型：修改</w:t>
      </w:r>
    </w:p>
    <w:p w14:paraId="5D2F0E00">
      <w:pPr>
        <w:spacing w:line="360" w:lineRule="auto"/>
        <w:ind w:firstLine="482" w:firstLineChars="200"/>
        <w:contextualSpacing/>
        <w:rPr>
          <w:rFonts w:ascii="宋体" w:hAnsi="宋体"/>
          <w:bCs/>
          <w:color w:val="auto"/>
          <w:sz w:val="24"/>
          <w:highlight w:val="none"/>
        </w:rPr>
      </w:pPr>
      <w:r>
        <w:rPr>
          <w:rFonts w:hint="eastAsia" w:ascii="宋体" w:hAnsi="宋体"/>
          <w:b/>
          <w:bCs/>
          <w:color w:val="auto"/>
          <w:sz w:val="24"/>
          <w:highlight w:val="none"/>
        </w:rPr>
        <w:t>原文：</w:t>
      </w:r>
    </w:p>
    <w:p w14:paraId="7535DB73">
      <w:pPr>
        <w:spacing w:line="360" w:lineRule="auto"/>
        <w:ind w:firstLine="480" w:firstLineChars="200"/>
        <w:contextualSpacing/>
        <w:rPr>
          <w:rFonts w:ascii="宋体" w:hAnsi="宋体"/>
          <w:bCs/>
          <w:color w:val="auto"/>
          <w:sz w:val="24"/>
          <w:highlight w:val="none"/>
        </w:rPr>
      </w:pPr>
      <w:r>
        <w:rPr>
          <w:rFonts w:ascii="宋体" w:hAnsi="宋体"/>
          <w:bCs/>
          <w:color w:val="auto"/>
          <w:sz w:val="24"/>
          <w:highlight w:val="none"/>
        </w:rPr>
        <w:t>2.2.1 招标答疑采用网上答疑方式进行。投标人若对招标文件（包括招标图纸、清单、招标控制价）有疑问的，</w:t>
      </w:r>
      <w:r>
        <w:rPr>
          <w:rFonts w:hint="eastAsia" w:ascii="宋体" w:hAnsi="宋体"/>
          <w:bCs/>
          <w:color w:val="auto"/>
          <w:sz w:val="24"/>
          <w:highlight w:val="none"/>
        </w:rPr>
        <w:t>通过</w:t>
      </w:r>
      <w:r>
        <w:rPr>
          <w:rFonts w:hint="eastAsia" w:ascii="宋体" w:hAnsi="宋体" w:cs="宋体"/>
          <w:bCs/>
          <w:color w:val="auto"/>
          <w:sz w:val="24"/>
          <w:highlight w:val="none"/>
          <w:u w:val="single"/>
        </w:rPr>
        <w:t>广州交易集团有限公司（广州公共资源交易中心）</w:t>
      </w:r>
      <w:r>
        <w:rPr>
          <w:rFonts w:hint="eastAsia" w:ascii="宋体" w:hAnsi="宋体" w:cs="宋体"/>
          <w:bCs/>
          <w:color w:val="auto"/>
          <w:sz w:val="24"/>
          <w:highlight w:val="none"/>
        </w:rPr>
        <w:t>网站提交，</w:t>
      </w:r>
      <w:r>
        <w:rPr>
          <w:rFonts w:hint="eastAsia" w:ascii="宋体" w:hAnsi="宋体"/>
          <w:bCs/>
          <w:color w:val="auto"/>
          <w:sz w:val="24"/>
          <w:highlight w:val="none"/>
        </w:rPr>
        <w:t>应按照</w:t>
      </w:r>
      <w:r>
        <w:rPr>
          <w:rFonts w:hint="eastAsia" w:ascii="宋体" w:hAnsi="宋体"/>
          <w:color w:val="auto"/>
          <w:sz w:val="24"/>
          <w:szCs w:val="24"/>
          <w:highlight w:val="none"/>
        </w:rPr>
        <w:t>广州交易集团有限公司（广州公共资源交易中心）网站关于全流程电子化项目的相关指南进行操作</w:t>
      </w:r>
      <w:r>
        <w:rPr>
          <w:rFonts w:hint="eastAsia" w:ascii="宋体" w:hAnsi="宋体"/>
          <w:bCs/>
          <w:color w:val="auto"/>
          <w:sz w:val="24"/>
          <w:highlight w:val="none"/>
        </w:rPr>
        <w:t>。提问一律不得署名。</w:t>
      </w:r>
    </w:p>
    <w:p w14:paraId="5FE5B806">
      <w:pPr>
        <w:spacing w:line="360" w:lineRule="auto"/>
        <w:ind w:firstLine="480" w:firstLineChars="200"/>
        <w:contextualSpacing/>
        <w:rPr>
          <w:rFonts w:ascii="宋体" w:hAnsi="宋体"/>
          <w:bCs/>
          <w:color w:val="auto"/>
          <w:sz w:val="24"/>
          <w:highlight w:val="none"/>
        </w:rPr>
      </w:pPr>
      <w:r>
        <w:rPr>
          <w:rFonts w:ascii="宋体" w:hAnsi="宋体"/>
          <w:bCs/>
          <w:color w:val="auto"/>
          <w:sz w:val="24"/>
          <w:highlight w:val="none"/>
        </w:rPr>
        <w:t>2.2.2</w:t>
      </w:r>
      <w:r>
        <w:rPr>
          <w:rFonts w:hint="eastAsia" w:ascii="宋体" w:hAnsi="宋体"/>
          <w:bCs/>
          <w:color w:val="auto"/>
          <w:sz w:val="24"/>
          <w:highlight w:val="none"/>
        </w:rPr>
        <w:t>招标答疑会会议纪要将在提交投标文件截止时间 15 日前在</w:t>
      </w:r>
      <w:r>
        <w:rPr>
          <w:rFonts w:hint="eastAsia" w:ascii="宋体" w:hAnsi="宋体"/>
          <w:bCs/>
          <w:color w:val="auto"/>
          <w:sz w:val="24"/>
          <w:highlight w:val="none"/>
          <w:u w:val="single"/>
        </w:rPr>
        <w:t>广州交易集团有限公司（广州公共资源交易中心）</w:t>
      </w:r>
      <w:r>
        <w:rPr>
          <w:rFonts w:hint="eastAsia" w:ascii="宋体" w:hAnsi="宋体"/>
          <w:bCs/>
          <w:color w:val="auto"/>
          <w:sz w:val="24"/>
          <w:highlight w:val="none"/>
        </w:rPr>
        <w:t>网站“项目答疑纪要”专区公开发布。答疑纪要一经在</w:t>
      </w:r>
      <w:r>
        <w:rPr>
          <w:rFonts w:hint="eastAsia" w:ascii="宋体" w:hAnsi="宋体"/>
          <w:bCs/>
          <w:color w:val="auto"/>
          <w:sz w:val="24"/>
          <w:highlight w:val="none"/>
          <w:u w:val="single"/>
        </w:rPr>
        <w:t>广州交易集团有限公司（广州公共资源交易中心）</w:t>
      </w:r>
      <w:r>
        <w:rPr>
          <w:rFonts w:hint="eastAsia" w:ascii="宋体" w:hAnsi="宋体"/>
          <w:bCs/>
          <w:color w:val="auto"/>
          <w:sz w:val="24"/>
          <w:highlight w:val="none"/>
        </w:rPr>
        <w:t>网站发布，视作已发放给所有投标人。</w:t>
      </w:r>
    </w:p>
    <w:p w14:paraId="73E0228E">
      <w:pPr>
        <w:spacing w:line="360" w:lineRule="auto"/>
        <w:ind w:firstLine="480" w:firstLineChars="200"/>
        <w:rPr>
          <w:rFonts w:ascii="宋体" w:hAnsi="宋体"/>
          <w:color w:val="auto"/>
          <w:sz w:val="24"/>
          <w:highlight w:val="none"/>
        </w:rPr>
      </w:pPr>
      <w:r>
        <w:rPr>
          <w:rFonts w:ascii="宋体" w:hAnsi="宋体"/>
          <w:color w:val="auto"/>
          <w:sz w:val="24"/>
          <w:highlight w:val="none"/>
        </w:rPr>
        <w:t>2.2.</w:t>
      </w:r>
      <w:r>
        <w:rPr>
          <w:rFonts w:hint="eastAsia" w:ascii="宋体" w:hAnsi="宋体"/>
          <w:color w:val="auto"/>
          <w:sz w:val="24"/>
          <w:highlight w:val="none"/>
        </w:rPr>
        <w:t>3招标答疑纪要为招标文件的一部分。</w:t>
      </w:r>
    </w:p>
    <w:p w14:paraId="40EAE27F">
      <w:pPr>
        <w:spacing w:line="360" w:lineRule="auto"/>
        <w:ind w:firstLine="480" w:firstLineChars="200"/>
        <w:contextualSpacing/>
        <w:rPr>
          <w:rFonts w:hint="eastAsia" w:ascii="宋体" w:hAnsi="宋体"/>
          <w:b/>
          <w:bCs/>
          <w:color w:val="auto"/>
          <w:sz w:val="24"/>
          <w:highlight w:val="none"/>
        </w:rPr>
      </w:pPr>
      <w:r>
        <w:rPr>
          <w:rFonts w:ascii="宋体" w:hAnsi="宋体"/>
          <w:color w:val="auto"/>
          <w:sz w:val="24"/>
          <w:highlight w:val="none"/>
        </w:rPr>
        <w:t>2.2.</w:t>
      </w:r>
      <w:r>
        <w:rPr>
          <w:rFonts w:hint="eastAsia" w:ascii="宋体" w:hAnsi="宋体"/>
          <w:color w:val="auto"/>
          <w:sz w:val="24"/>
          <w:highlight w:val="none"/>
        </w:rPr>
        <w:t>4若招标答疑会会议纪要与招标文件有矛盾时，以</w:t>
      </w:r>
      <w:r>
        <w:rPr>
          <w:rFonts w:hint="eastAsia" w:ascii="宋体" w:hAnsi="宋体" w:cs="宋体"/>
          <w:bCs/>
          <w:color w:val="auto"/>
          <w:sz w:val="24"/>
          <w:highlight w:val="none"/>
          <w:u w:val="single"/>
        </w:rPr>
        <w:t>广州交易集团有限公司（广州公共资源交易中心）</w:t>
      </w:r>
      <w:r>
        <w:rPr>
          <w:rFonts w:hint="eastAsia" w:ascii="宋体" w:hAnsi="宋体" w:cs="宋体"/>
          <w:bCs/>
          <w:color w:val="auto"/>
          <w:sz w:val="24"/>
          <w:highlight w:val="none"/>
        </w:rPr>
        <w:t>网站</w:t>
      </w:r>
      <w:r>
        <w:rPr>
          <w:rFonts w:hint="eastAsia" w:ascii="宋体" w:hAnsi="宋体"/>
          <w:color w:val="auto"/>
          <w:sz w:val="24"/>
          <w:highlight w:val="none"/>
        </w:rPr>
        <w:t>最后发布的答疑纪要为准</w:t>
      </w:r>
      <w:r>
        <w:rPr>
          <w:rFonts w:hint="eastAsia" w:ascii="宋体" w:hAnsi="宋体"/>
          <w:color w:val="auto"/>
          <w:kern w:val="0"/>
          <w:sz w:val="24"/>
          <w:szCs w:val="20"/>
          <w:highlight w:val="none"/>
        </w:rPr>
        <w:t>。</w:t>
      </w:r>
    </w:p>
    <w:p w14:paraId="4E22A446">
      <w:pPr>
        <w:spacing w:line="360" w:lineRule="auto"/>
        <w:ind w:firstLine="482" w:firstLineChars="200"/>
        <w:contextualSpacing/>
        <w:rPr>
          <w:rFonts w:hint="eastAsia" w:ascii="宋体" w:hAnsi="宋体"/>
          <w:b/>
          <w:bCs/>
          <w:color w:val="auto"/>
          <w:sz w:val="24"/>
          <w:highlight w:val="none"/>
        </w:rPr>
      </w:pPr>
      <w:r>
        <w:rPr>
          <w:rFonts w:hint="eastAsia" w:ascii="宋体" w:hAnsi="宋体"/>
          <w:b/>
          <w:bCs/>
          <w:color w:val="auto"/>
          <w:sz w:val="24"/>
          <w:highlight w:val="none"/>
        </w:rPr>
        <w:t>现文：</w:t>
      </w:r>
    </w:p>
    <w:p w14:paraId="08A10BED">
      <w:pPr>
        <w:spacing w:line="360" w:lineRule="auto"/>
        <w:ind w:firstLine="480" w:firstLineChars="200"/>
        <w:rPr>
          <w:rFonts w:ascii="宋体" w:hAnsi="宋体" w:cs="宋体"/>
          <w:color w:val="auto"/>
          <w:sz w:val="24"/>
          <w:highlight w:val="none"/>
        </w:rPr>
      </w:pPr>
      <w:r>
        <w:rPr>
          <w:rFonts w:hint="eastAsia" w:ascii="宋体" w:hAnsi="宋体"/>
          <w:bCs/>
          <w:color w:val="auto"/>
          <w:sz w:val="24"/>
          <w:highlight w:val="none"/>
        </w:rPr>
        <w:t>2.2.1</w:t>
      </w:r>
      <w:r>
        <w:rPr>
          <w:rFonts w:hint="eastAsia" w:ascii="宋体" w:hAnsi="宋体" w:cs="宋体"/>
          <w:color w:val="auto"/>
          <w:sz w:val="24"/>
          <w:highlight w:val="none"/>
        </w:rPr>
        <w:t>招标答疑采用网上答疑方式进行。投标人若对招标文件（包括招标图纸、清单、</w:t>
      </w:r>
      <w:r>
        <w:rPr>
          <w:rFonts w:hint="eastAsia" w:ascii="宋体" w:hAnsi="宋体"/>
          <w:bCs/>
          <w:color w:val="auto"/>
          <w:sz w:val="24"/>
          <w:highlight w:val="none"/>
          <w:u w:val="single"/>
        </w:rPr>
        <w:t>最高投标限价公布函</w:t>
      </w:r>
      <w:r>
        <w:rPr>
          <w:rFonts w:hint="eastAsia" w:ascii="宋体" w:hAnsi="宋体" w:cs="宋体"/>
          <w:color w:val="auto"/>
          <w:sz w:val="24"/>
          <w:highlight w:val="none"/>
        </w:rPr>
        <w:t>、</w:t>
      </w:r>
      <w:r>
        <w:rPr>
          <w:rFonts w:hint="eastAsia" w:ascii="宋体" w:hAnsi="宋体" w:cs="宋体"/>
          <w:color w:val="auto"/>
          <w:sz w:val="24"/>
          <w:highlight w:val="none"/>
          <w:u w:val="single"/>
        </w:rPr>
        <w:t>合同条款</w:t>
      </w:r>
      <w:r>
        <w:rPr>
          <w:rFonts w:hint="eastAsia" w:ascii="宋体" w:hAnsi="宋体" w:cs="宋体"/>
          <w:color w:val="auto"/>
          <w:sz w:val="24"/>
          <w:highlight w:val="none"/>
        </w:rPr>
        <w:t>）有疑问的，可在规定的时间内通过</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rPr>
        <w:t>网站进入提问，提交问题时一律不得署名。</w:t>
      </w:r>
    </w:p>
    <w:p w14:paraId="399F1B8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网上答疑的操作指南为：</w:t>
      </w:r>
      <w:r>
        <w:rPr>
          <w:rFonts w:hint="eastAsia" w:ascii="宋体" w:hAnsi="宋体" w:cs="宋体"/>
          <w:color w:val="auto"/>
          <w:sz w:val="24"/>
          <w:highlight w:val="none"/>
          <w:u w:val="single"/>
        </w:rPr>
        <w:t>投标人登陆</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u w:val="single"/>
        </w:rPr>
        <w:t>网站→进入“我是投标人”→进入“新建设工程交易平台”→进入“我的投标”→进入“招标答疑疑问”→通过项目编号或名称找到所需的项目→在上述的答疑时间内点击“答疑提问”进入到提问区域→无记名或匿名提出问题以及查看所有的问题。</w:t>
      </w:r>
    </w:p>
    <w:p w14:paraId="11E3163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2.2.2答疑纪要一经在</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u w:val="single"/>
        </w:rPr>
        <w:t>网站</w:t>
      </w:r>
      <w:r>
        <w:rPr>
          <w:rFonts w:hint="eastAsia" w:ascii="宋体" w:hAnsi="宋体" w:cs="宋体"/>
          <w:color w:val="auto"/>
          <w:sz w:val="24"/>
          <w:highlight w:val="none"/>
        </w:rPr>
        <w:t>发布，视作已发放给所有投标人。</w:t>
      </w:r>
    </w:p>
    <w:p w14:paraId="2C2BD12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2.2.3招标答疑纪要为招标文件的一部分。</w:t>
      </w:r>
    </w:p>
    <w:p w14:paraId="5FFE4F4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2.2.4若招标答疑纪要与招标文件有矛盾时，以</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u w:val="single"/>
        </w:rPr>
        <w:t>网站</w:t>
      </w:r>
      <w:r>
        <w:rPr>
          <w:rFonts w:hint="eastAsia" w:ascii="宋体" w:hAnsi="宋体" w:cs="宋体"/>
          <w:color w:val="auto"/>
          <w:sz w:val="24"/>
          <w:highlight w:val="none"/>
        </w:rPr>
        <w:t>最后发布的答疑纪要为准。</w:t>
      </w:r>
    </w:p>
    <w:p w14:paraId="4CE6D646">
      <w:pPr>
        <w:pBdr>
          <w:bottom w:val="single" w:color="auto" w:sz="6" w:space="1"/>
        </w:pBdr>
        <w:spacing w:line="360" w:lineRule="auto"/>
        <w:ind w:firstLine="480" w:firstLineChars="200"/>
        <w:rPr>
          <w:rFonts w:ascii="宋体" w:hAnsi="宋体"/>
          <w:color w:val="auto"/>
          <w:sz w:val="24"/>
          <w:szCs w:val="24"/>
          <w:highlight w:val="none"/>
        </w:rPr>
      </w:pPr>
      <w:r>
        <w:rPr>
          <w:rFonts w:hint="eastAsia" w:ascii="宋体" w:hAnsi="宋体" w:cs="宋体"/>
          <w:color w:val="auto"/>
          <w:sz w:val="24"/>
          <w:highlight w:val="none"/>
          <w:u w:val="single"/>
        </w:rPr>
        <w:t>2.2.5投标人应在投标截止时间前18日停止提问。招标人应在投标截止时间15日前解答投标人对招标文件提出的疑问，形成答疑纪要，在</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u w:val="single"/>
        </w:rPr>
        <w:t>网站“项目查询（日程安排、答疑纪要）”专区发布。</w:t>
      </w:r>
    </w:p>
    <w:p w14:paraId="72AED41E">
      <w:pPr>
        <w:spacing w:line="360" w:lineRule="auto"/>
        <w:ind w:firstLine="482" w:firstLineChars="200"/>
        <w:rPr>
          <w:rFonts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条款号：3.1                      修改类型：修改</w:t>
      </w:r>
    </w:p>
    <w:p w14:paraId="6AF4A297">
      <w:pPr>
        <w:spacing w:line="360" w:lineRule="auto"/>
        <w:ind w:firstLine="482" w:firstLineChars="200"/>
        <w:rPr>
          <w:rFonts w:hint="eastAsia" w:ascii="宋体" w:hAnsi="宋体"/>
          <w:bCs/>
          <w:color w:val="auto"/>
          <w:sz w:val="24"/>
          <w:szCs w:val="24"/>
          <w:highlight w:val="none"/>
        </w:rPr>
      </w:pPr>
      <w:r>
        <w:rPr>
          <w:rFonts w:hint="eastAsia" w:ascii="宋体" w:hAnsi="宋体"/>
          <w:b/>
          <w:color w:val="auto"/>
          <w:sz w:val="24"/>
          <w:szCs w:val="24"/>
          <w:highlight w:val="none"/>
        </w:rPr>
        <w:t>原文：</w:t>
      </w:r>
      <w:r>
        <w:rPr>
          <w:rFonts w:hint="eastAsia" w:ascii="宋体" w:hAnsi="宋体"/>
          <w:bCs/>
          <w:color w:val="auto"/>
          <w:sz w:val="24"/>
          <w:szCs w:val="24"/>
          <w:highlight w:val="none"/>
        </w:rPr>
        <w:t>3.1投标文件的组成</w:t>
      </w:r>
    </w:p>
    <w:p w14:paraId="1576999B">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投标文件应包括下列内容：</w:t>
      </w:r>
    </w:p>
    <w:p w14:paraId="08525986">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（1）投标函及投标函附录；</w:t>
      </w:r>
    </w:p>
    <w:p w14:paraId="42B48E0C">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（2）法定代表人身份证明或附有法定代表人身份证明的授权委托书；</w:t>
      </w:r>
    </w:p>
    <w:p w14:paraId="039DD683">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（3）联合体协议书（注：非联合体投标无需提交）；</w:t>
      </w:r>
    </w:p>
    <w:p w14:paraId="26DF9D99">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（4）投标保证金（若有）；</w:t>
      </w:r>
    </w:p>
    <w:p w14:paraId="3CCAAF55">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（5）已标价工程量清单（采用综合评估法三的，不用提交）；</w:t>
      </w:r>
    </w:p>
    <w:p w14:paraId="7712796E">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 xml:space="preserve">（6）施工组织设计（不要求技术标的可不编制，提交施工组织设计要点；投标人在编制施工组织设计或施工方案时应按照招标人提出的施工现场建筑垃圾源头减量的具体要求以及建筑垃圾综合利用产品的使用要求提供相应措施）； </w:t>
      </w:r>
    </w:p>
    <w:p w14:paraId="09AC6550">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（7）项目管理机构；</w:t>
      </w:r>
    </w:p>
    <w:p w14:paraId="25BB7210">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（8）资格审查资料；</w:t>
      </w:r>
    </w:p>
    <w:p w14:paraId="0BCB008B">
      <w:pPr>
        <w:spacing w:line="360" w:lineRule="auto"/>
        <w:ind w:firstLine="480" w:firstLineChars="200"/>
        <w:rPr>
          <w:rFonts w:ascii="宋体" w:hAnsi="宋体"/>
          <w:bCs/>
          <w:color w:val="auto"/>
          <w:sz w:val="24"/>
          <w:highlight w:val="none"/>
        </w:rPr>
      </w:pPr>
      <w:r>
        <w:rPr>
          <w:rFonts w:hint="eastAsia" w:ascii="宋体" w:hAnsi="宋体"/>
          <w:bCs/>
          <w:color w:val="auto"/>
          <w:sz w:val="24"/>
          <w:szCs w:val="24"/>
          <w:highlight w:val="none"/>
        </w:rPr>
        <w:t>（9）其他应提交的材料。</w:t>
      </w:r>
    </w:p>
    <w:p w14:paraId="1AB42FF8">
      <w:pPr>
        <w:spacing w:line="360" w:lineRule="auto"/>
        <w:ind w:firstLine="482" w:firstLineChars="200"/>
        <w:rPr>
          <w:rFonts w:ascii="宋体" w:hAnsi="宋体"/>
          <w:bCs/>
          <w:color w:val="auto"/>
          <w:sz w:val="24"/>
          <w:highlight w:val="none"/>
        </w:rPr>
      </w:pPr>
      <w:r>
        <w:rPr>
          <w:rFonts w:hint="eastAsia" w:ascii="宋体" w:hAnsi="宋体"/>
          <w:b/>
          <w:color w:val="auto"/>
          <w:sz w:val="24"/>
          <w:highlight w:val="none"/>
        </w:rPr>
        <w:t>现文：</w:t>
      </w:r>
    </w:p>
    <w:p w14:paraId="7C4DD61B">
      <w:pPr>
        <w:widowControl/>
        <w:numPr>
          <w:ilvl w:val="0"/>
          <w:numId w:val="7"/>
        </w:numPr>
        <w:spacing w:line="360" w:lineRule="auto"/>
        <w:ind w:left="959"/>
        <w:jc w:val="left"/>
        <w:outlineLvl w:val="2"/>
        <w:rPr>
          <w:rFonts w:ascii="宋体" w:hAnsi="宋体"/>
          <w:bCs/>
          <w:color w:val="auto"/>
          <w:sz w:val="24"/>
          <w:szCs w:val="24"/>
          <w:highlight w:val="none"/>
        </w:rPr>
      </w:pPr>
      <w:bookmarkStart w:id="7" w:name="_Toc180758507"/>
      <w:r>
        <w:rPr>
          <w:rFonts w:hint="eastAsia" w:ascii="宋体" w:hAnsi="宋体"/>
          <w:bCs/>
          <w:color w:val="auto"/>
          <w:sz w:val="24"/>
          <w:szCs w:val="24"/>
          <w:highlight w:val="none"/>
        </w:rPr>
        <w:t>投标文件的组成</w:t>
      </w:r>
      <w:bookmarkEnd w:id="7"/>
    </w:p>
    <w:p w14:paraId="0F01BF07">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投标文件应包括下列内容：</w:t>
      </w:r>
    </w:p>
    <w:p w14:paraId="2D8E34F0">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（1）投标函及投标函附录；</w:t>
      </w:r>
    </w:p>
    <w:p w14:paraId="274AE11B">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（2）法定代表人身份证明或附有法定代表人身份证明的授权委托书；</w:t>
      </w:r>
    </w:p>
    <w:p w14:paraId="389B7196">
      <w:pPr>
        <w:spacing w:line="360" w:lineRule="auto"/>
        <w:ind w:firstLine="480" w:firstLineChars="200"/>
        <w:rPr>
          <w:rFonts w:hint="eastAsia" w:ascii="宋体" w:hAnsi="宋体"/>
          <w:strike/>
          <w:color w:val="auto"/>
          <w:kern w:val="0"/>
          <w:sz w:val="24"/>
          <w:szCs w:val="20"/>
          <w:highlight w:val="none"/>
        </w:rPr>
      </w:pPr>
      <w:r>
        <w:rPr>
          <w:rFonts w:hint="eastAsia" w:ascii="宋体" w:hAnsi="宋体"/>
          <w:strike/>
          <w:color w:val="auto"/>
          <w:kern w:val="0"/>
          <w:sz w:val="24"/>
          <w:szCs w:val="20"/>
          <w:highlight w:val="none"/>
        </w:rPr>
        <w:t>（3）联合体协议书（注：非联合体投标无需提交）；</w:t>
      </w:r>
    </w:p>
    <w:p w14:paraId="4652E423">
      <w:pPr>
        <w:spacing w:line="360" w:lineRule="auto"/>
        <w:ind w:firstLine="480" w:firstLineChars="200"/>
        <w:rPr>
          <w:rFonts w:hint="eastAsia" w:ascii="宋体" w:hAnsi="宋体"/>
          <w:strike/>
          <w:color w:val="auto"/>
          <w:kern w:val="0"/>
          <w:sz w:val="24"/>
          <w:szCs w:val="20"/>
          <w:highlight w:val="none"/>
        </w:rPr>
      </w:pPr>
      <w:r>
        <w:rPr>
          <w:rFonts w:hint="eastAsia" w:ascii="宋体" w:hAnsi="宋体"/>
          <w:strike/>
          <w:color w:val="auto"/>
          <w:kern w:val="0"/>
          <w:sz w:val="24"/>
          <w:szCs w:val="20"/>
          <w:highlight w:val="none"/>
        </w:rPr>
        <w:t>（4）投标保证金（若有）；</w:t>
      </w:r>
    </w:p>
    <w:p w14:paraId="7DFA75BD">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（5）已标价工程量清单</w:t>
      </w:r>
      <w:r>
        <w:rPr>
          <w:rFonts w:hint="eastAsia" w:ascii="宋体" w:hAnsi="宋体"/>
          <w:strike/>
          <w:color w:val="auto"/>
          <w:kern w:val="0"/>
          <w:sz w:val="24"/>
          <w:szCs w:val="20"/>
          <w:highlight w:val="none"/>
        </w:rPr>
        <w:t>（采用综合评估法三的，不用提交）</w:t>
      </w:r>
      <w:r>
        <w:rPr>
          <w:rFonts w:hint="eastAsia" w:ascii="宋体" w:hAnsi="宋体"/>
          <w:color w:val="auto"/>
          <w:kern w:val="0"/>
          <w:sz w:val="24"/>
          <w:szCs w:val="20"/>
          <w:highlight w:val="none"/>
        </w:rPr>
        <w:t>；</w:t>
      </w:r>
    </w:p>
    <w:p w14:paraId="5B6F0139">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 xml:space="preserve">（6）施工组织设计（不要求技术标的可不编制，提交施工组织设计要点；投标人在编制施工组织设计或施工方案时应按照招标人提出的施工现场建筑垃圾源头减量的具体要求以及建筑垃圾综合利用产品的使用要求提供相应措施）； </w:t>
      </w:r>
    </w:p>
    <w:p w14:paraId="7852C033">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（7）项目管理机构；</w:t>
      </w:r>
    </w:p>
    <w:p w14:paraId="1DCFE7A0">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（8）资格审查资料；</w:t>
      </w:r>
    </w:p>
    <w:p w14:paraId="28176624">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（9）投标人声明；</w:t>
      </w:r>
    </w:p>
    <w:p w14:paraId="43402613">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（10）其他应提交的材料。</w:t>
      </w:r>
    </w:p>
    <w:p w14:paraId="213277F0">
      <w:pPr>
        <w:pBdr>
          <w:bottom w:val="single" w:color="auto" w:sz="6" w:space="1"/>
        </w:pBdr>
        <w:rPr>
          <w:rFonts w:ascii="宋体" w:hAnsi="宋体"/>
          <w:color w:val="auto"/>
          <w:sz w:val="24"/>
          <w:szCs w:val="24"/>
          <w:highlight w:val="none"/>
        </w:rPr>
      </w:pPr>
    </w:p>
    <w:p w14:paraId="6930D4C3">
      <w:pPr>
        <w:pBdr>
          <w:bottom w:val="single" w:color="auto" w:sz="4" w:space="0"/>
        </w:pBd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条款号：3.2.2                   修改类型：删除</w:t>
      </w:r>
    </w:p>
    <w:p w14:paraId="008816D4">
      <w:pPr>
        <w:pBdr>
          <w:bottom w:val="single" w:color="auto" w:sz="4" w:space="0"/>
        </w:pBdr>
        <w:spacing w:line="360" w:lineRule="auto"/>
        <w:ind w:firstLine="482" w:firstLineChars="200"/>
        <w:rPr>
          <w:rFonts w:ascii="宋体" w:hAnsi="宋体" w:cs="宋体"/>
          <w:color w:val="auto"/>
          <w:kern w:val="0"/>
          <w:sz w:val="24"/>
          <w:szCs w:val="24"/>
          <w:highlight w:val="none"/>
        </w:rPr>
      </w:pPr>
      <w:r>
        <w:rPr>
          <w:rFonts w:hint="eastAsia" w:ascii="宋体" w:hAnsi="宋体" w:cs="宋体"/>
          <w:b/>
          <w:bCs/>
          <w:color w:val="auto"/>
          <w:sz w:val="24"/>
          <w:szCs w:val="24"/>
          <w:highlight w:val="none"/>
        </w:rPr>
        <w:t>原文：</w:t>
      </w:r>
      <w:r>
        <w:rPr>
          <w:rFonts w:hint="eastAsia" w:ascii="宋体" w:hAnsi="宋体" w:cs="宋体"/>
          <w:color w:val="auto"/>
          <w:kern w:val="0"/>
          <w:sz w:val="24"/>
          <w:szCs w:val="24"/>
          <w:highlight w:val="none"/>
        </w:rPr>
        <w:t>3.2.2投标人在投标截止时间前修改投标函中的投标报价总额，并根据评标办法列明的方法</w:t>
      </w:r>
      <w:r>
        <w:rPr>
          <w:rFonts w:hint="eastAsia" w:ascii="宋体" w:hAnsi="宋体" w:cs="宋体"/>
          <w:color w:val="auto"/>
          <w:sz w:val="24"/>
          <w:szCs w:val="24"/>
          <w:highlight w:val="none"/>
          <w:lang w:bidi="ar"/>
        </w:rPr>
        <w:t>重新</w:t>
      </w:r>
      <w:r>
        <w:rPr>
          <w:rFonts w:hint="eastAsia" w:ascii="宋体" w:hAnsi="宋体" w:cs="宋体"/>
          <w:color w:val="auto"/>
          <w:kern w:val="0"/>
          <w:sz w:val="24"/>
          <w:szCs w:val="24"/>
          <w:highlight w:val="none"/>
        </w:rPr>
        <w:t>计算投标单价下浮率。此修改须符合本章第4.3款的有关要求。（注：适用于综合评估法三）</w:t>
      </w:r>
    </w:p>
    <w:p w14:paraId="227C9F14">
      <w:pPr>
        <w:spacing w:line="360" w:lineRule="auto"/>
        <w:ind w:firstLine="482" w:firstLineChars="200"/>
        <w:rPr>
          <w:rFonts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条款号：3.2.4                    修改类型：修改</w:t>
      </w:r>
    </w:p>
    <w:p w14:paraId="5485F90C">
      <w:pPr>
        <w:spacing w:line="360" w:lineRule="auto"/>
        <w:ind w:firstLine="540" w:firstLineChars="224"/>
        <w:rPr>
          <w:rFonts w:ascii="宋体" w:hAnsi="宋体"/>
          <w:color w:val="auto"/>
          <w:sz w:val="24"/>
          <w:szCs w:val="24"/>
          <w:highlight w:val="none"/>
        </w:rPr>
      </w:pPr>
      <w:r>
        <w:rPr>
          <w:rFonts w:hint="eastAsia" w:ascii="宋体" w:hAnsi="宋体"/>
          <w:b/>
          <w:color w:val="auto"/>
          <w:sz w:val="24"/>
          <w:szCs w:val="24"/>
          <w:highlight w:val="none"/>
        </w:rPr>
        <w:t>原文：</w:t>
      </w:r>
      <w:r>
        <w:rPr>
          <w:rFonts w:hint="eastAsia" w:ascii="宋体" w:hAnsi="宋体"/>
          <w:color w:val="auto"/>
          <w:sz w:val="24"/>
          <w:szCs w:val="24"/>
          <w:highlight w:val="none"/>
        </w:rPr>
        <w:t>3.2.4成本警示价见投标人须知前附表。对低于该警示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示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14:paraId="50E0300F">
      <w:pPr>
        <w:pBdr>
          <w:bottom w:val="single" w:color="auto" w:sz="6" w:space="1"/>
        </w:pBdr>
        <w:spacing w:line="360" w:lineRule="auto"/>
        <w:ind w:firstLine="482" w:firstLineChars="200"/>
        <w:rPr>
          <w:rFonts w:ascii="宋体" w:hAnsi="宋体"/>
          <w:color w:val="auto"/>
          <w:sz w:val="24"/>
          <w:szCs w:val="24"/>
          <w:highlight w:val="none"/>
        </w:rPr>
      </w:pPr>
      <w:r>
        <w:rPr>
          <w:rFonts w:hint="eastAsia" w:ascii="宋体" w:hAnsi="宋体"/>
          <w:b/>
          <w:color w:val="auto"/>
          <w:sz w:val="24"/>
          <w:szCs w:val="24"/>
          <w:highlight w:val="none"/>
        </w:rPr>
        <w:t>现文：</w:t>
      </w:r>
      <w:r>
        <w:rPr>
          <w:rFonts w:hint="eastAsia" w:ascii="宋体" w:hAnsi="宋体"/>
          <w:color w:val="auto"/>
          <w:sz w:val="24"/>
          <w:szCs w:val="24"/>
          <w:highlight w:val="none"/>
        </w:rPr>
        <w:t>3.2.4成本警示价见投标人须知前附表。对低于该成本警示价的投标报价，投标人必须提供详细的施工组织设计、单价、措施性费用、单价分析表、主要材料价格表、投标人成本分析供评标委员会评审，由评标委员会判定其是否低于企业自身成本，</w:t>
      </w:r>
      <w:r>
        <w:rPr>
          <w:rFonts w:hint="eastAsia" w:ascii="宋体" w:hAnsi="宋体"/>
          <w:color w:val="auto"/>
          <w:sz w:val="24"/>
          <w:szCs w:val="24"/>
          <w:highlight w:val="none"/>
          <w:u w:val="single"/>
        </w:rPr>
        <w:t>投标人未在投标文件中提供相关材料或者不能合理说明的，由评标委员会认定该投标人以低于成本报价竞标，应当否决其投标</w:t>
      </w:r>
      <w:r>
        <w:rPr>
          <w:rFonts w:hint="eastAsia" w:ascii="宋体" w:hAnsi="宋体"/>
          <w:color w:val="auto"/>
          <w:sz w:val="24"/>
          <w:szCs w:val="24"/>
          <w:highlight w:val="none"/>
        </w:rPr>
        <w:t>；在评标过程中，评标委员会发现投标人的报价明显低于其他投标报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14:paraId="3DD53DC7">
      <w:pPr>
        <w:spacing w:line="360" w:lineRule="auto"/>
        <w:ind w:firstLine="482" w:firstLineChars="200"/>
        <w:rPr>
          <w:rFonts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条款号：3.3.3            修改类型：修改</w:t>
      </w:r>
    </w:p>
    <w:p w14:paraId="0DA61E5F">
      <w:pPr>
        <w:spacing w:line="360" w:lineRule="auto"/>
        <w:ind w:firstLine="482" w:firstLineChars="200"/>
        <w:rPr>
          <w:rFonts w:ascii="宋体" w:hAnsi="宋体" w:cs="宋体"/>
          <w:color w:val="auto"/>
          <w:kern w:val="0"/>
          <w:sz w:val="24"/>
          <w:szCs w:val="20"/>
          <w:highlight w:val="none"/>
        </w:rPr>
      </w:pPr>
      <w:r>
        <w:rPr>
          <w:rFonts w:hint="eastAsia" w:ascii="宋体" w:hAnsi="宋体" w:cs="宋体"/>
          <w:b/>
          <w:bCs/>
          <w:color w:val="auto"/>
          <w:kern w:val="0"/>
          <w:sz w:val="24"/>
          <w:szCs w:val="20"/>
          <w:highlight w:val="none"/>
        </w:rPr>
        <w:t>原文：</w:t>
      </w:r>
      <w:r>
        <w:rPr>
          <w:rFonts w:hint="eastAsia" w:ascii="宋体" w:hAnsi="宋体" w:cs="宋体"/>
          <w:color w:val="auto"/>
          <w:kern w:val="0"/>
          <w:sz w:val="24"/>
          <w:szCs w:val="20"/>
          <w:highlight w:val="none"/>
        </w:rPr>
        <w:t>3.3.3</w:t>
      </w:r>
      <w:r>
        <w:rPr>
          <w:rFonts w:hint="eastAsia" w:ascii="宋体" w:hAnsi="宋体"/>
          <w:color w:val="auto"/>
          <w:sz w:val="24"/>
          <w:highlight w:val="none"/>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r>
        <w:rPr>
          <w:rFonts w:ascii="宋体" w:hAnsi="宋体"/>
          <w:color w:val="auto"/>
          <w:sz w:val="24"/>
          <w:highlight w:val="none"/>
        </w:rPr>
        <w:t>。</w:t>
      </w:r>
    </w:p>
    <w:p w14:paraId="23FFC65D">
      <w:pPr>
        <w:pBdr>
          <w:bottom w:val="single" w:color="auto" w:sz="6" w:space="1"/>
        </w:pBdr>
        <w:spacing w:line="360" w:lineRule="auto"/>
        <w:ind w:firstLine="482" w:firstLineChars="200"/>
        <w:rPr>
          <w:rFonts w:ascii="宋体" w:hAnsi="宋体"/>
          <w:color w:val="auto"/>
          <w:sz w:val="24"/>
          <w:szCs w:val="24"/>
          <w:highlight w:val="none"/>
        </w:rPr>
      </w:pPr>
      <w:r>
        <w:rPr>
          <w:rFonts w:hint="eastAsia" w:ascii="宋体" w:hAnsi="宋体" w:cs="宋体"/>
          <w:b/>
          <w:bCs/>
          <w:color w:val="auto"/>
          <w:kern w:val="0"/>
          <w:sz w:val="24"/>
          <w:szCs w:val="20"/>
          <w:highlight w:val="none"/>
        </w:rPr>
        <w:t>现文：</w:t>
      </w:r>
      <w:r>
        <w:rPr>
          <w:rFonts w:hint="eastAsia" w:ascii="宋体" w:hAnsi="宋体" w:cs="宋体"/>
          <w:color w:val="auto"/>
          <w:kern w:val="0"/>
          <w:sz w:val="24"/>
          <w:szCs w:val="20"/>
          <w:highlight w:val="none"/>
        </w:rPr>
        <w:t>3.3.3</w:t>
      </w:r>
      <w:r>
        <w:rPr>
          <w:rFonts w:hint="eastAsia" w:ascii="宋体" w:hAnsi="宋体"/>
          <w:color w:val="auto"/>
          <w:sz w:val="24"/>
          <w:highlight w:val="none"/>
        </w:rPr>
        <w:t>出现特殊情况需要延长投标有效期的，招标人以书面形式通知所有投标人延长投标有效期。投标人同意延长的，</w:t>
      </w:r>
      <w:r>
        <w:rPr>
          <w:rFonts w:hint="eastAsia" w:ascii="宋体" w:hAnsi="宋体"/>
          <w:strike/>
          <w:color w:val="auto"/>
          <w:sz w:val="24"/>
          <w:highlight w:val="none"/>
        </w:rPr>
        <w:t>应相应延长其投标保证金的有效期，但</w:t>
      </w:r>
      <w:r>
        <w:rPr>
          <w:rFonts w:hint="eastAsia" w:ascii="宋体" w:hAnsi="宋体"/>
          <w:color w:val="auto"/>
          <w:sz w:val="24"/>
          <w:highlight w:val="none"/>
        </w:rPr>
        <w:t>不得要求或被允许修改或撤销其投标文件；投标人拒绝延长的，其投标失效</w:t>
      </w:r>
      <w:r>
        <w:rPr>
          <w:rFonts w:hint="eastAsia" w:ascii="宋体" w:hAnsi="宋体"/>
          <w:strike/>
          <w:color w:val="auto"/>
          <w:sz w:val="24"/>
          <w:highlight w:val="none"/>
        </w:rPr>
        <w:t>，但投标人有权收回其投标保证金</w:t>
      </w:r>
      <w:r>
        <w:rPr>
          <w:rFonts w:ascii="宋体" w:hAnsi="宋体"/>
          <w:color w:val="auto"/>
          <w:sz w:val="24"/>
          <w:highlight w:val="none"/>
        </w:rPr>
        <w:t>。</w:t>
      </w:r>
    </w:p>
    <w:p w14:paraId="219C234F">
      <w:pPr>
        <w:spacing w:line="360" w:lineRule="auto"/>
        <w:ind w:firstLine="482" w:firstLineChars="200"/>
        <w:rPr>
          <w:rFonts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条款号：3.4.1~3.4.6              修改类型：修改</w:t>
      </w:r>
    </w:p>
    <w:p w14:paraId="78A8C3F9">
      <w:pPr>
        <w:spacing w:line="360" w:lineRule="auto"/>
        <w:ind w:firstLine="482" w:firstLineChars="200"/>
        <w:rPr>
          <w:rFonts w:ascii="宋体" w:hAnsi="宋体"/>
          <w:b/>
          <w:color w:val="auto"/>
          <w:kern w:val="0"/>
          <w:sz w:val="24"/>
          <w:szCs w:val="20"/>
          <w:highlight w:val="none"/>
        </w:rPr>
      </w:pPr>
      <w:r>
        <w:rPr>
          <w:rFonts w:hint="eastAsia" w:ascii="宋体" w:hAnsi="宋体"/>
          <w:b/>
          <w:color w:val="auto"/>
          <w:kern w:val="0"/>
          <w:sz w:val="24"/>
          <w:szCs w:val="20"/>
          <w:highlight w:val="none"/>
        </w:rPr>
        <w:t>原文：</w:t>
      </w:r>
    </w:p>
    <w:p w14:paraId="4068B4EA">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3.4.1投标人应按投标人须知前附表规定的金额和时间递交投标保证金。招标人应当允许投标人自主选择现金、银行保函、保证保险、专业工程担保公司担保等方式缴纳投标保证金。联合体投标的，其投标保证金可以由主办方递交，并应符合投标人须知前附表的规定。</w:t>
      </w:r>
    </w:p>
    <w:p w14:paraId="4367417A">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3.4.2中标候选人以外的投标人的投标保证金将尽快退还，最迟不超过中标通知书发出之日起五日内。</w:t>
      </w:r>
    </w:p>
    <w:p w14:paraId="6C984E41">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3.4.3中标人和其他中标候选人的投标保证金，在书面合同订立之日起五日内予以退还。</w:t>
      </w:r>
    </w:p>
    <w:p w14:paraId="064EFD51">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3.4.4有下列情形之一的，投标保证金将不予退还（是否退还投标保证金由招标人在招标文件中规定）：</w:t>
      </w:r>
    </w:p>
    <w:p w14:paraId="00532E43">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3.4.4.1投标人在规定的投标有效期内撤销其投标文件；</w:t>
      </w:r>
    </w:p>
    <w:p w14:paraId="3B7E0097">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3.4.4.2中标人未能在规定期限内按要求提交履约担保；</w:t>
      </w:r>
    </w:p>
    <w:p w14:paraId="3E755073">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3.4.4.3中标人未能在规定期限内签署合同协议。</w:t>
      </w:r>
    </w:p>
    <w:p w14:paraId="1F6EB51F">
      <w:pPr>
        <w:spacing w:line="360" w:lineRule="auto"/>
        <w:ind w:firstLine="482" w:firstLineChars="200"/>
        <w:rPr>
          <w:rFonts w:ascii="宋体" w:hAnsi="宋体"/>
          <w:b/>
          <w:color w:val="auto"/>
          <w:kern w:val="0"/>
          <w:sz w:val="24"/>
          <w:szCs w:val="20"/>
          <w:highlight w:val="none"/>
        </w:rPr>
      </w:pPr>
      <w:r>
        <w:rPr>
          <w:rFonts w:hint="eastAsia" w:ascii="宋体" w:hAnsi="宋体"/>
          <w:b/>
          <w:color w:val="auto"/>
          <w:kern w:val="0"/>
          <w:sz w:val="24"/>
          <w:szCs w:val="20"/>
          <w:highlight w:val="none"/>
        </w:rPr>
        <w:t>现文：</w:t>
      </w:r>
    </w:p>
    <w:p w14:paraId="360252C8">
      <w:pPr>
        <w:pBdr>
          <w:bottom w:val="single" w:color="auto" w:sz="6" w:space="1"/>
        </w:pBdr>
        <w:spacing w:line="360" w:lineRule="auto"/>
        <w:ind w:firstLine="480" w:firstLineChars="200"/>
        <w:rPr>
          <w:rFonts w:hint="eastAsia" w:ascii="宋体" w:hAnsi="宋体"/>
          <w:color w:val="auto"/>
          <w:sz w:val="24"/>
          <w:szCs w:val="24"/>
          <w:highlight w:val="none"/>
        </w:rPr>
      </w:pPr>
      <w:r>
        <w:rPr>
          <w:rFonts w:hint="eastAsia" w:ascii="宋体" w:hAnsi="宋体"/>
          <w:color w:val="auto"/>
          <w:kern w:val="0"/>
          <w:sz w:val="24"/>
          <w:szCs w:val="20"/>
          <w:highlight w:val="none"/>
        </w:rPr>
        <w:t>本招标项目不需要递交投标担保。</w:t>
      </w:r>
    </w:p>
    <w:p w14:paraId="492DEC61">
      <w:pPr>
        <w:spacing w:line="360" w:lineRule="auto"/>
        <w:ind w:firstLine="540" w:firstLineChars="224"/>
        <w:rPr>
          <w:rFonts w:ascii="宋体" w:hAnsi="宋体"/>
          <w:b/>
          <w:color w:val="auto"/>
          <w:sz w:val="24"/>
          <w:szCs w:val="24"/>
          <w:highlight w:val="none"/>
        </w:rPr>
      </w:pPr>
      <w:r>
        <w:rPr>
          <w:rFonts w:hint="eastAsia" w:ascii="宋体" w:hAnsi="宋体"/>
          <w:b/>
          <w:color w:val="auto"/>
          <w:sz w:val="24"/>
          <w:szCs w:val="24"/>
          <w:highlight w:val="none"/>
        </w:rPr>
        <w:t>条款号：3.5            修改类型：修改</w:t>
      </w:r>
    </w:p>
    <w:p w14:paraId="39BFB1BA">
      <w:pPr>
        <w:spacing w:line="360" w:lineRule="auto"/>
        <w:ind w:firstLine="540" w:firstLineChars="224"/>
        <w:rPr>
          <w:rFonts w:ascii="宋体" w:hAnsi="宋体"/>
          <w:b/>
          <w:color w:val="auto"/>
          <w:sz w:val="24"/>
          <w:szCs w:val="24"/>
          <w:highlight w:val="none"/>
        </w:rPr>
      </w:pPr>
      <w:r>
        <w:rPr>
          <w:rFonts w:hint="eastAsia" w:ascii="宋体" w:hAnsi="宋体"/>
          <w:b/>
          <w:color w:val="auto"/>
          <w:sz w:val="24"/>
          <w:szCs w:val="24"/>
          <w:highlight w:val="none"/>
        </w:rPr>
        <w:t>原文：</w:t>
      </w:r>
    </w:p>
    <w:p w14:paraId="17751615">
      <w:pPr>
        <w:spacing w:line="360" w:lineRule="auto"/>
        <w:ind w:firstLine="537" w:firstLineChars="224"/>
        <w:rPr>
          <w:rFonts w:ascii="宋体" w:hAnsi="宋体"/>
          <w:color w:val="auto"/>
          <w:sz w:val="24"/>
          <w:highlight w:val="none"/>
        </w:rPr>
      </w:pPr>
      <w:r>
        <w:rPr>
          <w:rFonts w:hint="eastAsia" w:ascii="宋体" w:hAnsi="宋体"/>
          <w:color w:val="auto"/>
          <w:sz w:val="24"/>
          <w:highlight w:val="none"/>
        </w:rPr>
        <w:t>3.5.1投标人声明；</w:t>
      </w:r>
    </w:p>
    <w:p w14:paraId="4E5DB80D">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3.5.2法定代表人证明书、法定代表人签字或盖章的本投标文件授权委托证明书；</w:t>
      </w:r>
    </w:p>
    <w:p w14:paraId="73A89DD2">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3.5.3“投标人基本情况表”应附投标人企业营业执照、企业资质证书和建筑施工企业安全生产许可证等；</w:t>
      </w:r>
    </w:p>
    <w:p w14:paraId="55CBB7A4">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3.5.4项目负责人的建造师证（或小型项目负责人相关证明）和安全培训考核合格证明或在有效期内的安全考核合格证书（B类）；</w:t>
      </w:r>
    </w:p>
    <w:p w14:paraId="420D5E3D">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3.5.5专职安全员须具有在有效期内的安全考核合格证书（C类）；</w:t>
      </w:r>
    </w:p>
    <w:p w14:paraId="466CA068">
      <w:pPr>
        <w:spacing w:line="360" w:lineRule="auto"/>
        <w:ind w:firstLine="480" w:firstLineChars="200"/>
        <w:rPr>
          <w:rFonts w:ascii="宋体" w:hAnsi="宋体"/>
          <w:i/>
          <w:color w:val="auto"/>
          <w:kern w:val="0"/>
          <w:sz w:val="24"/>
          <w:szCs w:val="20"/>
          <w:highlight w:val="none"/>
        </w:rPr>
      </w:pPr>
      <w:r>
        <w:rPr>
          <w:rFonts w:hint="eastAsia" w:ascii="宋体" w:hAnsi="宋体"/>
          <w:color w:val="auto"/>
          <w:kern w:val="0"/>
          <w:sz w:val="24"/>
          <w:szCs w:val="20"/>
          <w:highlight w:val="none"/>
        </w:rPr>
        <w:t>3.5.6 “近年完成的类似项目情况表”应按照投标前附表的要求附中标通知书、施工合同、单位工程验收鉴定书（或合同工程完工验收鉴定书或工程竣工验收鉴定书）纸质原件的扫描件。每张表格只填写一个项目，并标明序号。</w:t>
      </w:r>
    </w:p>
    <w:p w14:paraId="73A9E70D">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3.5.7授权的委托代理人及项目部主要组成人员（项目负责人、技术负责人（如有）、专职安全员）在本单位交纳的社保证明文件（以加盖社会保险基金管理中心印章的《投保单》或《社会保险参保人员证明》资料为准）。</w:t>
      </w:r>
    </w:p>
    <w:p w14:paraId="45FEED67">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3.5.8投标人须知前附表规定接受联合体投标的，本章第3.5.1项至第3.5.6项规定的表格和资料应包括联合体各方相关情况。</w:t>
      </w:r>
    </w:p>
    <w:p w14:paraId="66D01148">
      <w:pPr>
        <w:spacing w:line="360" w:lineRule="auto"/>
        <w:ind w:firstLine="482" w:firstLineChars="200"/>
        <w:jc w:val="left"/>
        <w:rPr>
          <w:rFonts w:ascii="宋体" w:hAnsi="宋体"/>
          <w:b/>
          <w:color w:val="auto"/>
          <w:sz w:val="24"/>
          <w:szCs w:val="24"/>
          <w:highlight w:val="none"/>
        </w:rPr>
      </w:pPr>
      <w:r>
        <w:rPr>
          <w:rFonts w:hint="eastAsia" w:ascii="宋体" w:hAnsi="宋体"/>
          <w:b/>
          <w:color w:val="auto"/>
          <w:sz w:val="24"/>
          <w:szCs w:val="24"/>
          <w:highlight w:val="none"/>
        </w:rPr>
        <w:t>现文：</w:t>
      </w:r>
    </w:p>
    <w:p w14:paraId="7FD23511">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3.5.1投标人声明</w:t>
      </w:r>
      <w:r>
        <w:rPr>
          <w:rFonts w:hint="eastAsia" w:ascii="宋体" w:hAnsi="宋体" w:cs="宋体"/>
          <w:color w:val="auto"/>
          <w:sz w:val="24"/>
          <w:highlight w:val="none"/>
          <w:u w:val="single"/>
        </w:rPr>
        <w:t>（格式详见第八章）</w:t>
      </w:r>
      <w:r>
        <w:rPr>
          <w:rFonts w:hint="eastAsia" w:ascii="宋体" w:hAnsi="宋体"/>
          <w:color w:val="auto"/>
          <w:kern w:val="0"/>
          <w:sz w:val="24"/>
          <w:szCs w:val="20"/>
          <w:highlight w:val="none"/>
        </w:rPr>
        <w:t>；</w:t>
      </w:r>
    </w:p>
    <w:p w14:paraId="5D8E3232">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3.5.2法定代表人证明书、法定代表人签字或盖章的本投标文件授权委托证明书；</w:t>
      </w:r>
    </w:p>
    <w:p w14:paraId="60ED763D">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3.5.3“投标人基本情况表”应附投标人企业营业执照、企业资质证书和建筑施工企业安全生产许可证等；</w:t>
      </w:r>
    </w:p>
    <w:p w14:paraId="14C1B362">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3.5.4</w:t>
      </w:r>
      <w:r>
        <w:rPr>
          <w:rFonts w:hint="eastAsia" w:ascii="宋体" w:hAnsi="宋体" w:cs="宋体"/>
          <w:color w:val="auto"/>
          <w:kern w:val="0"/>
          <w:sz w:val="24"/>
          <w:szCs w:val="20"/>
          <w:highlight w:val="none"/>
        </w:rPr>
        <w:t>项目负责人的建造师证</w:t>
      </w:r>
      <w:r>
        <w:rPr>
          <w:rFonts w:hint="eastAsia" w:ascii="宋体" w:hAnsi="宋体" w:cs="宋体"/>
          <w:color w:val="auto"/>
          <w:kern w:val="0"/>
          <w:sz w:val="24"/>
          <w:szCs w:val="20"/>
          <w:highlight w:val="none"/>
          <w:u w:val="single"/>
        </w:rPr>
        <w:t>（注：打印建造师电子证书后，应在个人签名处手写本人签名再扫描上传，扫描件未手写签名或与签名图像笔迹不一致的，该电子证书无效。）</w:t>
      </w:r>
      <w:r>
        <w:rPr>
          <w:rFonts w:hint="eastAsia" w:ascii="宋体" w:hAnsi="宋体" w:cs="宋体"/>
          <w:strike/>
          <w:color w:val="auto"/>
          <w:kern w:val="0"/>
          <w:sz w:val="24"/>
          <w:szCs w:val="20"/>
          <w:highlight w:val="none"/>
        </w:rPr>
        <w:t>（或小型项目负责人相关证明）</w:t>
      </w:r>
      <w:r>
        <w:rPr>
          <w:rFonts w:hint="eastAsia" w:ascii="宋体" w:hAnsi="宋体" w:cs="宋体"/>
          <w:color w:val="auto"/>
          <w:kern w:val="0"/>
          <w:sz w:val="24"/>
          <w:szCs w:val="20"/>
          <w:highlight w:val="none"/>
        </w:rPr>
        <w:t>和安全培训考核合格证明或在有效期内的安全考核合格证书（B类）</w:t>
      </w:r>
      <w:r>
        <w:rPr>
          <w:rFonts w:hint="eastAsia" w:ascii="宋体" w:hAnsi="宋体"/>
          <w:color w:val="auto"/>
          <w:kern w:val="0"/>
          <w:sz w:val="24"/>
          <w:szCs w:val="20"/>
          <w:highlight w:val="none"/>
        </w:rPr>
        <w:t>；</w:t>
      </w:r>
    </w:p>
    <w:p w14:paraId="4077D4E5">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3.5.5专职安全员须具有在有效期内的安全生产考核合格证书（C类）或建筑施工企业专职安全生产管理人员安全生产考核合格证书（C3）；</w:t>
      </w:r>
    </w:p>
    <w:p w14:paraId="488D6A38">
      <w:pPr>
        <w:spacing w:line="360" w:lineRule="auto"/>
        <w:ind w:firstLine="480" w:firstLineChars="200"/>
        <w:rPr>
          <w:rFonts w:ascii="宋体" w:hAnsi="宋体"/>
          <w:strike/>
          <w:color w:val="auto"/>
          <w:kern w:val="0"/>
          <w:sz w:val="24"/>
          <w:szCs w:val="20"/>
          <w:highlight w:val="none"/>
        </w:rPr>
      </w:pPr>
      <w:r>
        <w:rPr>
          <w:rFonts w:hint="eastAsia" w:ascii="宋体" w:hAnsi="宋体" w:eastAsia="楷体_GB2312"/>
          <w:strike/>
          <w:color w:val="auto"/>
          <w:kern w:val="0"/>
          <w:sz w:val="24"/>
          <w:szCs w:val="24"/>
          <w:highlight w:val="none"/>
        </w:rPr>
        <w:t>3.5.6</w:t>
      </w:r>
      <w:r>
        <w:rPr>
          <w:rFonts w:hint="eastAsia" w:ascii="宋体" w:hAnsi="宋体"/>
          <w:strike/>
          <w:color w:val="auto"/>
          <w:kern w:val="0"/>
          <w:sz w:val="24"/>
          <w:szCs w:val="20"/>
          <w:highlight w:val="none"/>
        </w:rPr>
        <w:t>“近年完成的类似项目情况表”应按照投标前附表的要求附中标通知书、施工合同、单位工程验收鉴定书（或合同工程完工验收鉴定书或工程竣工验收鉴定书）纸质原件的扫描件。每张表格只填写一个项目，并标明序号。</w:t>
      </w:r>
    </w:p>
    <w:p w14:paraId="4066806C">
      <w:pPr>
        <w:spacing w:line="360" w:lineRule="auto"/>
        <w:ind w:firstLine="480" w:firstLineChars="200"/>
        <w:rPr>
          <w:rFonts w:ascii="宋体" w:hAnsi="宋体"/>
          <w:color w:val="auto"/>
          <w:sz w:val="24"/>
          <w:highlight w:val="none"/>
          <w:u w:val="single"/>
        </w:rPr>
      </w:pPr>
      <w:bookmarkStart w:id="8" w:name="_Toc112335873"/>
      <w:r>
        <w:rPr>
          <w:rFonts w:hint="eastAsia" w:ascii="宋体" w:hAnsi="宋体"/>
          <w:color w:val="auto"/>
          <w:sz w:val="24"/>
          <w:highlight w:val="none"/>
        </w:rPr>
        <w:t>3.5.7</w:t>
      </w:r>
      <w:bookmarkEnd w:id="8"/>
      <w:r>
        <w:rPr>
          <w:rFonts w:hint="eastAsia" w:ascii="宋体" w:hAnsi="宋体"/>
          <w:color w:val="auto"/>
          <w:sz w:val="24"/>
          <w:highlight w:val="none"/>
        </w:rPr>
        <w:t>投标申请人须保证授权的委托代理人及项目部主要组成人员（项目负责人</w:t>
      </w:r>
      <w:bookmarkStart w:id="9" w:name="_Hlk49765256"/>
      <w:r>
        <w:rPr>
          <w:rFonts w:hint="eastAsia" w:ascii="宋体" w:hAnsi="宋体"/>
          <w:color w:val="auto"/>
          <w:sz w:val="24"/>
          <w:highlight w:val="none"/>
        </w:rPr>
        <w:t>、</w:t>
      </w:r>
      <w:bookmarkEnd w:id="9"/>
      <w:r>
        <w:rPr>
          <w:rFonts w:hint="eastAsia" w:ascii="宋体" w:hAnsi="宋体"/>
          <w:color w:val="auto"/>
          <w:sz w:val="24"/>
          <w:highlight w:val="none"/>
        </w:rPr>
        <w:t>技术负责人（如有）、专职安全员）均为本单位的正式职工，必须具有离投标截止时间最近1个月（即2024年11月份）在本单位缴纳的社保证明文件（以加盖社会保险基金管理中心印章的《投保单》或《社会保险参保人员证明》资料为准）。</w:t>
      </w:r>
    </w:p>
    <w:p w14:paraId="1EFF83B2">
      <w:pPr>
        <w:pBdr>
          <w:bottom w:val="single" w:color="auto" w:sz="6" w:space="1"/>
        </w:pBdr>
        <w:spacing w:line="360" w:lineRule="auto"/>
        <w:ind w:firstLine="480" w:firstLineChars="200"/>
        <w:rPr>
          <w:rFonts w:ascii="宋体" w:hAnsi="宋体"/>
          <w:color w:val="auto"/>
          <w:sz w:val="24"/>
          <w:szCs w:val="24"/>
          <w:highlight w:val="none"/>
        </w:rPr>
      </w:pPr>
      <w:bookmarkStart w:id="10" w:name="_Toc112335874"/>
      <w:r>
        <w:rPr>
          <w:rFonts w:hint="eastAsia" w:ascii="宋体" w:hAnsi="宋体"/>
          <w:color w:val="auto"/>
          <w:kern w:val="0"/>
          <w:sz w:val="24"/>
          <w:szCs w:val="20"/>
          <w:highlight w:val="none"/>
        </w:rPr>
        <w:t>3.5.8</w:t>
      </w:r>
      <w:r>
        <w:rPr>
          <w:rFonts w:hint="eastAsia" w:ascii="宋体" w:hAnsi="宋体"/>
          <w:color w:val="auto"/>
          <w:kern w:val="0"/>
          <w:sz w:val="24"/>
          <w:szCs w:val="20"/>
          <w:highlight w:val="none"/>
          <w:u w:val="single"/>
        </w:rPr>
        <w:t>资格审查要求的其他资料。</w:t>
      </w:r>
      <w:bookmarkEnd w:id="10"/>
    </w:p>
    <w:p w14:paraId="5D340F9E">
      <w:pPr>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条款号：3.6.3              修改类型：删除</w:t>
      </w:r>
    </w:p>
    <w:p w14:paraId="111B16E4">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原文：</w:t>
      </w:r>
    </w:p>
    <w:p w14:paraId="76D71CD0">
      <w:pPr>
        <w:spacing w:after="120" w:line="360" w:lineRule="auto"/>
        <w:ind w:firstLine="480" w:firstLineChars="200"/>
        <w:rPr>
          <w:rFonts w:ascii="宋体" w:hAnsi="宋体" w:eastAsia="楷体_GB2312"/>
          <w:color w:val="auto"/>
          <w:kern w:val="0"/>
          <w:sz w:val="24"/>
          <w:szCs w:val="20"/>
          <w:highlight w:val="none"/>
        </w:rPr>
      </w:pPr>
      <w:r>
        <w:rPr>
          <w:rFonts w:hint="eastAsia" w:ascii="宋体" w:hAnsi="宋体"/>
          <w:color w:val="auto"/>
          <w:sz w:val="24"/>
          <w:highlight w:val="none"/>
        </w:rPr>
        <w:t>3.6.3联合体投标时，联合体共同投标协议需联合体各方按要求共同盖章签字，其余可由联合体主办方签字、盖章即可，由联合体主办方法人签字的电子投标文件需提供主办方法定代表人证明书，若由联合体主办方法定代表人授权签字的电子投标文件需提供法定代表人证明书及其授权委托书、授权委托人身份证扫描件。</w:t>
      </w:r>
    </w:p>
    <w:p w14:paraId="1BF112C5">
      <w:pPr>
        <w:pBdr>
          <w:bottom w:val="single" w:color="auto" w:sz="6" w:space="1"/>
        </w:pBdr>
        <w:spacing w:line="360" w:lineRule="auto"/>
        <w:ind w:firstLine="538"/>
        <w:rPr>
          <w:rFonts w:ascii="宋体" w:hAnsi="宋体"/>
          <w:color w:val="auto"/>
          <w:sz w:val="24"/>
          <w:szCs w:val="24"/>
          <w:highlight w:val="none"/>
        </w:rPr>
      </w:pPr>
    </w:p>
    <w:p w14:paraId="3A5FBB40">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条款号：4.3.3              修改类型：修改</w:t>
      </w:r>
    </w:p>
    <w:p w14:paraId="365DE3E7">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原文：</w:t>
      </w:r>
    </w:p>
    <w:p w14:paraId="7D859848">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4.3</w:t>
      </w:r>
      <w:r>
        <w:rPr>
          <w:rFonts w:hint="eastAsia" w:ascii="宋体" w:hAnsi="宋体"/>
          <w:color w:val="auto"/>
          <w:sz w:val="24"/>
          <w:highlight w:val="none"/>
        </w:rPr>
        <w:t>.3到投标截止时间止，招标人收到的投标文件少于3家的，招标人将重新组织招标（当N个标段同时招标且不允许兼中时，若有效投标人不足N+2家，则重新组织招标）。</w:t>
      </w:r>
    </w:p>
    <w:p w14:paraId="616827E5">
      <w:pPr>
        <w:pBdr>
          <w:bottom w:val="single" w:color="auto" w:sz="6" w:space="1"/>
        </w:pBdr>
        <w:spacing w:line="360" w:lineRule="auto"/>
        <w:ind w:firstLine="540" w:firstLineChars="224"/>
        <w:rPr>
          <w:rFonts w:ascii="宋体" w:hAnsi="宋体"/>
          <w:color w:val="auto"/>
          <w:sz w:val="24"/>
          <w:highlight w:val="none"/>
        </w:rPr>
      </w:pPr>
      <w:r>
        <w:rPr>
          <w:rFonts w:hint="eastAsia" w:ascii="宋体" w:hAnsi="宋体"/>
          <w:b/>
          <w:color w:val="auto"/>
          <w:sz w:val="24"/>
          <w:highlight w:val="none"/>
        </w:rPr>
        <w:t>现文</w:t>
      </w:r>
      <w:r>
        <w:rPr>
          <w:rFonts w:hint="eastAsia" w:ascii="宋体" w:hAnsi="宋体"/>
          <w:color w:val="auto"/>
          <w:sz w:val="24"/>
          <w:highlight w:val="none"/>
        </w:rPr>
        <w:t>：</w:t>
      </w:r>
    </w:p>
    <w:p w14:paraId="0DE299D5">
      <w:pPr>
        <w:pBdr>
          <w:bottom w:val="single" w:color="auto" w:sz="6" w:space="1"/>
        </w:pBdr>
        <w:spacing w:line="360" w:lineRule="auto"/>
        <w:ind w:firstLine="537" w:firstLineChars="224"/>
        <w:rPr>
          <w:rFonts w:hint="eastAsia" w:ascii="宋体" w:hAnsi="宋体"/>
          <w:color w:val="auto"/>
          <w:sz w:val="24"/>
          <w:szCs w:val="24"/>
          <w:highlight w:val="none"/>
        </w:rPr>
      </w:pPr>
      <w:r>
        <w:rPr>
          <w:rFonts w:hint="eastAsia" w:ascii="宋体" w:hAnsi="宋体"/>
          <w:color w:val="auto"/>
          <w:sz w:val="24"/>
          <w:szCs w:val="24"/>
          <w:highlight w:val="none"/>
        </w:rPr>
        <w:t>4.3</w:t>
      </w:r>
      <w:r>
        <w:rPr>
          <w:rFonts w:hint="eastAsia" w:ascii="宋体" w:hAnsi="宋体"/>
          <w:color w:val="auto"/>
          <w:sz w:val="24"/>
          <w:highlight w:val="none"/>
        </w:rPr>
        <w:t>.3到投标截止时间止，招标人收到的投标文件少于3家的，招标人将重新组织招标</w:t>
      </w:r>
      <w:r>
        <w:rPr>
          <w:rFonts w:hint="eastAsia" w:ascii="宋体" w:hAnsi="宋体"/>
          <w:strike/>
          <w:color w:val="auto"/>
          <w:sz w:val="24"/>
          <w:highlight w:val="none"/>
        </w:rPr>
        <w:t>（当N个标段同时招标且不允许兼中时，若有效投标人不足N+2家，则重新组织招标）</w:t>
      </w:r>
      <w:r>
        <w:rPr>
          <w:rFonts w:hint="eastAsia" w:ascii="宋体" w:hAnsi="宋体"/>
          <w:color w:val="auto"/>
          <w:sz w:val="24"/>
          <w:highlight w:val="none"/>
        </w:rPr>
        <w:t>。</w:t>
      </w:r>
    </w:p>
    <w:p w14:paraId="5752DBC1">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条款号：7.1 .1            修改类型：修改</w:t>
      </w:r>
    </w:p>
    <w:p w14:paraId="5EAC679C">
      <w:pPr>
        <w:spacing w:line="360" w:lineRule="auto"/>
        <w:ind w:firstLine="482" w:firstLineChars="200"/>
        <w:jc w:val="left"/>
        <w:rPr>
          <w:rFonts w:ascii="宋体" w:hAnsi="宋体"/>
          <w:b/>
          <w:color w:val="auto"/>
          <w:sz w:val="24"/>
          <w:szCs w:val="24"/>
          <w:highlight w:val="none"/>
        </w:rPr>
      </w:pPr>
      <w:r>
        <w:rPr>
          <w:rFonts w:hint="eastAsia" w:ascii="宋体" w:hAnsi="宋体"/>
          <w:b/>
          <w:color w:val="auto"/>
          <w:sz w:val="24"/>
          <w:szCs w:val="24"/>
          <w:highlight w:val="none"/>
        </w:rPr>
        <w:t>原文：</w:t>
      </w:r>
    </w:p>
    <w:p w14:paraId="5BAFEC96">
      <w:pPr>
        <w:spacing w:line="360" w:lineRule="auto"/>
        <w:ind w:firstLine="480" w:firstLineChars="200"/>
        <w:jc w:val="left"/>
        <w:rPr>
          <w:rFonts w:ascii="Times New Roman" w:hAnsi="Times New Roman"/>
          <w:color w:val="auto"/>
          <w:highlight w:val="none"/>
        </w:rPr>
      </w:pPr>
      <w:r>
        <w:rPr>
          <w:rFonts w:hint="eastAsia" w:ascii="Times New Roman" w:hAnsi="Times New Roman"/>
          <w:color w:val="auto"/>
          <w:sz w:val="24"/>
          <w:highlight w:val="none"/>
        </w:rPr>
        <w:t>7.1.1招标人在《投标人须知前附表》规定的媒介公示中标候选人，公示期为三天，最后一天应为工作日。</w:t>
      </w:r>
    </w:p>
    <w:p w14:paraId="1D44F03B">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现文：</w:t>
      </w:r>
    </w:p>
    <w:p w14:paraId="4F2BE761">
      <w:pPr>
        <w:spacing w:line="560" w:lineRule="exact"/>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7.1.1招标人在《投标人须知前附表》规定的媒介公示中标候选人，公示期为三天，最后一天应为工作日。</w:t>
      </w:r>
    </w:p>
    <w:p w14:paraId="58901338">
      <w:pPr>
        <w:spacing w:line="560" w:lineRule="exact"/>
        <w:ind w:firstLine="480" w:firstLineChars="200"/>
        <w:jc w:val="left"/>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注：投标人或其他利害关系人对评标结果有异议的，应当在中标候选人公示期间提出，可以通过线下或线上的形式提出异议。线上提交的，应通过广交易建设工程电子交易系统进行，招标人也应通过广交易建设工程电子交易系统答复线上提交的异议。作出答复前，应当暂停招标投标活动。</w:t>
      </w:r>
    </w:p>
    <w:p w14:paraId="47783F4E">
      <w:pPr>
        <w:spacing w:line="560" w:lineRule="exact"/>
        <w:ind w:firstLine="480" w:firstLineChars="200"/>
        <w:jc w:val="left"/>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1.具体操作详见“广州交易集团有限公司（广州公共资源交易中心）门户网站首页-&gt;服务指南-&gt;系统帮助-&gt;操作手册-&gt;发起及受理异议操作指引”。</w:t>
      </w:r>
    </w:p>
    <w:p w14:paraId="24DABD80">
      <w:pPr>
        <w:spacing w:line="560" w:lineRule="exact"/>
        <w:ind w:firstLine="480" w:firstLineChars="200"/>
        <w:rPr>
          <w:rFonts w:ascii="宋体" w:hAnsi="Times New Roman"/>
          <w:color w:val="auto"/>
          <w:kern w:val="0"/>
          <w:sz w:val="24"/>
          <w:szCs w:val="24"/>
          <w:highlight w:val="none"/>
        </w:rPr>
      </w:pPr>
      <w:r>
        <w:rPr>
          <w:rFonts w:hint="eastAsia" w:ascii="宋体" w:hAnsi="宋体" w:cs="宋体"/>
          <w:color w:val="auto"/>
          <w:kern w:val="0"/>
          <w:sz w:val="24"/>
          <w:szCs w:val="24"/>
          <w:highlight w:val="none"/>
          <w:u w:val="single"/>
        </w:rPr>
        <w:t>2.投标人可登录交易平台网站向招标人提出异议申请，招标人在线处理完异议后，提出异议的投标人可以在线查询处理结果。异议处理结果仅对提出异议的投标人开放查询。投标人登录广交易平台进入“我是投标人”-选择“新建设工程交易平台”-“异议管理”-点击“新增异议”-选择要发起异议的项目。</w:t>
      </w:r>
    </w:p>
    <w:p w14:paraId="484314FA">
      <w:pPr>
        <w:pBdr>
          <w:bottom w:val="single" w:color="auto" w:sz="6" w:space="1"/>
        </w:pBdr>
        <w:spacing w:line="360" w:lineRule="auto"/>
        <w:rPr>
          <w:rFonts w:ascii="宋体" w:hAnsi="宋体"/>
          <w:color w:val="auto"/>
          <w:sz w:val="24"/>
          <w:szCs w:val="24"/>
          <w:highlight w:val="none"/>
        </w:rPr>
      </w:pPr>
    </w:p>
    <w:p w14:paraId="2CFE29AB">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条款号：7.2             修改类型：修改</w:t>
      </w:r>
    </w:p>
    <w:p w14:paraId="3D404615">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原文：</w:t>
      </w:r>
      <w:r>
        <w:rPr>
          <w:rFonts w:hint="eastAsia" w:ascii="宋体" w:hAnsi="宋体"/>
          <w:color w:val="auto"/>
          <w:sz w:val="24"/>
          <w:szCs w:val="24"/>
          <w:highlight w:val="none"/>
        </w:rPr>
        <w:t>7.2.4 重新评标的，评标信息（含业绩、奖项等）仍以投标截止时投标人的信息为准。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463FFE5B">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现文：</w:t>
      </w:r>
      <w:r>
        <w:rPr>
          <w:rFonts w:hint="eastAsia" w:ascii="宋体" w:hAnsi="宋体"/>
          <w:color w:val="auto"/>
          <w:sz w:val="24"/>
          <w:szCs w:val="24"/>
          <w:highlight w:val="none"/>
        </w:rPr>
        <w:t>7.2.4 重新评标的，评标信息（含业绩、奖项等）仍以投标截止时投标人的信息为准。出现特殊情况需要延长投标有效期的，招标人以书面形式通知所有投标人延长投标有效期。投标人同意延长的</w:t>
      </w:r>
      <w:r>
        <w:rPr>
          <w:rFonts w:hint="eastAsia" w:ascii="宋体" w:hAnsi="宋体"/>
          <w:strike/>
          <w:color w:val="auto"/>
          <w:sz w:val="24"/>
          <w:szCs w:val="24"/>
          <w:highlight w:val="none"/>
        </w:rPr>
        <w:t>，应相应延长其投标保证金的有效期</w:t>
      </w:r>
      <w:r>
        <w:rPr>
          <w:rFonts w:hint="eastAsia" w:ascii="宋体" w:hAnsi="宋体"/>
          <w:color w:val="auto"/>
          <w:sz w:val="24"/>
          <w:szCs w:val="24"/>
          <w:highlight w:val="none"/>
        </w:rPr>
        <w:t>，但不得要求或被允许修改或撤销其投标文件；投标人拒绝延长的，其投标失效</w:t>
      </w:r>
      <w:r>
        <w:rPr>
          <w:rFonts w:hint="eastAsia" w:ascii="宋体" w:hAnsi="宋体"/>
          <w:strike/>
          <w:color w:val="auto"/>
          <w:sz w:val="24"/>
          <w:szCs w:val="24"/>
          <w:highlight w:val="none"/>
        </w:rPr>
        <w:t>，但投标人有权收回其投标保证金</w:t>
      </w:r>
      <w:r>
        <w:rPr>
          <w:rFonts w:hint="eastAsia" w:ascii="宋体" w:hAnsi="宋体"/>
          <w:color w:val="auto"/>
          <w:sz w:val="24"/>
          <w:szCs w:val="24"/>
          <w:highlight w:val="none"/>
        </w:rPr>
        <w:t>。</w:t>
      </w:r>
    </w:p>
    <w:p w14:paraId="16738E0C">
      <w:pPr>
        <w:pBdr>
          <w:bottom w:val="single" w:color="auto" w:sz="6" w:space="1"/>
        </w:pBdr>
        <w:spacing w:line="360" w:lineRule="auto"/>
        <w:rPr>
          <w:rFonts w:hint="eastAsia" w:ascii="宋体" w:hAnsi="宋体"/>
          <w:b/>
          <w:color w:val="auto"/>
          <w:sz w:val="24"/>
          <w:szCs w:val="24"/>
          <w:highlight w:val="none"/>
        </w:rPr>
      </w:pPr>
    </w:p>
    <w:p w14:paraId="7C61C98B">
      <w:pPr>
        <w:spacing w:line="360" w:lineRule="auto"/>
        <w:ind w:firstLine="482" w:firstLineChars="200"/>
        <w:rPr>
          <w:rFonts w:hint="eastAsia" w:ascii="宋体" w:hAnsi="宋体"/>
          <w:b/>
          <w:color w:val="auto"/>
          <w:sz w:val="24"/>
          <w:szCs w:val="24"/>
          <w:highlight w:val="none"/>
        </w:rPr>
      </w:pPr>
    </w:p>
    <w:p w14:paraId="6F092E21">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条款号：7.3             修改类型：修改</w:t>
      </w:r>
    </w:p>
    <w:p w14:paraId="30CE7D1E">
      <w:pPr>
        <w:spacing w:line="56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原文：7.3.1</w:t>
      </w:r>
      <w:r>
        <w:rPr>
          <w:rFonts w:hint="eastAsia" w:ascii="宋体" w:hAnsi="宋体"/>
          <w:color w:val="auto"/>
          <w:sz w:val="24"/>
          <w:szCs w:val="24"/>
          <w:highlight w:val="none"/>
        </w:rPr>
        <w:t>在中标人确定之日起七日内且在《投标人须知前附表》规定的投标有效期内，招标人以书面形式向中标人发出中标通知书，在广州交易集团有限公司（广州公共资源交易中心）网和广东省招标投标监管网发布中标信息，视同将中标结果通知未中标的投标人。</w:t>
      </w:r>
    </w:p>
    <w:p w14:paraId="2166E239">
      <w:pPr>
        <w:spacing w:line="560" w:lineRule="exact"/>
        <w:ind w:firstLine="482" w:firstLineChars="200"/>
        <w:rPr>
          <w:rFonts w:hint="eastAsia" w:ascii="宋体" w:hAnsi="宋体"/>
          <w:color w:val="auto"/>
          <w:sz w:val="24"/>
          <w:szCs w:val="24"/>
          <w:highlight w:val="none"/>
          <w:u w:val="single"/>
        </w:rPr>
      </w:pPr>
      <w:r>
        <w:rPr>
          <w:rFonts w:hint="eastAsia" w:ascii="宋体" w:hAnsi="宋体"/>
          <w:b/>
          <w:color w:val="auto"/>
          <w:sz w:val="24"/>
          <w:szCs w:val="24"/>
          <w:highlight w:val="none"/>
        </w:rPr>
        <w:t>现文：</w:t>
      </w:r>
      <w:r>
        <w:rPr>
          <w:rFonts w:ascii="宋体" w:hAnsi="宋体"/>
          <w:b/>
          <w:color w:val="auto"/>
          <w:sz w:val="24"/>
          <w:szCs w:val="24"/>
          <w:highlight w:val="none"/>
        </w:rPr>
        <w:t>7.3.1</w:t>
      </w:r>
      <w:r>
        <w:rPr>
          <w:rFonts w:hint="eastAsia" w:ascii="宋体" w:hAnsi="宋体"/>
          <w:color w:val="auto"/>
          <w:sz w:val="24"/>
          <w:szCs w:val="24"/>
          <w:highlight w:val="none"/>
          <w:u w:val="single"/>
        </w:rPr>
        <w:t>在法规规定的时间内，招标人以书面形式向中标人发出中标通知书。在</w:t>
      </w:r>
      <w:r>
        <w:rPr>
          <w:rFonts w:hint="eastAsia" w:ascii="宋体" w:hAnsi="宋体" w:cs="宋体"/>
          <w:color w:val="auto"/>
          <w:kern w:val="0"/>
          <w:sz w:val="24"/>
          <w:szCs w:val="24"/>
          <w:highlight w:val="none"/>
          <w:u w:val="single"/>
        </w:rPr>
        <w:t>广州交易集团有限公司</w:t>
      </w:r>
      <w:r>
        <w:rPr>
          <w:rFonts w:hint="eastAsia" w:ascii="宋体" w:hAnsi="宋体"/>
          <w:color w:val="auto"/>
          <w:sz w:val="24"/>
          <w:szCs w:val="24"/>
          <w:highlight w:val="none"/>
          <w:u w:val="single"/>
        </w:rPr>
        <w:t>（广州公共资源交易中心）网和广东省招标投标监管网、中国招标投标公共服务平台（网址：http://www.cebpubservice.com/）、广州市增城区人民政府门户网站发布中标信息，视同将中标结果通知未中标的投标人。</w:t>
      </w:r>
    </w:p>
    <w:p w14:paraId="257B298A">
      <w:pPr>
        <w:pBdr>
          <w:bottom w:val="single" w:color="auto" w:sz="6" w:space="1"/>
        </w:pBdr>
        <w:spacing w:line="360" w:lineRule="auto"/>
        <w:rPr>
          <w:rFonts w:ascii="宋体" w:hAnsi="宋体"/>
          <w:color w:val="auto"/>
          <w:sz w:val="24"/>
          <w:szCs w:val="24"/>
          <w:highlight w:val="none"/>
        </w:rPr>
      </w:pPr>
    </w:p>
    <w:p w14:paraId="73E97C13">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条款号：7.4             修改类型：修改</w:t>
      </w:r>
    </w:p>
    <w:p w14:paraId="6EA4685E">
      <w:pPr>
        <w:spacing w:line="360" w:lineRule="auto"/>
        <w:ind w:firstLine="540" w:firstLineChars="224"/>
        <w:rPr>
          <w:rFonts w:ascii="宋体" w:hAnsi="宋体"/>
          <w:b/>
          <w:color w:val="auto"/>
          <w:sz w:val="24"/>
          <w:szCs w:val="24"/>
          <w:highlight w:val="none"/>
        </w:rPr>
      </w:pPr>
      <w:r>
        <w:rPr>
          <w:rFonts w:hint="eastAsia" w:ascii="宋体" w:hAnsi="宋体"/>
          <w:b/>
          <w:color w:val="auto"/>
          <w:sz w:val="24"/>
          <w:szCs w:val="24"/>
          <w:highlight w:val="none"/>
        </w:rPr>
        <w:t>原文：</w:t>
      </w:r>
    </w:p>
    <w:p w14:paraId="4A18638E">
      <w:pPr>
        <w:spacing w:line="360" w:lineRule="auto"/>
        <w:ind w:firstLine="537" w:firstLineChars="224"/>
        <w:jc w:val="left"/>
        <w:rPr>
          <w:rFonts w:ascii="Times New Roman" w:hAnsi="Times New Roman"/>
          <w:color w:val="auto"/>
          <w:sz w:val="24"/>
          <w:highlight w:val="none"/>
        </w:rPr>
      </w:pPr>
      <w:r>
        <w:rPr>
          <w:rFonts w:hint="eastAsia" w:ascii="Times New Roman" w:hAnsi="Times New Roman"/>
          <w:color w:val="auto"/>
          <w:sz w:val="24"/>
          <w:highlight w:val="none"/>
        </w:rPr>
        <w:t>7.4.1在签订合同前，中标人应按《投标人须知前附表》规定的担保形式和招标文件“第四章合同条款”规定的或者事先经过招标人书面认可的履约担保格式向招标人提交履约担保。</w:t>
      </w:r>
    </w:p>
    <w:p w14:paraId="7B20D773">
      <w:pPr>
        <w:spacing w:line="360" w:lineRule="auto"/>
        <w:ind w:firstLine="537" w:firstLineChars="224"/>
        <w:jc w:val="left"/>
        <w:rPr>
          <w:rFonts w:ascii="Times New Roman" w:hAnsi="Times New Roman"/>
          <w:color w:val="auto"/>
          <w:sz w:val="24"/>
          <w:highlight w:val="none"/>
        </w:rPr>
      </w:pPr>
      <w:r>
        <w:rPr>
          <w:rFonts w:hint="eastAsia" w:ascii="Times New Roman" w:hAnsi="Times New Roman"/>
          <w:color w:val="auto"/>
          <w:sz w:val="24"/>
          <w:highlight w:val="none"/>
        </w:rPr>
        <w:t>7.4.2 中标人不能按本章第7.4.1项要求提交履约担保的，视为放弃中标，其投标保证金不予退还，给招标人造成的损失超过投标保证金数额的，中标人还应当对超过部分予以赔偿。</w:t>
      </w:r>
    </w:p>
    <w:p w14:paraId="2A2C7266">
      <w:pPr>
        <w:spacing w:line="360" w:lineRule="auto"/>
        <w:ind w:firstLine="540" w:firstLineChars="224"/>
        <w:rPr>
          <w:rFonts w:ascii="宋体" w:hAnsi="宋体"/>
          <w:b/>
          <w:color w:val="auto"/>
          <w:sz w:val="24"/>
          <w:szCs w:val="24"/>
          <w:highlight w:val="none"/>
        </w:rPr>
      </w:pPr>
      <w:r>
        <w:rPr>
          <w:rFonts w:hint="eastAsia" w:ascii="宋体" w:hAnsi="宋体"/>
          <w:b/>
          <w:color w:val="auto"/>
          <w:sz w:val="24"/>
          <w:szCs w:val="24"/>
          <w:highlight w:val="none"/>
        </w:rPr>
        <w:t>现文：</w:t>
      </w:r>
    </w:p>
    <w:p w14:paraId="189C83B0">
      <w:pPr>
        <w:pBdr>
          <w:bottom w:val="single" w:color="auto" w:sz="6" w:space="1"/>
        </w:pBdr>
        <w:spacing w:line="360" w:lineRule="auto"/>
        <w:rPr>
          <w:rFonts w:hint="eastAsia" w:ascii="宋体" w:hAnsi="宋体"/>
          <w:color w:val="auto"/>
          <w:sz w:val="24"/>
          <w:szCs w:val="24"/>
          <w:highlight w:val="none"/>
          <w:u w:val="single"/>
        </w:rPr>
      </w:pPr>
      <w:r>
        <w:rPr>
          <w:rFonts w:hint="eastAsia" w:ascii="宋体" w:hAnsi="宋体"/>
          <w:color w:val="auto"/>
          <w:sz w:val="24"/>
          <w:szCs w:val="24"/>
          <w:highlight w:val="none"/>
          <w:u w:val="single"/>
        </w:rPr>
        <w:t>在签订正式合同前，中标人必须按“第四章合同条款”规定或者事先经过招标人书面认可的履约担保格式向招标人提交履约担保，否则视为放弃中标资格，给招标人造成的损失的，中标人应予以赔偿。</w:t>
      </w:r>
    </w:p>
    <w:p w14:paraId="0F8157FD">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条款号：7.5             修改类型：修改</w:t>
      </w:r>
    </w:p>
    <w:p w14:paraId="2BD8F518">
      <w:pPr>
        <w:pBdr>
          <w:bottom w:val="single" w:color="auto" w:sz="6" w:space="1"/>
        </w:pBdr>
        <w:spacing w:line="360" w:lineRule="auto"/>
        <w:ind w:firstLine="482" w:firstLineChars="200"/>
        <w:rPr>
          <w:rFonts w:hint="eastAsia" w:ascii="宋体" w:hAnsi="宋体"/>
          <w:color w:val="auto"/>
          <w:sz w:val="24"/>
          <w:szCs w:val="24"/>
          <w:highlight w:val="none"/>
        </w:rPr>
      </w:pPr>
      <w:r>
        <w:rPr>
          <w:rFonts w:hint="eastAsia" w:ascii="宋体" w:hAnsi="宋体"/>
          <w:b/>
          <w:color w:val="auto"/>
          <w:sz w:val="24"/>
          <w:szCs w:val="24"/>
          <w:highlight w:val="none"/>
        </w:rPr>
        <w:t>原文：</w:t>
      </w:r>
      <w:r>
        <w:rPr>
          <w:rFonts w:hint="eastAsia" w:ascii="宋体" w:hAnsi="宋体"/>
          <w:color w:val="auto"/>
          <w:sz w:val="24"/>
          <w:szCs w:val="24"/>
          <w:highlight w:val="none"/>
        </w:rPr>
        <w:t xml:space="preserve">7.5.1招标人和中标人应当自中标通知书发出之日起30天内，根据招标文件和中标人的投标文件订立书面合同，并通过电子交易系统与中标人在线签订合同。中标人无正当理由拒签合同的，招标人取消其中标资格，其投标保证金不予退还；给招标人造成的损失超过投标保证金数额的，中标人还应当对超过部分予以赔偿。 </w:t>
      </w:r>
    </w:p>
    <w:p w14:paraId="39221B9B">
      <w:pPr>
        <w:pBdr>
          <w:bottom w:val="single" w:color="auto" w:sz="6" w:space="1"/>
        </w:pBd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7.5.2 发出中标通知书后，招标人无正当理由拒签合同的，招标人向中标人退还投标保证金；给中标人造成损失的，还应当赔偿损失。</w:t>
      </w:r>
    </w:p>
    <w:p w14:paraId="5FB8C6D6">
      <w:pPr>
        <w:pBdr>
          <w:bottom w:val="single" w:color="auto" w:sz="6" w:space="1"/>
        </w:pBdr>
        <w:spacing w:line="360" w:lineRule="auto"/>
        <w:ind w:firstLine="482" w:firstLineChars="200"/>
        <w:rPr>
          <w:rFonts w:hint="eastAsia" w:ascii="宋体" w:hAnsi="宋体"/>
          <w:color w:val="auto"/>
          <w:sz w:val="24"/>
          <w:szCs w:val="24"/>
          <w:highlight w:val="none"/>
        </w:rPr>
      </w:pPr>
      <w:r>
        <w:rPr>
          <w:rFonts w:hint="eastAsia" w:ascii="宋体" w:hAnsi="宋体"/>
          <w:b/>
          <w:color w:val="auto"/>
          <w:sz w:val="24"/>
          <w:szCs w:val="24"/>
          <w:highlight w:val="none"/>
        </w:rPr>
        <w:t>现文：</w:t>
      </w:r>
      <w:r>
        <w:rPr>
          <w:rFonts w:hint="eastAsia" w:ascii="宋体" w:hAnsi="宋体"/>
          <w:color w:val="auto"/>
          <w:sz w:val="24"/>
          <w:szCs w:val="24"/>
          <w:highlight w:val="none"/>
        </w:rPr>
        <w:t>7.5.1招标人和中标人应当自中标通知书发出之日起30天内，根据招标文件和中标人的投标文件订立书面合同，并通过电子交易系统与中标人在线签订合同。中标人无正当理由拒签合同的，招标人取消其中标资格</w:t>
      </w:r>
      <w:r>
        <w:rPr>
          <w:rFonts w:hint="eastAsia" w:ascii="宋体" w:hAnsi="宋体"/>
          <w:strike/>
          <w:color w:val="auto"/>
          <w:sz w:val="24"/>
          <w:szCs w:val="24"/>
          <w:highlight w:val="none"/>
        </w:rPr>
        <w:t>，其投标保证金不予退还</w:t>
      </w:r>
      <w:r>
        <w:rPr>
          <w:rFonts w:hint="eastAsia" w:ascii="宋体" w:hAnsi="宋体"/>
          <w:color w:val="auto"/>
          <w:sz w:val="24"/>
          <w:szCs w:val="24"/>
          <w:highlight w:val="none"/>
        </w:rPr>
        <w:t xml:space="preserve">；给招标人造成的损失超过投标保证金数额的，中标人还应当对超过部分予以赔偿。 </w:t>
      </w:r>
    </w:p>
    <w:p w14:paraId="16C9F32F">
      <w:pPr>
        <w:pBdr>
          <w:bottom w:val="single" w:color="auto" w:sz="6" w:space="1"/>
        </w:pBd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7.5.2 发出中标通知书后，招标人无正当理由拒签合同</w:t>
      </w:r>
      <w:r>
        <w:rPr>
          <w:rFonts w:hint="eastAsia" w:ascii="宋体" w:hAnsi="宋体"/>
          <w:strike/>
          <w:color w:val="auto"/>
          <w:sz w:val="24"/>
          <w:szCs w:val="24"/>
          <w:highlight w:val="none"/>
        </w:rPr>
        <w:t>的，招标人向中标人退还投标保证金；</w:t>
      </w:r>
      <w:r>
        <w:rPr>
          <w:rFonts w:hint="eastAsia" w:ascii="宋体" w:hAnsi="宋体"/>
          <w:color w:val="auto"/>
          <w:sz w:val="24"/>
          <w:szCs w:val="24"/>
          <w:highlight w:val="none"/>
        </w:rPr>
        <w:t>给中标人造成损失的，还应当赔偿损失。</w:t>
      </w:r>
    </w:p>
    <w:p w14:paraId="34486FB9">
      <w:pPr>
        <w:pBdr>
          <w:bottom w:val="single" w:color="auto" w:sz="6" w:space="1"/>
        </w:pBdr>
        <w:spacing w:line="360" w:lineRule="auto"/>
        <w:ind w:firstLine="480" w:firstLineChars="200"/>
        <w:rPr>
          <w:rFonts w:ascii="宋体" w:hAnsi="宋体"/>
          <w:color w:val="auto"/>
          <w:sz w:val="24"/>
          <w:szCs w:val="24"/>
          <w:highlight w:val="none"/>
        </w:rPr>
      </w:pPr>
    </w:p>
    <w:p w14:paraId="7BB23514">
      <w:pPr>
        <w:spacing w:line="360" w:lineRule="auto"/>
        <w:rPr>
          <w:rFonts w:ascii="宋体" w:hAnsi="宋体"/>
          <w:color w:val="auto"/>
          <w:sz w:val="24"/>
          <w:szCs w:val="24"/>
          <w:highlight w:val="none"/>
        </w:rPr>
      </w:pPr>
      <w:r>
        <w:rPr>
          <w:rFonts w:hint="eastAsia" w:ascii="宋体" w:hAnsi="宋体"/>
          <w:color w:val="auto"/>
          <w:sz w:val="24"/>
          <w:szCs w:val="24"/>
          <w:highlight w:val="none"/>
        </w:rPr>
        <w:t>注：以上修改，仅限于本范本中有可供选择条款的情形。</w:t>
      </w:r>
    </w:p>
    <w:p w14:paraId="175BB5F6">
      <w:pPr>
        <w:jc w:val="right"/>
        <w:rPr>
          <w:rFonts w:ascii="宋体" w:hAnsi="宋体"/>
          <w:color w:val="auto"/>
          <w:sz w:val="24"/>
          <w:szCs w:val="24"/>
          <w:highlight w:val="none"/>
        </w:rPr>
      </w:pPr>
      <w:r>
        <w:rPr>
          <w:rFonts w:hint="eastAsia" w:ascii="宋体" w:hAnsi="宋体"/>
          <w:color w:val="auto"/>
          <w:sz w:val="24"/>
          <w:szCs w:val="24"/>
          <w:highlight w:val="none"/>
        </w:rPr>
        <w:t>（以下无正文）</w:t>
      </w:r>
    </w:p>
    <w:p w14:paraId="3AC056E4">
      <w:pPr>
        <w:jc w:val="right"/>
        <w:rPr>
          <w:color w:val="auto"/>
          <w:highlight w:val="none"/>
        </w:rPr>
      </w:pPr>
      <w:r>
        <w:rPr>
          <w:color w:val="auto"/>
          <w:highlight w:val="none"/>
        </w:rPr>
        <w:br w:type="page"/>
      </w:r>
    </w:p>
    <w:p w14:paraId="62110E83">
      <w:pPr>
        <w:spacing w:line="360" w:lineRule="auto"/>
        <w:jc w:val="center"/>
        <w:outlineLvl w:val="2"/>
        <w:rPr>
          <w:rFonts w:ascii="黑体" w:hAnsi="黑体" w:eastAsia="黑体"/>
          <w:color w:val="auto"/>
          <w:sz w:val="28"/>
          <w:szCs w:val="27"/>
          <w:highlight w:val="none"/>
        </w:rPr>
      </w:pPr>
      <w:bookmarkStart w:id="11" w:name="_Toc24358"/>
      <w:bookmarkStart w:id="12" w:name="_Toc180758508"/>
      <w:bookmarkStart w:id="13" w:name="_Toc21787639"/>
      <w:r>
        <w:rPr>
          <w:rFonts w:hint="eastAsia" w:ascii="黑体" w:hAnsi="黑体" w:eastAsia="黑体"/>
          <w:color w:val="auto"/>
          <w:sz w:val="28"/>
          <w:szCs w:val="27"/>
          <w:highlight w:val="none"/>
        </w:rPr>
        <w:t>投标人须知前附表</w:t>
      </w:r>
      <w:bookmarkEnd w:id="11"/>
      <w:bookmarkEnd w:id="12"/>
      <w:bookmarkEnd w:id="13"/>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2061"/>
        <w:gridCol w:w="4963"/>
      </w:tblGrid>
      <w:tr w14:paraId="637B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dxa"/>
            <w:tcBorders>
              <w:top w:val="single" w:color="auto" w:sz="4" w:space="0"/>
              <w:left w:val="single" w:color="auto" w:sz="4" w:space="0"/>
              <w:bottom w:val="single" w:color="auto" w:sz="4" w:space="0"/>
              <w:right w:val="single" w:color="auto" w:sz="4" w:space="0"/>
            </w:tcBorders>
            <w:noWrap w:val="0"/>
            <w:vAlign w:val="center"/>
          </w:tcPr>
          <w:p w14:paraId="424F2D46">
            <w:pPr>
              <w:spacing w:before="156" w:beforeLines="50" w:line="360" w:lineRule="auto"/>
              <w:contextualSpacing/>
              <w:jc w:val="center"/>
              <w:rPr>
                <w:b/>
                <w:color w:val="auto"/>
                <w:szCs w:val="21"/>
                <w:highlight w:val="none"/>
              </w:rPr>
            </w:pPr>
            <w:r>
              <w:rPr>
                <w:b/>
                <w:color w:val="auto"/>
                <w:szCs w:val="21"/>
                <w:highlight w:val="none"/>
              </w:rPr>
              <w:t>条款号</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4859B19A">
            <w:pPr>
              <w:spacing w:before="156" w:beforeLines="50" w:line="360" w:lineRule="auto"/>
              <w:contextualSpacing/>
              <w:jc w:val="center"/>
              <w:rPr>
                <w:b/>
                <w:color w:val="auto"/>
                <w:szCs w:val="21"/>
                <w:highlight w:val="none"/>
              </w:rPr>
            </w:pPr>
            <w:r>
              <w:rPr>
                <w:b/>
                <w:color w:val="auto"/>
                <w:szCs w:val="21"/>
                <w:highlight w:val="none"/>
              </w:rPr>
              <w:t>条款名称</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25549359">
            <w:pPr>
              <w:spacing w:before="156" w:beforeLines="50" w:line="360" w:lineRule="auto"/>
              <w:contextualSpacing/>
              <w:jc w:val="center"/>
              <w:rPr>
                <w:b/>
                <w:color w:val="auto"/>
                <w:szCs w:val="21"/>
                <w:highlight w:val="none"/>
              </w:rPr>
            </w:pPr>
            <w:r>
              <w:rPr>
                <w:b/>
                <w:color w:val="auto"/>
                <w:szCs w:val="21"/>
                <w:highlight w:val="none"/>
              </w:rPr>
              <w:t>编列内容</w:t>
            </w:r>
          </w:p>
        </w:tc>
      </w:tr>
      <w:tr w14:paraId="1631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64203180">
            <w:pPr>
              <w:spacing w:before="156" w:beforeLines="50" w:line="360" w:lineRule="auto"/>
              <w:contextualSpacing/>
              <w:jc w:val="center"/>
              <w:rPr>
                <w:color w:val="auto"/>
                <w:szCs w:val="21"/>
                <w:highlight w:val="none"/>
              </w:rPr>
            </w:pPr>
          </w:p>
        </w:tc>
        <w:tc>
          <w:tcPr>
            <w:tcW w:w="2061" w:type="dxa"/>
            <w:tcBorders>
              <w:top w:val="single" w:color="auto" w:sz="4" w:space="0"/>
              <w:left w:val="single" w:color="auto" w:sz="4" w:space="0"/>
              <w:bottom w:val="single" w:color="auto" w:sz="4" w:space="0"/>
              <w:right w:val="single" w:color="auto" w:sz="4" w:space="0"/>
            </w:tcBorders>
            <w:noWrap w:val="0"/>
            <w:vAlign w:val="center"/>
          </w:tcPr>
          <w:p w14:paraId="60D477FB">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定义</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12CCAAFA">
            <w:pPr>
              <w:spacing w:before="156" w:beforeLines="50" w:line="0" w:lineRule="atLeast"/>
              <w:contextualSpacing/>
              <w:rPr>
                <w:rFonts w:hint="eastAsia" w:ascii="Times New Roman" w:hAnsi="Times New Roman" w:eastAsia="宋体"/>
                <w:color w:val="auto"/>
                <w:szCs w:val="21"/>
                <w:highlight w:val="none"/>
                <w:lang w:eastAsia="zh-CN"/>
              </w:rPr>
            </w:pPr>
            <w:r>
              <w:rPr>
                <w:rFonts w:hint="eastAsia"/>
                <w:color w:val="auto"/>
                <w:szCs w:val="21"/>
                <w:highlight w:val="none"/>
              </w:rPr>
              <w:t>招标人（即发包人）：</w:t>
            </w:r>
            <w:r>
              <w:rPr>
                <w:rFonts w:hint="eastAsia"/>
                <w:color w:val="auto"/>
                <w:szCs w:val="21"/>
                <w:highlight w:val="none"/>
                <w:u w:val="single"/>
                <w:lang w:eastAsia="zh-CN"/>
              </w:rPr>
              <w:t>广州市增城区大封门水库管理所</w:t>
            </w:r>
          </w:p>
          <w:p w14:paraId="71436B21">
            <w:pPr>
              <w:spacing w:before="156" w:beforeLines="50" w:line="0" w:lineRule="atLeast"/>
              <w:contextualSpacing/>
              <w:rPr>
                <w:rFonts w:hint="eastAsia" w:eastAsia="宋体"/>
                <w:color w:val="auto"/>
                <w:szCs w:val="21"/>
                <w:highlight w:val="none"/>
                <w:lang w:eastAsia="zh-CN"/>
              </w:rPr>
            </w:pPr>
            <w:r>
              <w:rPr>
                <w:rFonts w:hint="eastAsia"/>
                <w:color w:val="auto"/>
                <w:szCs w:val="21"/>
                <w:highlight w:val="none"/>
              </w:rPr>
              <w:t>招标代理单位：</w:t>
            </w:r>
            <w:r>
              <w:rPr>
                <w:rFonts w:hint="eastAsia"/>
                <w:color w:val="auto"/>
                <w:szCs w:val="21"/>
                <w:highlight w:val="none"/>
                <w:lang w:eastAsia="zh-CN"/>
              </w:rPr>
              <w:t>广东省城规建设监理有限公司</w:t>
            </w:r>
          </w:p>
          <w:p w14:paraId="4F741D70">
            <w:pPr>
              <w:spacing w:before="156" w:beforeLines="50" w:line="0" w:lineRule="atLeast"/>
              <w:contextualSpacing/>
              <w:rPr>
                <w:rFonts w:ascii="Times New Roman" w:hAnsi="Times New Roman"/>
                <w:color w:val="auto"/>
                <w:szCs w:val="21"/>
                <w:highlight w:val="none"/>
              </w:rPr>
            </w:pPr>
            <w:r>
              <w:rPr>
                <w:rFonts w:hint="eastAsia"/>
                <w:color w:val="auto"/>
                <w:szCs w:val="21"/>
                <w:highlight w:val="none"/>
              </w:rPr>
              <w:t>项目建设管理单位（如有）：/</w:t>
            </w:r>
          </w:p>
          <w:p w14:paraId="0AD00298">
            <w:pPr>
              <w:spacing w:before="156" w:beforeLines="50" w:line="0" w:lineRule="atLeast"/>
              <w:contextualSpacing/>
              <w:rPr>
                <w:rFonts w:hint="default" w:ascii="Times New Roman" w:hAnsi="Times New Roman" w:eastAsia="宋体"/>
                <w:color w:val="auto"/>
                <w:szCs w:val="21"/>
                <w:highlight w:val="none"/>
                <w:lang w:val="en-US" w:eastAsia="zh-CN"/>
              </w:rPr>
            </w:pPr>
            <w:r>
              <w:rPr>
                <w:rFonts w:hint="eastAsia"/>
                <w:color w:val="auto"/>
                <w:szCs w:val="21"/>
                <w:highlight w:val="none"/>
              </w:rPr>
              <w:t>设计单位：广州捷能电力科技有限公司</w:t>
            </w:r>
          </w:p>
          <w:p w14:paraId="6E5241D4">
            <w:pPr>
              <w:spacing w:before="156" w:beforeLines="50" w:line="0" w:lineRule="atLeast"/>
              <w:contextualSpacing/>
              <w:rPr>
                <w:rFonts w:ascii="Times New Roman" w:hAnsi="Times New Roman"/>
                <w:color w:val="auto"/>
                <w:szCs w:val="21"/>
                <w:highlight w:val="none"/>
              </w:rPr>
            </w:pPr>
            <w:r>
              <w:rPr>
                <w:rFonts w:hint="eastAsia"/>
                <w:color w:val="auto"/>
                <w:szCs w:val="21"/>
                <w:highlight w:val="none"/>
              </w:rPr>
              <w:t>监理单位（如有）：</w:t>
            </w:r>
            <w:bookmarkStart w:id="14" w:name="_Toc359263248"/>
            <w:bookmarkEnd w:id="14"/>
            <w:bookmarkStart w:id="15" w:name="_Toc359263249"/>
            <w:bookmarkStart w:id="16" w:name="_Toc221950008"/>
            <w:r>
              <w:rPr>
                <w:rFonts w:hint="eastAsia"/>
                <w:color w:val="auto"/>
                <w:szCs w:val="21"/>
                <w:highlight w:val="none"/>
              </w:rPr>
              <w:t>/</w:t>
            </w:r>
          </w:p>
          <w:bookmarkEnd w:id="15"/>
          <w:bookmarkEnd w:id="16"/>
          <w:p w14:paraId="5F45B2AD">
            <w:pPr>
              <w:spacing w:before="156" w:beforeLines="50" w:line="0" w:lineRule="atLeast"/>
              <w:contextualSpacing/>
              <w:rPr>
                <w:rFonts w:ascii="Times New Roman" w:hAnsi="Times New Roman"/>
                <w:color w:val="auto"/>
                <w:szCs w:val="21"/>
                <w:highlight w:val="none"/>
              </w:rPr>
            </w:pPr>
            <w:r>
              <w:rPr>
                <w:rFonts w:hint="eastAsia"/>
                <w:color w:val="auto"/>
                <w:szCs w:val="21"/>
                <w:highlight w:val="none"/>
              </w:rPr>
              <w:t>检测机构（如有）：</w:t>
            </w:r>
            <w:bookmarkStart w:id="17" w:name="_Toc221950011"/>
            <w:bookmarkEnd w:id="17"/>
            <w:bookmarkStart w:id="18" w:name="_Toc221950010"/>
            <w:bookmarkEnd w:id="18"/>
            <w:r>
              <w:rPr>
                <w:rFonts w:hint="eastAsia"/>
                <w:color w:val="auto"/>
                <w:szCs w:val="21"/>
                <w:highlight w:val="none"/>
              </w:rPr>
              <w:t>/</w:t>
            </w:r>
          </w:p>
        </w:tc>
      </w:tr>
      <w:tr w14:paraId="5CB3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64E5C31E">
            <w:pPr>
              <w:spacing w:before="156" w:beforeLines="50" w:line="360" w:lineRule="auto"/>
              <w:contextualSpacing/>
              <w:jc w:val="center"/>
              <w:rPr>
                <w:color w:val="auto"/>
                <w:szCs w:val="21"/>
                <w:highlight w:val="none"/>
              </w:rPr>
            </w:pPr>
            <w:r>
              <w:rPr>
                <w:rFonts w:hint="eastAsia"/>
                <w:color w:val="auto"/>
                <w:szCs w:val="21"/>
                <w:highlight w:val="none"/>
              </w:rPr>
              <w:t>1.1.3</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37D50ECF">
            <w:pPr>
              <w:spacing w:before="156" w:beforeLines="50" w:line="0" w:lineRule="atLeast"/>
              <w:contextualSpacing/>
              <w:jc w:val="center"/>
              <w:rPr>
                <w:rFonts w:ascii="Times New Roman" w:hAnsi="Times New Roman"/>
                <w:color w:val="auto"/>
                <w:szCs w:val="21"/>
                <w:highlight w:val="none"/>
              </w:rPr>
            </w:pPr>
            <w:r>
              <w:rPr>
                <w:color w:val="auto"/>
                <w:szCs w:val="21"/>
                <w:highlight w:val="none"/>
              </w:rPr>
              <w:t>项目名称</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7F0DBB54">
            <w:pPr>
              <w:spacing w:before="156" w:beforeLines="50" w:line="0" w:lineRule="atLeast"/>
              <w:contextualSpacing/>
              <w:rPr>
                <w:rFonts w:hint="eastAsia" w:eastAsia="宋体"/>
                <w:color w:val="auto"/>
                <w:szCs w:val="21"/>
                <w:highlight w:val="none"/>
                <w:lang w:eastAsia="zh-CN"/>
              </w:rPr>
            </w:pPr>
            <w:r>
              <w:rPr>
                <w:rFonts w:hint="eastAsia"/>
                <w:color w:val="auto"/>
                <w:szCs w:val="21"/>
                <w:highlight w:val="none"/>
                <w:lang w:eastAsia="zh-CN"/>
              </w:rPr>
              <w:t>广州市增城区大封门水库扩容工程输变电线路迁改工程</w:t>
            </w:r>
          </w:p>
        </w:tc>
      </w:tr>
      <w:tr w14:paraId="61CF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323C9A95">
            <w:pPr>
              <w:spacing w:before="156" w:beforeLines="50" w:line="360" w:lineRule="auto"/>
              <w:contextualSpacing/>
              <w:jc w:val="center"/>
              <w:rPr>
                <w:color w:val="auto"/>
                <w:szCs w:val="21"/>
                <w:highlight w:val="none"/>
              </w:rPr>
            </w:pPr>
            <w:r>
              <w:rPr>
                <w:rFonts w:hint="eastAsia"/>
                <w:color w:val="auto"/>
                <w:szCs w:val="21"/>
                <w:highlight w:val="none"/>
              </w:rPr>
              <w:t>1.1.4</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4FB75CF2">
            <w:pPr>
              <w:spacing w:before="156" w:beforeLines="50" w:line="0" w:lineRule="atLeast"/>
              <w:contextualSpacing/>
              <w:jc w:val="center"/>
              <w:rPr>
                <w:rFonts w:ascii="Times New Roman" w:hAnsi="Times New Roman"/>
                <w:color w:val="auto"/>
                <w:szCs w:val="21"/>
                <w:highlight w:val="none"/>
              </w:rPr>
            </w:pPr>
            <w:r>
              <w:rPr>
                <w:color w:val="auto"/>
                <w:szCs w:val="21"/>
                <w:highlight w:val="none"/>
              </w:rPr>
              <w:t>建设地点</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53EC1E71">
            <w:pPr>
              <w:spacing w:before="156" w:beforeLines="50" w:line="0" w:lineRule="atLeast"/>
              <w:contextualSpacing/>
              <w:rPr>
                <w:color w:val="auto"/>
                <w:szCs w:val="21"/>
                <w:highlight w:val="none"/>
              </w:rPr>
            </w:pPr>
            <w:r>
              <w:rPr>
                <w:rFonts w:hint="eastAsia"/>
                <w:color w:val="auto"/>
                <w:szCs w:val="21"/>
                <w:highlight w:val="none"/>
              </w:rPr>
              <w:t>详见招标公告</w:t>
            </w:r>
          </w:p>
        </w:tc>
      </w:tr>
      <w:tr w14:paraId="493C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dxa"/>
            <w:tcBorders>
              <w:top w:val="single" w:color="auto" w:sz="4" w:space="0"/>
              <w:left w:val="single" w:color="auto" w:sz="4" w:space="0"/>
              <w:bottom w:val="single" w:color="auto" w:sz="4" w:space="0"/>
              <w:right w:val="single" w:color="auto" w:sz="4" w:space="0"/>
            </w:tcBorders>
            <w:noWrap w:val="0"/>
            <w:vAlign w:val="center"/>
          </w:tcPr>
          <w:p w14:paraId="61AFEC25">
            <w:pPr>
              <w:spacing w:before="156" w:beforeLines="50" w:line="360" w:lineRule="auto"/>
              <w:contextualSpacing/>
              <w:jc w:val="center"/>
              <w:rPr>
                <w:color w:val="auto"/>
                <w:szCs w:val="21"/>
                <w:highlight w:val="none"/>
              </w:rPr>
            </w:pPr>
            <w:r>
              <w:rPr>
                <w:rFonts w:hint="eastAsia"/>
                <w:color w:val="auto"/>
                <w:szCs w:val="21"/>
                <w:highlight w:val="none"/>
              </w:rPr>
              <w:t>1.2.1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39C92D98">
            <w:pPr>
              <w:spacing w:before="156" w:beforeLines="50" w:line="0" w:lineRule="atLeast"/>
              <w:contextualSpacing/>
              <w:jc w:val="center"/>
              <w:rPr>
                <w:rFonts w:ascii="Times New Roman" w:hAnsi="Times New Roman"/>
                <w:color w:val="auto"/>
                <w:szCs w:val="21"/>
                <w:highlight w:val="none"/>
              </w:rPr>
            </w:pPr>
            <w:r>
              <w:rPr>
                <w:color w:val="auto"/>
                <w:szCs w:val="21"/>
                <w:highlight w:val="none"/>
              </w:rPr>
              <w:t>资金来源</w:t>
            </w:r>
            <w:r>
              <w:rPr>
                <w:rFonts w:hint="eastAsia"/>
                <w:color w:val="auto"/>
                <w:szCs w:val="21"/>
                <w:highlight w:val="none"/>
              </w:rPr>
              <w:t>及比例</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148F43D3">
            <w:pPr>
              <w:spacing w:before="156" w:beforeLines="50" w:line="0" w:lineRule="atLeast"/>
              <w:contextualSpacing/>
              <w:rPr>
                <w:color w:val="auto"/>
                <w:szCs w:val="21"/>
                <w:highlight w:val="none"/>
              </w:rPr>
            </w:pPr>
            <w:r>
              <w:rPr>
                <w:rFonts w:hint="eastAsia"/>
                <w:color w:val="auto"/>
                <w:szCs w:val="21"/>
                <w:highlight w:val="none"/>
              </w:rPr>
              <w:t>详见招标公告</w:t>
            </w:r>
          </w:p>
        </w:tc>
      </w:tr>
      <w:tr w14:paraId="7251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dxa"/>
            <w:tcBorders>
              <w:top w:val="single" w:color="auto" w:sz="4" w:space="0"/>
              <w:left w:val="single" w:color="auto" w:sz="4" w:space="0"/>
              <w:bottom w:val="single" w:color="auto" w:sz="4" w:space="0"/>
              <w:right w:val="single" w:color="auto" w:sz="4" w:space="0"/>
            </w:tcBorders>
            <w:noWrap w:val="0"/>
            <w:vAlign w:val="center"/>
          </w:tcPr>
          <w:p w14:paraId="68A5A574">
            <w:pPr>
              <w:spacing w:before="156" w:beforeLines="50" w:line="360" w:lineRule="auto"/>
              <w:contextualSpacing/>
              <w:jc w:val="center"/>
              <w:rPr>
                <w:color w:val="auto"/>
                <w:szCs w:val="21"/>
                <w:highlight w:val="none"/>
              </w:rPr>
            </w:pPr>
            <w:r>
              <w:rPr>
                <w:rFonts w:hint="eastAsia"/>
                <w:color w:val="auto"/>
                <w:szCs w:val="21"/>
                <w:highlight w:val="none"/>
              </w:rPr>
              <w:t>1.2.2</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3B43EB18">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资金落实情况</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57221385">
            <w:pPr>
              <w:spacing w:before="156" w:beforeLines="50" w:line="0" w:lineRule="atLeast"/>
              <w:contextualSpacing/>
              <w:rPr>
                <w:color w:val="auto"/>
                <w:szCs w:val="21"/>
                <w:highlight w:val="none"/>
              </w:rPr>
            </w:pPr>
            <w:r>
              <w:rPr>
                <w:rFonts w:hint="eastAsia"/>
                <w:color w:val="auto"/>
                <w:szCs w:val="21"/>
                <w:highlight w:val="none"/>
              </w:rPr>
              <w:t>资金来源已落实</w:t>
            </w:r>
          </w:p>
        </w:tc>
      </w:tr>
      <w:tr w14:paraId="11C10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dxa"/>
            <w:tcBorders>
              <w:top w:val="single" w:color="auto" w:sz="4" w:space="0"/>
              <w:left w:val="single" w:color="auto" w:sz="4" w:space="0"/>
              <w:bottom w:val="single" w:color="auto" w:sz="4" w:space="0"/>
              <w:right w:val="single" w:color="auto" w:sz="4" w:space="0"/>
            </w:tcBorders>
            <w:noWrap w:val="0"/>
            <w:vAlign w:val="center"/>
          </w:tcPr>
          <w:p w14:paraId="6C193D84">
            <w:pPr>
              <w:spacing w:before="156" w:beforeLines="50" w:line="360" w:lineRule="auto"/>
              <w:contextualSpacing/>
              <w:jc w:val="center"/>
              <w:rPr>
                <w:color w:val="auto"/>
                <w:szCs w:val="21"/>
                <w:highlight w:val="none"/>
              </w:rPr>
            </w:pPr>
            <w:r>
              <w:rPr>
                <w:rFonts w:hint="eastAsia"/>
                <w:color w:val="auto"/>
                <w:szCs w:val="21"/>
                <w:highlight w:val="none"/>
              </w:rPr>
              <w:t>1.3.1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0E5168E7">
            <w:pPr>
              <w:spacing w:before="156" w:beforeLines="50" w:line="0" w:lineRule="atLeast"/>
              <w:contextualSpacing/>
              <w:jc w:val="center"/>
              <w:rPr>
                <w:rFonts w:ascii="Times New Roman" w:hAnsi="Times New Roman"/>
                <w:color w:val="auto"/>
                <w:szCs w:val="21"/>
                <w:highlight w:val="none"/>
              </w:rPr>
            </w:pPr>
            <w:r>
              <w:rPr>
                <w:color w:val="auto"/>
                <w:szCs w:val="21"/>
                <w:highlight w:val="none"/>
              </w:rPr>
              <w:t>招标范围</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318E2DE6">
            <w:pPr>
              <w:spacing w:before="156" w:beforeLines="50" w:line="0" w:lineRule="atLeast"/>
              <w:contextualSpacing/>
              <w:rPr>
                <w:color w:val="auto"/>
                <w:szCs w:val="21"/>
                <w:highlight w:val="none"/>
              </w:rPr>
            </w:pPr>
            <w:r>
              <w:rPr>
                <w:rFonts w:hint="eastAsia"/>
                <w:color w:val="auto"/>
                <w:szCs w:val="21"/>
                <w:highlight w:val="none"/>
              </w:rPr>
              <w:t>详见招标公告</w:t>
            </w:r>
          </w:p>
        </w:tc>
      </w:tr>
      <w:tr w14:paraId="6104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dxa"/>
            <w:tcBorders>
              <w:top w:val="single" w:color="auto" w:sz="4" w:space="0"/>
              <w:left w:val="single" w:color="auto" w:sz="4" w:space="0"/>
              <w:bottom w:val="single" w:color="auto" w:sz="4" w:space="0"/>
              <w:right w:val="single" w:color="auto" w:sz="4" w:space="0"/>
            </w:tcBorders>
            <w:noWrap w:val="0"/>
            <w:vAlign w:val="center"/>
          </w:tcPr>
          <w:p w14:paraId="07C2D94A">
            <w:pPr>
              <w:spacing w:before="156" w:beforeLines="50" w:line="360" w:lineRule="auto"/>
              <w:contextualSpacing/>
              <w:jc w:val="center"/>
              <w:rPr>
                <w:color w:val="auto"/>
                <w:szCs w:val="21"/>
                <w:highlight w:val="none"/>
              </w:rPr>
            </w:pPr>
            <w:r>
              <w:rPr>
                <w:rFonts w:hint="eastAsia"/>
                <w:color w:val="auto"/>
                <w:szCs w:val="21"/>
                <w:highlight w:val="none"/>
              </w:rPr>
              <w:t>1.3.2</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6A7361A7">
            <w:pPr>
              <w:spacing w:before="156" w:beforeLines="50" w:line="0" w:lineRule="atLeast"/>
              <w:contextualSpacing/>
              <w:jc w:val="center"/>
              <w:rPr>
                <w:rFonts w:ascii="Times New Roman" w:hAnsi="Times New Roman"/>
                <w:color w:val="auto"/>
                <w:szCs w:val="21"/>
                <w:highlight w:val="none"/>
              </w:rPr>
            </w:pPr>
            <w:r>
              <w:rPr>
                <w:color w:val="auto"/>
                <w:szCs w:val="21"/>
                <w:highlight w:val="none"/>
              </w:rPr>
              <w:t>计划工期</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2A766E0A">
            <w:pPr>
              <w:spacing w:before="156" w:beforeLines="50" w:line="0" w:lineRule="atLeast"/>
              <w:contextualSpacing/>
              <w:rPr>
                <w:color w:val="auto"/>
                <w:szCs w:val="21"/>
                <w:highlight w:val="none"/>
              </w:rPr>
            </w:pPr>
            <w:r>
              <w:rPr>
                <w:color w:val="auto"/>
                <w:szCs w:val="21"/>
                <w:highlight w:val="none"/>
              </w:rPr>
              <w:t>计划工期：</w:t>
            </w:r>
            <w:r>
              <w:rPr>
                <w:rFonts w:hint="eastAsia" w:ascii="宋体" w:hAnsi="宋体"/>
                <w:color w:val="auto"/>
                <w:szCs w:val="21"/>
                <w:highlight w:val="none"/>
                <w:u w:val="single"/>
                <w:lang w:val="en-US" w:eastAsia="zh-CN"/>
              </w:rPr>
              <w:t>120</w:t>
            </w:r>
            <w:r>
              <w:rPr>
                <w:color w:val="auto"/>
                <w:szCs w:val="21"/>
                <w:highlight w:val="none"/>
              </w:rPr>
              <w:t>日历天</w:t>
            </w:r>
          </w:p>
          <w:p w14:paraId="1DA0C609">
            <w:pPr>
              <w:spacing w:before="156" w:beforeLines="50" w:line="0" w:lineRule="atLeast"/>
              <w:contextualSpacing/>
              <w:rPr>
                <w:color w:val="auto"/>
                <w:szCs w:val="21"/>
                <w:highlight w:val="none"/>
              </w:rPr>
            </w:pPr>
            <w:r>
              <w:rPr>
                <w:color w:val="auto"/>
                <w:szCs w:val="21"/>
                <w:highlight w:val="none"/>
              </w:rPr>
              <w:t>计划开工日期：</w:t>
            </w:r>
            <w:r>
              <w:rPr>
                <w:color w:val="auto"/>
                <w:szCs w:val="21"/>
                <w:highlight w:val="none"/>
                <w:u w:val="single"/>
              </w:rPr>
              <w:t xml:space="preserve">    </w:t>
            </w:r>
            <w:r>
              <w:rPr>
                <w:color w:val="auto"/>
                <w:szCs w:val="21"/>
                <w:highlight w:val="none"/>
              </w:rPr>
              <w:t xml:space="preserve">年 </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14:paraId="0C659D40">
            <w:pPr>
              <w:spacing w:before="156" w:beforeLines="50" w:line="0" w:lineRule="atLeast"/>
              <w:contextualSpacing/>
              <w:rPr>
                <w:rFonts w:ascii="Times New Roman" w:hAnsi="Times New Roman"/>
                <w:color w:val="auto"/>
                <w:szCs w:val="21"/>
                <w:highlight w:val="none"/>
              </w:rPr>
            </w:pPr>
            <w:r>
              <w:rPr>
                <w:color w:val="auto"/>
                <w:szCs w:val="21"/>
                <w:highlight w:val="none"/>
              </w:rPr>
              <w:t>计划</w:t>
            </w:r>
            <w:r>
              <w:rPr>
                <w:rFonts w:hint="eastAsia"/>
                <w:color w:val="auto"/>
                <w:szCs w:val="21"/>
                <w:highlight w:val="none"/>
              </w:rPr>
              <w:t>竣工</w:t>
            </w:r>
            <w:r>
              <w:rPr>
                <w:color w:val="auto"/>
                <w:szCs w:val="21"/>
                <w:highlight w:val="none"/>
              </w:rPr>
              <w:t>日期：</w:t>
            </w:r>
            <w:r>
              <w:rPr>
                <w:color w:val="auto"/>
                <w:szCs w:val="21"/>
                <w:highlight w:val="none"/>
                <w:u w:val="single"/>
              </w:rPr>
              <w:t xml:space="preserve">    </w:t>
            </w:r>
            <w:r>
              <w:rPr>
                <w:color w:val="auto"/>
                <w:szCs w:val="21"/>
                <w:highlight w:val="none"/>
              </w:rPr>
              <w:t xml:space="preserve">年 </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tc>
      </w:tr>
      <w:tr w14:paraId="722C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dxa"/>
            <w:tcBorders>
              <w:top w:val="single" w:color="auto" w:sz="4" w:space="0"/>
              <w:left w:val="single" w:color="auto" w:sz="4" w:space="0"/>
              <w:bottom w:val="single" w:color="auto" w:sz="4" w:space="0"/>
              <w:right w:val="single" w:color="auto" w:sz="4" w:space="0"/>
            </w:tcBorders>
            <w:noWrap w:val="0"/>
            <w:vAlign w:val="center"/>
          </w:tcPr>
          <w:p w14:paraId="56EEEB88">
            <w:pPr>
              <w:spacing w:before="156" w:beforeLines="50" w:line="360" w:lineRule="auto"/>
              <w:contextualSpacing/>
              <w:jc w:val="center"/>
              <w:rPr>
                <w:color w:val="auto"/>
                <w:szCs w:val="21"/>
                <w:highlight w:val="none"/>
              </w:rPr>
            </w:pPr>
            <w:r>
              <w:rPr>
                <w:rFonts w:hint="eastAsia"/>
                <w:color w:val="auto"/>
                <w:szCs w:val="21"/>
                <w:highlight w:val="none"/>
              </w:rPr>
              <w:t>1.3.3</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2401401C">
            <w:pPr>
              <w:spacing w:before="156" w:beforeLines="50" w:line="0" w:lineRule="atLeast"/>
              <w:contextualSpacing/>
              <w:jc w:val="center"/>
              <w:rPr>
                <w:rFonts w:ascii="Times New Roman" w:hAnsi="Times New Roman"/>
                <w:color w:val="auto"/>
                <w:szCs w:val="21"/>
                <w:highlight w:val="none"/>
              </w:rPr>
            </w:pPr>
            <w:r>
              <w:rPr>
                <w:color w:val="auto"/>
                <w:szCs w:val="21"/>
                <w:highlight w:val="none"/>
              </w:rPr>
              <w:t>质量要求</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73D189BC">
            <w:pPr>
              <w:spacing w:before="156" w:beforeLines="50" w:line="0" w:lineRule="atLeast"/>
              <w:contextualSpacing/>
              <w:rPr>
                <w:color w:val="auto"/>
                <w:szCs w:val="21"/>
                <w:highlight w:val="none"/>
              </w:rPr>
            </w:pPr>
            <w:r>
              <w:rPr>
                <w:rFonts w:hint="eastAsia" w:ascii="宋体" w:hAnsi="宋体"/>
                <w:color w:val="auto"/>
                <w:szCs w:val="21"/>
                <w:highlight w:val="none"/>
              </w:rPr>
              <w:t>☑</w:t>
            </w:r>
            <w:r>
              <w:rPr>
                <w:rFonts w:hint="eastAsia"/>
                <w:color w:val="auto"/>
                <w:szCs w:val="21"/>
                <w:highlight w:val="none"/>
              </w:rPr>
              <w:t>合格</w:t>
            </w:r>
          </w:p>
          <w:p w14:paraId="38A2FDA2">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w:t>
            </w:r>
            <w:r>
              <w:rPr>
                <w:rFonts w:hint="eastAsia"/>
                <w:color w:val="auto"/>
                <w:szCs w:val="21"/>
                <w:highlight w:val="none"/>
              </w:rPr>
              <w:t>优良</w:t>
            </w:r>
          </w:p>
        </w:tc>
      </w:tr>
      <w:tr w14:paraId="4ED3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dxa"/>
            <w:tcBorders>
              <w:top w:val="single" w:color="auto" w:sz="4" w:space="0"/>
              <w:left w:val="single" w:color="auto" w:sz="4" w:space="0"/>
              <w:bottom w:val="single" w:color="auto" w:sz="4" w:space="0"/>
              <w:right w:val="single" w:color="auto" w:sz="4" w:space="0"/>
            </w:tcBorders>
            <w:noWrap w:val="0"/>
            <w:vAlign w:val="center"/>
          </w:tcPr>
          <w:p w14:paraId="5E5F61AF">
            <w:pPr>
              <w:spacing w:before="156" w:beforeLines="50" w:line="360" w:lineRule="auto"/>
              <w:contextualSpacing/>
              <w:jc w:val="center"/>
              <w:rPr>
                <w:color w:val="auto"/>
                <w:szCs w:val="21"/>
                <w:highlight w:val="none"/>
              </w:rPr>
            </w:pPr>
            <w:r>
              <w:rPr>
                <w:rFonts w:hint="eastAsia"/>
                <w:color w:val="auto"/>
                <w:szCs w:val="21"/>
                <w:highlight w:val="none"/>
              </w:rPr>
              <w:t>1.3.4</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71C1308E">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承包方式</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2BCA24C8">
            <w:pPr>
              <w:pStyle w:val="15"/>
              <w:topLinePunct/>
              <w:spacing w:line="0" w:lineRule="atLeast"/>
              <w:rPr>
                <w:color w:val="auto"/>
                <w:sz w:val="21"/>
                <w:szCs w:val="21"/>
                <w:highlight w:val="none"/>
              </w:rPr>
            </w:pPr>
            <w:r>
              <w:rPr>
                <w:rFonts w:hint="eastAsia" w:ascii="宋体" w:hAnsi="宋体"/>
                <w:color w:val="auto"/>
                <w:sz w:val="21"/>
                <w:szCs w:val="21"/>
                <w:highlight w:val="none"/>
              </w:rPr>
              <w:t>□</w:t>
            </w:r>
            <w:r>
              <w:rPr>
                <w:rFonts w:hint="eastAsia"/>
                <w:color w:val="auto"/>
                <w:sz w:val="21"/>
                <w:szCs w:val="21"/>
                <w:highlight w:val="none"/>
              </w:rPr>
              <w:t>固定总价</w:t>
            </w:r>
          </w:p>
          <w:p w14:paraId="57DB92D9">
            <w:pPr>
              <w:pStyle w:val="15"/>
              <w:topLinePunct/>
              <w:spacing w:line="0" w:lineRule="atLeast"/>
              <w:rPr>
                <w:color w:val="auto"/>
                <w:sz w:val="21"/>
                <w:szCs w:val="21"/>
                <w:highlight w:val="none"/>
              </w:rPr>
            </w:pPr>
            <w:r>
              <w:rPr>
                <w:rFonts w:hint="eastAsia" w:ascii="宋体" w:hAnsi="宋体"/>
                <w:color w:val="auto"/>
                <w:sz w:val="21"/>
                <w:szCs w:val="21"/>
                <w:highlight w:val="none"/>
              </w:rPr>
              <w:t>□</w:t>
            </w:r>
            <w:r>
              <w:rPr>
                <w:rFonts w:hint="eastAsia"/>
                <w:color w:val="auto"/>
                <w:sz w:val="21"/>
                <w:szCs w:val="21"/>
                <w:highlight w:val="none"/>
              </w:rPr>
              <w:t>综合单价</w:t>
            </w:r>
          </w:p>
          <w:p w14:paraId="1CDCEE83">
            <w:pPr>
              <w:spacing w:before="156" w:beforeLines="50" w:line="0" w:lineRule="atLeast"/>
              <w:contextualSpacing/>
              <w:rPr>
                <w:color w:val="auto"/>
                <w:szCs w:val="21"/>
                <w:highlight w:val="none"/>
              </w:rPr>
            </w:pPr>
            <w:r>
              <w:rPr>
                <w:rFonts w:hint="eastAsia" w:ascii="宋体" w:hAnsi="宋体"/>
                <w:color w:val="auto"/>
                <w:szCs w:val="21"/>
                <w:highlight w:val="none"/>
              </w:rPr>
              <w:t>☑</w:t>
            </w:r>
            <w:r>
              <w:rPr>
                <w:rFonts w:hint="eastAsia"/>
                <w:color w:val="auto"/>
                <w:szCs w:val="21"/>
                <w:highlight w:val="none"/>
              </w:rPr>
              <w:t>其他：详见招标公告</w:t>
            </w:r>
          </w:p>
        </w:tc>
      </w:tr>
      <w:tr w14:paraId="760B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98" w:type="dxa"/>
            <w:tcBorders>
              <w:top w:val="single" w:color="auto" w:sz="4" w:space="0"/>
              <w:left w:val="single" w:color="auto" w:sz="4" w:space="0"/>
              <w:right w:val="single" w:color="auto" w:sz="4" w:space="0"/>
            </w:tcBorders>
            <w:noWrap w:val="0"/>
            <w:vAlign w:val="center"/>
          </w:tcPr>
          <w:p w14:paraId="02613450">
            <w:pPr>
              <w:spacing w:before="156" w:beforeLines="50" w:line="360" w:lineRule="auto"/>
              <w:contextualSpacing/>
              <w:jc w:val="center"/>
              <w:rPr>
                <w:color w:val="auto"/>
                <w:szCs w:val="21"/>
                <w:highlight w:val="none"/>
              </w:rPr>
            </w:pPr>
            <w:r>
              <w:rPr>
                <w:rFonts w:hint="eastAsia"/>
                <w:color w:val="auto"/>
                <w:szCs w:val="21"/>
                <w:highlight w:val="none"/>
              </w:rPr>
              <w:t>1.4.1</w:t>
            </w:r>
          </w:p>
        </w:tc>
        <w:tc>
          <w:tcPr>
            <w:tcW w:w="2061" w:type="dxa"/>
            <w:tcBorders>
              <w:top w:val="single" w:color="auto" w:sz="4" w:space="0"/>
              <w:left w:val="single" w:color="auto" w:sz="4" w:space="0"/>
              <w:right w:val="single" w:color="auto" w:sz="4" w:space="0"/>
            </w:tcBorders>
            <w:noWrap w:val="0"/>
            <w:vAlign w:val="center"/>
          </w:tcPr>
          <w:p w14:paraId="660D6E1E">
            <w:pPr>
              <w:spacing w:before="156" w:beforeLines="50" w:line="0" w:lineRule="atLeast"/>
              <w:contextualSpacing/>
              <w:jc w:val="center"/>
              <w:rPr>
                <w:rFonts w:ascii="宋体" w:hAnsi="宋体"/>
                <w:color w:val="auto"/>
                <w:szCs w:val="21"/>
                <w:highlight w:val="none"/>
              </w:rPr>
            </w:pPr>
            <w:r>
              <w:rPr>
                <w:rFonts w:hint="eastAsia" w:ascii="宋体" w:hAnsi="宋体"/>
                <w:color w:val="auto"/>
                <w:szCs w:val="21"/>
                <w:highlight w:val="none"/>
              </w:rPr>
              <w:t>投标人资质条件、</w:t>
            </w:r>
          </w:p>
          <w:p w14:paraId="5D1CC47B">
            <w:pPr>
              <w:spacing w:before="156" w:beforeLines="50" w:line="0" w:lineRule="atLeast"/>
              <w:contextualSpacing/>
              <w:jc w:val="center"/>
              <w:rPr>
                <w:rFonts w:ascii="宋体" w:hAnsi="宋体"/>
                <w:color w:val="auto"/>
                <w:szCs w:val="21"/>
                <w:highlight w:val="none"/>
              </w:rPr>
            </w:pPr>
            <w:r>
              <w:rPr>
                <w:rFonts w:hint="eastAsia" w:ascii="宋体" w:hAnsi="宋体"/>
                <w:color w:val="auto"/>
                <w:szCs w:val="21"/>
                <w:highlight w:val="none"/>
              </w:rPr>
              <w:t>能力、信誉</w:t>
            </w:r>
          </w:p>
        </w:tc>
        <w:tc>
          <w:tcPr>
            <w:tcW w:w="4963" w:type="dxa"/>
            <w:tcBorders>
              <w:top w:val="single" w:color="auto" w:sz="4" w:space="0"/>
              <w:left w:val="single" w:color="auto" w:sz="4" w:space="0"/>
              <w:right w:val="single" w:color="auto" w:sz="4" w:space="0"/>
            </w:tcBorders>
            <w:noWrap w:val="0"/>
            <w:vAlign w:val="center"/>
          </w:tcPr>
          <w:p w14:paraId="36C3363C">
            <w:pPr>
              <w:pStyle w:val="15"/>
              <w:topLinePunct/>
              <w:spacing w:before="156" w:beforeLines="50" w:after="0" w:line="0" w:lineRule="atLeast"/>
              <w:contextualSpacing/>
              <w:rPr>
                <w:color w:val="auto"/>
                <w:sz w:val="21"/>
                <w:szCs w:val="21"/>
                <w:highlight w:val="none"/>
              </w:rPr>
            </w:pPr>
            <w:r>
              <w:rPr>
                <w:rFonts w:hint="eastAsia"/>
                <w:color w:val="auto"/>
                <w:sz w:val="21"/>
                <w:szCs w:val="21"/>
                <w:highlight w:val="none"/>
              </w:rPr>
              <w:t>详</w:t>
            </w:r>
            <w:bookmarkStart w:id="19" w:name="_Toc221950015"/>
            <w:r>
              <w:rPr>
                <w:rFonts w:hint="eastAsia"/>
                <w:color w:val="auto"/>
                <w:sz w:val="21"/>
                <w:szCs w:val="21"/>
                <w:highlight w:val="none"/>
              </w:rPr>
              <w:t>见本项目招</w:t>
            </w:r>
            <w:bookmarkEnd w:id="19"/>
            <w:r>
              <w:rPr>
                <w:rFonts w:hint="eastAsia"/>
                <w:color w:val="auto"/>
                <w:sz w:val="21"/>
                <w:szCs w:val="21"/>
                <w:highlight w:val="none"/>
              </w:rPr>
              <w:t>标公告</w:t>
            </w:r>
          </w:p>
        </w:tc>
        <w:bookmarkStart w:id="20" w:name="_Toc221950017"/>
      </w:tr>
      <w:bookmarkEnd w:id="20"/>
      <w:tr w14:paraId="5D34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4F089313">
            <w:pPr>
              <w:spacing w:before="156" w:beforeLines="50" w:line="360" w:lineRule="auto"/>
              <w:contextualSpacing/>
              <w:jc w:val="center"/>
              <w:rPr>
                <w:color w:val="auto"/>
                <w:szCs w:val="21"/>
                <w:highlight w:val="none"/>
              </w:rPr>
            </w:pPr>
            <w:r>
              <w:rPr>
                <w:rFonts w:hint="eastAsia"/>
                <w:color w:val="auto"/>
                <w:szCs w:val="21"/>
                <w:highlight w:val="none"/>
              </w:rPr>
              <w:t>1.4.2</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015FF07D">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是否接受</w:t>
            </w:r>
          </w:p>
          <w:p w14:paraId="740D2711">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联合</w:t>
            </w:r>
            <w:bookmarkStart w:id="21" w:name="_Toc221950019"/>
            <w:r>
              <w:rPr>
                <w:rFonts w:hint="eastAsia"/>
                <w:color w:val="auto"/>
                <w:szCs w:val="21"/>
                <w:highlight w:val="none"/>
              </w:rPr>
              <w:t>体投标</w:t>
            </w:r>
          </w:p>
          <w:bookmarkEnd w:id="21"/>
        </w:tc>
        <w:tc>
          <w:tcPr>
            <w:tcW w:w="4963" w:type="dxa"/>
            <w:tcBorders>
              <w:top w:val="single" w:color="auto" w:sz="4" w:space="0"/>
              <w:left w:val="single" w:color="auto" w:sz="4" w:space="0"/>
              <w:bottom w:val="single" w:color="auto" w:sz="4" w:space="0"/>
              <w:right w:val="single" w:color="auto" w:sz="4" w:space="0"/>
            </w:tcBorders>
            <w:noWrap w:val="0"/>
            <w:vAlign w:val="center"/>
          </w:tcPr>
          <w:p w14:paraId="11EB6E5E">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☑不接受</w:t>
            </w:r>
          </w:p>
          <w:p w14:paraId="62DADB0A">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□接受，</w:t>
            </w:r>
            <w:bookmarkStart w:id="22" w:name="_Toc221950031"/>
            <w:r>
              <w:rPr>
                <w:rFonts w:hint="eastAsia" w:ascii="宋体" w:hAnsi="宋体"/>
                <w:color w:val="auto"/>
                <w:szCs w:val="21"/>
                <w:highlight w:val="none"/>
              </w:rPr>
              <w:t>应满足下</w:t>
            </w:r>
            <w:bookmarkEnd w:id="22"/>
            <w:r>
              <w:rPr>
                <w:rFonts w:hint="eastAsia" w:ascii="宋体" w:hAnsi="宋体"/>
                <w:color w:val="auto"/>
                <w:szCs w:val="21"/>
                <w:highlight w:val="none"/>
              </w:rPr>
              <w:t>列要求：__</w:t>
            </w:r>
          </w:p>
        </w:tc>
      </w:tr>
      <w:tr w14:paraId="1ECD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498" w:type="dxa"/>
            <w:tcBorders>
              <w:top w:val="single" w:color="auto" w:sz="4" w:space="0"/>
              <w:left w:val="single" w:color="auto" w:sz="4" w:space="0"/>
              <w:right w:val="single" w:color="auto" w:sz="4" w:space="0"/>
            </w:tcBorders>
            <w:noWrap w:val="0"/>
            <w:vAlign w:val="center"/>
          </w:tcPr>
          <w:p w14:paraId="1C25702D">
            <w:pPr>
              <w:spacing w:before="156" w:beforeLines="50" w:line="360" w:lineRule="auto"/>
              <w:contextualSpacing/>
              <w:jc w:val="center"/>
              <w:rPr>
                <w:color w:val="auto"/>
                <w:szCs w:val="21"/>
                <w:highlight w:val="none"/>
              </w:rPr>
            </w:pPr>
            <w:bookmarkStart w:id="23" w:name="_Toc221950039"/>
          </w:p>
        </w:tc>
        <w:tc>
          <w:tcPr>
            <w:tcW w:w="2061" w:type="dxa"/>
            <w:tcBorders>
              <w:top w:val="single" w:color="auto" w:sz="4" w:space="0"/>
              <w:left w:val="single" w:color="auto" w:sz="4" w:space="0"/>
              <w:right w:val="single" w:color="auto" w:sz="4" w:space="0"/>
            </w:tcBorders>
            <w:noWrap w:val="0"/>
            <w:vAlign w:val="center"/>
          </w:tcPr>
          <w:p w14:paraId="36A8CD22">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资格</w:t>
            </w:r>
            <w:bookmarkEnd w:id="23"/>
            <w:r>
              <w:rPr>
                <w:rFonts w:hint="eastAsia"/>
                <w:color w:val="auto"/>
                <w:szCs w:val="21"/>
                <w:highlight w:val="none"/>
              </w:rPr>
              <w:t>审</w:t>
            </w:r>
            <w:bookmarkStart w:id="24" w:name="_Toc221950040"/>
            <w:r>
              <w:rPr>
                <w:rFonts w:hint="eastAsia"/>
                <w:color w:val="auto"/>
                <w:szCs w:val="21"/>
                <w:highlight w:val="none"/>
              </w:rPr>
              <w:t>查方式</w:t>
            </w:r>
          </w:p>
        </w:tc>
        <w:tc>
          <w:tcPr>
            <w:tcW w:w="4963" w:type="dxa"/>
            <w:tcBorders>
              <w:top w:val="single" w:color="auto" w:sz="4" w:space="0"/>
              <w:left w:val="single" w:color="auto" w:sz="4" w:space="0"/>
              <w:right w:val="single" w:color="auto" w:sz="4" w:space="0"/>
            </w:tcBorders>
            <w:noWrap w:val="0"/>
            <w:vAlign w:val="center"/>
          </w:tcPr>
          <w:p w14:paraId="7BE1FEB2">
            <w:pPr>
              <w:pStyle w:val="15"/>
              <w:topLinePunct/>
              <w:spacing w:before="156" w:beforeLines="50" w:after="0" w:line="0" w:lineRule="atLeast"/>
              <w:contextualSpacing/>
              <w:rPr>
                <w:rFonts w:ascii="Times New Roman" w:hAnsi="Times New Roman"/>
                <w:color w:val="auto"/>
                <w:sz w:val="21"/>
                <w:szCs w:val="21"/>
                <w:highlight w:val="none"/>
              </w:rPr>
            </w:pPr>
            <w:r>
              <w:rPr>
                <w:rFonts w:hint="eastAsia"/>
                <w:color w:val="auto"/>
                <w:sz w:val="21"/>
                <w:szCs w:val="21"/>
                <w:highlight w:val="none"/>
              </w:rPr>
              <w:t>资格后审</w:t>
            </w:r>
          </w:p>
        </w:tc>
      </w:tr>
      <w:tr w14:paraId="7253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98" w:type="dxa"/>
            <w:tcBorders>
              <w:top w:val="single" w:color="auto" w:sz="4" w:space="0"/>
              <w:left w:val="single" w:color="auto" w:sz="4" w:space="0"/>
              <w:right w:val="single" w:color="auto" w:sz="4" w:space="0"/>
            </w:tcBorders>
            <w:noWrap w:val="0"/>
            <w:vAlign w:val="center"/>
          </w:tcPr>
          <w:p w14:paraId="7B3CD351">
            <w:pPr>
              <w:spacing w:line="360" w:lineRule="auto"/>
              <w:jc w:val="center"/>
              <w:rPr>
                <w:color w:val="auto"/>
                <w:szCs w:val="21"/>
                <w:highlight w:val="none"/>
              </w:rPr>
            </w:pPr>
            <w:r>
              <w:rPr>
                <w:rFonts w:hint="eastAsia"/>
                <w:color w:val="auto"/>
                <w:szCs w:val="21"/>
                <w:highlight w:val="none"/>
              </w:rPr>
              <w:t>1.9.1</w:t>
            </w:r>
          </w:p>
          <w:bookmarkEnd w:id="24"/>
        </w:tc>
        <w:tc>
          <w:tcPr>
            <w:tcW w:w="2061" w:type="dxa"/>
            <w:tcBorders>
              <w:top w:val="single" w:color="auto" w:sz="4" w:space="0"/>
              <w:left w:val="single" w:color="auto" w:sz="4" w:space="0"/>
              <w:right w:val="single" w:color="auto" w:sz="4" w:space="0"/>
            </w:tcBorders>
            <w:noWrap w:val="0"/>
            <w:vAlign w:val="center"/>
          </w:tcPr>
          <w:p w14:paraId="2E9A0E07">
            <w:pPr>
              <w:spacing w:line="0" w:lineRule="atLeast"/>
              <w:jc w:val="center"/>
              <w:rPr>
                <w:color w:val="auto"/>
                <w:szCs w:val="21"/>
                <w:highlight w:val="none"/>
              </w:rPr>
            </w:pPr>
            <w:r>
              <w:rPr>
                <w:rFonts w:hint="eastAsia"/>
                <w:color w:val="auto"/>
                <w:szCs w:val="21"/>
                <w:highlight w:val="none"/>
              </w:rPr>
              <w:t>踏</w:t>
            </w:r>
            <w:bookmarkStart w:id="25" w:name="_Toc221950041"/>
            <w:r>
              <w:rPr>
                <w:rFonts w:hint="eastAsia"/>
                <w:color w:val="auto"/>
                <w:szCs w:val="21"/>
                <w:highlight w:val="none"/>
              </w:rPr>
              <w:t>勘现场</w:t>
            </w:r>
          </w:p>
        </w:tc>
        <w:tc>
          <w:tcPr>
            <w:tcW w:w="4963" w:type="dxa"/>
            <w:tcBorders>
              <w:top w:val="single" w:color="auto" w:sz="4" w:space="0"/>
              <w:left w:val="single" w:color="auto" w:sz="4" w:space="0"/>
              <w:right w:val="single" w:color="auto" w:sz="4" w:space="0"/>
            </w:tcBorders>
            <w:noWrap w:val="0"/>
            <w:vAlign w:val="center"/>
          </w:tcPr>
          <w:p w14:paraId="7716C75F">
            <w:pPr>
              <w:spacing w:line="0" w:lineRule="atLeast"/>
              <w:rPr>
                <w:color w:val="auto"/>
                <w:szCs w:val="21"/>
                <w:highlight w:val="none"/>
              </w:rPr>
            </w:pPr>
            <w:r>
              <w:rPr>
                <w:rFonts w:hint="eastAsia" w:ascii="宋体" w:hAnsi="宋体"/>
                <w:color w:val="auto"/>
                <w:szCs w:val="21"/>
                <w:highlight w:val="none"/>
              </w:rPr>
              <w:t>☑</w:t>
            </w:r>
            <w:r>
              <w:rPr>
                <w:rFonts w:hint="eastAsia"/>
                <w:color w:val="auto"/>
                <w:szCs w:val="21"/>
                <w:highlight w:val="none"/>
              </w:rPr>
              <w:t>招标人不集中组织，由投标人自行踏勘；</w:t>
            </w:r>
            <w:bookmarkEnd w:id="25"/>
          </w:p>
          <w:p w14:paraId="46329AB9">
            <w:pPr>
              <w:spacing w:line="0" w:lineRule="atLeast"/>
              <w:rPr>
                <w:color w:val="auto"/>
                <w:szCs w:val="21"/>
                <w:highlight w:val="none"/>
              </w:rPr>
            </w:pPr>
            <w:r>
              <w:rPr>
                <w:rFonts w:hint="eastAsia"/>
                <w:color w:val="auto"/>
                <w:szCs w:val="21"/>
                <w:highlight w:val="none"/>
              </w:rPr>
              <w:t>现场详细地</w:t>
            </w:r>
            <w:bookmarkStart w:id="26" w:name="_Toc221950044"/>
            <w:r>
              <w:rPr>
                <w:rFonts w:hint="eastAsia"/>
                <w:color w:val="auto"/>
                <w:szCs w:val="21"/>
                <w:highlight w:val="none"/>
              </w:rPr>
              <w:t>点：</w:t>
            </w:r>
            <w:bookmarkEnd w:id="26"/>
            <w:r>
              <w:rPr>
                <w:rFonts w:hint="eastAsia"/>
                <w:color w:val="auto"/>
                <w:szCs w:val="21"/>
                <w:highlight w:val="none"/>
                <w:u w:val="single"/>
              </w:rPr>
              <w:t>广州市增城区大封门水库</w:t>
            </w:r>
            <w:r>
              <w:rPr>
                <w:rFonts w:hint="eastAsia"/>
                <w:color w:val="auto"/>
                <w:szCs w:val="21"/>
                <w:highlight w:val="none"/>
              </w:rPr>
              <w:t>；</w:t>
            </w:r>
          </w:p>
        </w:tc>
      </w:tr>
      <w:tr w14:paraId="69C4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521B5ABA">
            <w:pPr>
              <w:spacing w:before="156" w:beforeLines="50" w:line="360" w:lineRule="auto"/>
              <w:contextualSpacing/>
              <w:jc w:val="center"/>
              <w:rPr>
                <w:color w:val="auto"/>
                <w:szCs w:val="21"/>
                <w:highlight w:val="none"/>
              </w:rPr>
            </w:pPr>
            <w:r>
              <w:rPr>
                <w:rFonts w:hint="eastAsia"/>
                <w:color w:val="auto"/>
                <w:szCs w:val="21"/>
                <w:highlight w:val="none"/>
              </w:rPr>
              <w:t>1.11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5DE127CC">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偏离</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46A8743E">
            <w:pPr>
              <w:spacing w:line="0" w:lineRule="atLeast"/>
              <w:rPr>
                <w:rFonts w:ascii="MS Gothic" w:hAnsi="MS Gothic" w:eastAsia="MS Gothic" w:cs="MS Gothic"/>
                <w:color w:val="auto"/>
                <w:szCs w:val="21"/>
                <w:highlight w:val="none"/>
              </w:rPr>
            </w:pPr>
            <w:r>
              <w:rPr>
                <w:rFonts w:hint="eastAsia" w:ascii="宋体" w:hAnsi="宋体"/>
                <w:color w:val="auto"/>
                <w:szCs w:val="21"/>
                <w:highlight w:val="none"/>
              </w:rPr>
              <w:t>☑</w:t>
            </w:r>
            <w:r>
              <w:rPr>
                <w:rFonts w:hint="eastAsia"/>
                <w:color w:val="auto"/>
                <w:szCs w:val="21"/>
                <w:highlight w:val="none"/>
              </w:rPr>
              <w:t>不允许</w:t>
            </w:r>
          </w:p>
          <w:p w14:paraId="7BE534AA">
            <w:pPr>
              <w:spacing w:line="0" w:lineRule="atLeast"/>
              <w:rPr>
                <w:color w:val="auto"/>
                <w:szCs w:val="21"/>
                <w:highlight w:val="none"/>
              </w:rPr>
            </w:pPr>
            <w:r>
              <w:rPr>
                <w:rFonts w:ascii="MS Gothic" w:hAnsi="MS Gothic" w:eastAsia="MS Gothic" w:cs="MS Gothic"/>
                <w:color w:val="auto"/>
                <w:szCs w:val="21"/>
                <w:highlight w:val="none"/>
              </w:rPr>
              <w:t>□</w:t>
            </w:r>
            <w:r>
              <w:rPr>
                <w:rFonts w:hint="eastAsia"/>
                <w:color w:val="auto"/>
                <w:szCs w:val="21"/>
                <w:highlight w:val="none"/>
              </w:rPr>
              <w:t>允许。偏离允许幅度及其处理方法：_</w:t>
            </w:r>
            <w:r>
              <w:rPr>
                <w:color w:val="auto"/>
                <w:szCs w:val="21"/>
                <w:highlight w:val="none"/>
              </w:rPr>
              <w:t>_</w:t>
            </w:r>
            <w:bookmarkStart w:id="27" w:name="_Toc221950046"/>
            <w:r>
              <w:rPr>
                <w:color w:val="auto"/>
                <w:szCs w:val="21"/>
                <w:highlight w:val="none"/>
              </w:rPr>
              <w:t>___________</w:t>
            </w:r>
            <w:bookmarkEnd w:id="27"/>
          </w:p>
        </w:tc>
      </w:tr>
      <w:tr w14:paraId="0E97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32613D0B">
            <w:pPr>
              <w:spacing w:before="156" w:beforeLines="50" w:line="360" w:lineRule="auto"/>
              <w:contextualSpacing/>
              <w:jc w:val="center"/>
              <w:rPr>
                <w:color w:val="auto"/>
                <w:szCs w:val="21"/>
                <w:highlight w:val="none"/>
              </w:rPr>
            </w:pPr>
            <w:r>
              <w:rPr>
                <w:rFonts w:hint="eastAsia"/>
                <w:color w:val="auto"/>
                <w:szCs w:val="21"/>
                <w:highlight w:val="none"/>
              </w:rPr>
              <w:t>2.2.1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39621B04">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招标答疑</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77C6459E">
            <w:pPr>
              <w:spacing w:before="156" w:beforeLines="50" w:line="0" w:lineRule="atLeast"/>
              <w:contextualSpacing/>
              <w:rPr>
                <w:rFonts w:ascii="宋体" w:hAnsi="宋体"/>
                <w:color w:val="auto"/>
                <w:szCs w:val="21"/>
                <w:highlight w:val="none"/>
              </w:rPr>
            </w:pPr>
            <w:r>
              <w:rPr>
                <w:rFonts w:hint="eastAsia" w:ascii="宋体" w:hAnsi="宋体"/>
                <w:color w:val="auto"/>
                <w:szCs w:val="21"/>
                <w:highlight w:val="none"/>
              </w:rPr>
              <w:t>疑问提交时间：</w:t>
            </w:r>
            <w:r>
              <w:rPr>
                <w:rFonts w:hint="eastAsia" w:ascii="宋体" w:hAnsi="宋体" w:cs="宋体"/>
                <w:color w:val="auto"/>
                <w:szCs w:val="21"/>
                <w:highlight w:val="none"/>
                <w:u w:val="single"/>
              </w:rPr>
              <w:t xml:space="preserve">   年   月   日   时   分</w:t>
            </w:r>
            <w:r>
              <w:rPr>
                <w:rFonts w:hint="eastAsia" w:ascii="宋体" w:hAnsi="宋体" w:cs="宋体"/>
                <w:color w:val="auto"/>
                <w:szCs w:val="21"/>
                <w:highlight w:val="none"/>
              </w:rPr>
              <w:t>前；</w:t>
            </w:r>
            <w:r>
              <w:rPr>
                <w:rFonts w:hint="eastAsia" w:ascii="宋体" w:hAnsi="宋体" w:cs="宋体"/>
                <w:color w:val="auto"/>
                <w:szCs w:val="21"/>
                <w:highlight w:val="none"/>
                <w:u w:val="single"/>
              </w:rPr>
              <w:t>在递交投标文件截止日期前18 日</w:t>
            </w:r>
            <w:r>
              <w:rPr>
                <w:rFonts w:hint="eastAsia" w:ascii="宋体" w:hAnsi="宋体"/>
                <w:color w:val="auto"/>
                <w:szCs w:val="21"/>
                <w:highlight w:val="none"/>
              </w:rPr>
              <w:t>；</w:t>
            </w:r>
          </w:p>
          <w:p w14:paraId="0E3142D1">
            <w:pPr>
              <w:spacing w:before="156" w:beforeLines="50" w:line="0" w:lineRule="atLeast"/>
              <w:contextualSpacing/>
              <w:rPr>
                <w:rFonts w:ascii="宋体" w:hAnsi="宋体"/>
                <w:color w:val="auto"/>
                <w:szCs w:val="21"/>
                <w:highlight w:val="none"/>
              </w:rPr>
            </w:pPr>
            <w:r>
              <w:rPr>
                <w:rFonts w:hint="eastAsia" w:ascii="宋体" w:hAnsi="宋体"/>
                <w:color w:val="auto"/>
                <w:szCs w:val="21"/>
                <w:highlight w:val="none"/>
              </w:rPr>
              <w:t>形式：投标人的疑问通过广州交易集团有限公司（广州公共资源交易中心）网站提交。</w:t>
            </w:r>
          </w:p>
          <w:p w14:paraId="1E7C23B5">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具体要求：按照广州交易集团有限公司（广州公共资源交易中心）网站关于全流程电子化项目的相关指南进行操作，详见：广州交易集团有限公司（广州公共资源交易中心）交易网。提问一律不得署名。</w:t>
            </w:r>
          </w:p>
        </w:tc>
      </w:tr>
      <w:tr w14:paraId="0757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38BDA67A">
            <w:pPr>
              <w:spacing w:before="156" w:beforeLines="50" w:line="360" w:lineRule="auto"/>
              <w:contextualSpacing/>
              <w:jc w:val="center"/>
              <w:rPr>
                <w:color w:val="auto"/>
                <w:szCs w:val="21"/>
                <w:highlight w:val="none"/>
              </w:rPr>
            </w:pPr>
            <w:r>
              <w:rPr>
                <w:rFonts w:hint="eastAsia"/>
                <w:color w:val="auto"/>
                <w:szCs w:val="21"/>
                <w:highlight w:val="none"/>
              </w:rPr>
              <w:t>2.3</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53B21B01">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招标文件的澄清和修改</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17AE6CD1">
            <w:pPr>
              <w:spacing w:before="156" w:beforeLines="50" w:line="0" w:lineRule="atLeast"/>
              <w:contextualSpacing/>
              <w:rPr>
                <w:rFonts w:ascii="宋体" w:hAnsi="宋体"/>
                <w:color w:val="auto"/>
                <w:szCs w:val="21"/>
                <w:highlight w:val="none"/>
              </w:rPr>
            </w:pPr>
            <w:r>
              <w:rPr>
                <w:rFonts w:hint="eastAsia" w:ascii="宋体" w:hAnsi="宋体"/>
                <w:color w:val="auto"/>
                <w:szCs w:val="21"/>
                <w:highlight w:val="none"/>
              </w:rPr>
              <w:t>招标文件的修改期限：在投标截止时间</w:t>
            </w:r>
            <w:r>
              <w:rPr>
                <w:rFonts w:hint="eastAsia" w:ascii="宋体" w:hAnsi="宋体"/>
                <w:color w:val="auto"/>
                <w:szCs w:val="21"/>
                <w:highlight w:val="none"/>
                <w:u w:val="single"/>
              </w:rPr>
              <w:t xml:space="preserve"> 15 </w:t>
            </w:r>
            <w:r>
              <w:rPr>
                <w:rFonts w:hint="eastAsia" w:ascii="宋体" w:hAnsi="宋体"/>
                <w:color w:val="auto"/>
                <w:szCs w:val="21"/>
                <w:highlight w:val="none"/>
              </w:rPr>
              <w:t>天前</w:t>
            </w:r>
          </w:p>
        </w:tc>
      </w:tr>
      <w:tr w14:paraId="430D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6D155BC7">
            <w:pPr>
              <w:spacing w:before="156" w:beforeLines="50" w:line="360" w:lineRule="auto"/>
              <w:contextualSpacing/>
              <w:jc w:val="center"/>
              <w:rPr>
                <w:color w:val="auto"/>
                <w:szCs w:val="21"/>
                <w:highlight w:val="none"/>
              </w:rPr>
            </w:pPr>
            <w:r>
              <w:rPr>
                <w:rFonts w:hint="eastAsia"/>
                <w:color w:val="auto"/>
                <w:szCs w:val="21"/>
                <w:highlight w:val="none"/>
              </w:rPr>
              <w:t>4.3.1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1A8B1287">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投标截止时间</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2AE7E507">
            <w:pPr>
              <w:spacing w:before="156" w:beforeLines="50" w:line="0" w:lineRule="atLeast"/>
              <w:contextualSpacing/>
              <w:rPr>
                <w:rFonts w:ascii="宋体" w:hAnsi="宋体"/>
                <w:color w:val="auto"/>
                <w:szCs w:val="21"/>
                <w:highlight w:val="none"/>
              </w:rPr>
            </w:pPr>
            <w:r>
              <w:rPr>
                <w:rFonts w:hint="eastAsia" w:ascii="宋体" w:hAnsi="宋体"/>
                <w:color w:val="auto"/>
                <w:szCs w:val="21"/>
                <w:highlight w:val="none"/>
                <w:u w:val="single"/>
              </w:rPr>
              <w:t xml:space="preserve">    年   月   日   时</w:t>
            </w:r>
            <w:r>
              <w:rPr>
                <w:rFonts w:hint="eastAsia" w:ascii="宋体" w:hAnsi="宋体"/>
                <w:color w:val="auto"/>
                <w:szCs w:val="21"/>
                <w:highlight w:val="none"/>
              </w:rPr>
              <w:t>（北京时间）</w:t>
            </w:r>
          </w:p>
        </w:tc>
      </w:tr>
      <w:tr w14:paraId="5D77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7"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5947C5F3">
            <w:pPr>
              <w:spacing w:before="156" w:beforeLines="50" w:line="360" w:lineRule="auto"/>
              <w:contextualSpacing/>
              <w:jc w:val="center"/>
              <w:rPr>
                <w:color w:val="auto"/>
                <w:szCs w:val="21"/>
                <w:highlight w:val="none"/>
              </w:rPr>
            </w:pPr>
            <w:r>
              <w:rPr>
                <w:rFonts w:hint="eastAsia"/>
                <w:color w:val="auto"/>
                <w:szCs w:val="21"/>
                <w:highlight w:val="none"/>
              </w:rPr>
              <w:t>3.1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53C0441A">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投标文件的组成</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63148C61">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w:t>
            </w:r>
            <w:r>
              <w:rPr>
                <w:rFonts w:hint="eastAsia"/>
                <w:color w:val="auto"/>
                <w:szCs w:val="21"/>
                <w:highlight w:val="none"/>
              </w:rPr>
              <w:t>采用综合评估法（一）：投标文件由资格审查文件、商务文件和技术文件组成。</w:t>
            </w:r>
          </w:p>
          <w:p w14:paraId="3E0FE534">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w:t>
            </w:r>
            <w:r>
              <w:rPr>
                <w:rFonts w:hint="eastAsia"/>
                <w:color w:val="auto"/>
                <w:szCs w:val="21"/>
                <w:highlight w:val="none"/>
              </w:rPr>
              <w:t>采用综合评估法二（需提交技术文件）：投标文件由资格审查文件、商务文件和技术文件组成。</w:t>
            </w:r>
          </w:p>
          <w:p w14:paraId="602D66B9">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w:t>
            </w:r>
            <w:r>
              <w:rPr>
                <w:rFonts w:hint="eastAsia"/>
                <w:color w:val="auto"/>
                <w:szCs w:val="21"/>
                <w:highlight w:val="none"/>
              </w:rPr>
              <w:t>采用综合评估法三（不需要技术文件）：投标文件由资格审查文件、商务文件组成。</w:t>
            </w:r>
          </w:p>
          <w:p w14:paraId="230DB458">
            <w:pPr>
              <w:spacing w:before="156" w:beforeLines="50" w:line="0" w:lineRule="atLeast"/>
              <w:contextualSpacing/>
              <w:rPr>
                <w:rFonts w:hint="eastAsia"/>
                <w:color w:val="auto"/>
                <w:szCs w:val="21"/>
                <w:highlight w:val="none"/>
              </w:rPr>
            </w:pPr>
            <w:r>
              <w:rPr>
                <w:rFonts w:hint="eastAsia" w:ascii="宋体" w:hAnsi="宋体"/>
                <w:color w:val="auto"/>
                <w:szCs w:val="21"/>
                <w:highlight w:val="none"/>
              </w:rPr>
              <w:t>□</w:t>
            </w:r>
            <w:r>
              <w:rPr>
                <w:rFonts w:hint="eastAsia"/>
                <w:color w:val="auto"/>
                <w:szCs w:val="21"/>
                <w:highlight w:val="none"/>
              </w:rPr>
              <w:t>采用最低投标报价法：投标文件由资格审查文件、商务文件和技术文件组成。</w:t>
            </w:r>
          </w:p>
          <w:p w14:paraId="5D50F746">
            <w:pPr>
              <w:spacing w:before="156" w:beforeLines="50" w:line="0" w:lineRule="atLeast"/>
              <w:contextualSpacing/>
              <w:rPr>
                <w:rFonts w:hint="eastAsia" w:ascii="宋体" w:hAnsi="宋体"/>
                <w:color w:val="auto"/>
                <w:szCs w:val="21"/>
                <w:highlight w:val="none"/>
              </w:rPr>
            </w:pPr>
            <w:r>
              <w:rPr>
                <w:rFonts w:hint="eastAsia" w:ascii="宋体" w:hAnsi="宋体"/>
                <w:color w:val="auto"/>
                <w:szCs w:val="21"/>
                <w:highlight w:val="none"/>
              </w:rPr>
              <w:t>□经评审的最低投标价法（二）（由招标人自行制定）</w:t>
            </w:r>
          </w:p>
          <w:p w14:paraId="5988A16C">
            <w:pPr>
              <w:spacing w:before="156" w:beforeLines="50" w:line="0" w:lineRule="atLeast"/>
              <w:contextualSpacing/>
              <w:rPr>
                <w:rFonts w:hint="eastAsia"/>
                <w:color w:val="auto"/>
                <w:szCs w:val="21"/>
                <w:highlight w:val="none"/>
              </w:rPr>
            </w:pPr>
            <w:r>
              <w:rPr>
                <w:rFonts w:hint="eastAsia" w:ascii="宋体" w:hAnsi="宋体"/>
                <w:color w:val="auto"/>
                <w:szCs w:val="21"/>
                <w:highlight w:val="none"/>
              </w:rPr>
              <w:t>□</w:t>
            </w:r>
            <w:r>
              <w:rPr>
                <w:rFonts w:hint="eastAsia"/>
                <w:color w:val="auto"/>
                <w:szCs w:val="21"/>
                <w:highlight w:val="none"/>
              </w:rPr>
              <w:t>两阶段评标法：（由招标人自行制定）。</w:t>
            </w:r>
          </w:p>
        </w:tc>
      </w:tr>
      <w:tr w14:paraId="1FE5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0F6EC383">
            <w:pPr>
              <w:spacing w:before="156" w:beforeLines="50" w:line="360" w:lineRule="auto"/>
              <w:contextualSpacing/>
              <w:jc w:val="center"/>
              <w:rPr>
                <w:color w:val="auto"/>
                <w:szCs w:val="21"/>
                <w:highlight w:val="none"/>
              </w:rPr>
            </w:pPr>
            <w:r>
              <w:rPr>
                <w:rFonts w:hint="eastAsia"/>
                <w:color w:val="auto"/>
                <w:szCs w:val="21"/>
                <w:highlight w:val="none"/>
              </w:rPr>
              <w:t>3.2.3</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0461AD26">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最高投标限价</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45C84D94">
            <w:pPr>
              <w:spacing w:before="156" w:beforeLines="50" w:line="0" w:lineRule="atLeast"/>
              <w:contextualSpacing/>
              <w:rPr>
                <w:rFonts w:ascii="宋体" w:hAnsi="宋体"/>
                <w:color w:val="auto"/>
                <w:szCs w:val="21"/>
                <w:highlight w:val="none"/>
              </w:rPr>
            </w:pPr>
            <w:r>
              <w:rPr>
                <w:rFonts w:hint="eastAsia" w:ascii="宋体" w:hAnsi="宋体"/>
                <w:color w:val="auto"/>
                <w:szCs w:val="21"/>
                <w:highlight w:val="none"/>
              </w:rPr>
              <w:t>本工程最高投标限价为人民币</w:t>
            </w:r>
            <w:r>
              <w:rPr>
                <w:rFonts w:hint="eastAsia" w:ascii="宋体" w:hAnsi="宋体"/>
                <w:color w:val="auto"/>
                <w:szCs w:val="21"/>
                <w:highlight w:val="none"/>
                <w:u w:val="single"/>
                <w:lang w:eastAsia="zh-CN"/>
              </w:rPr>
              <w:t xml:space="preserve">6,631,691.11 </w:t>
            </w:r>
            <w:r>
              <w:rPr>
                <w:rFonts w:hint="eastAsia" w:ascii="宋体" w:hAnsi="宋体"/>
                <w:color w:val="auto"/>
                <w:szCs w:val="21"/>
                <w:highlight w:val="none"/>
              </w:rPr>
              <w:t>元。</w:t>
            </w:r>
          </w:p>
          <w:p w14:paraId="4B0CF467">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非竞争性费用：本项目安全生产措施费为</w:t>
            </w:r>
            <w:r>
              <w:rPr>
                <w:rFonts w:hint="default" w:ascii="宋体" w:hAnsi="宋体"/>
                <w:color w:val="auto"/>
                <w:szCs w:val="21"/>
                <w:highlight w:val="none"/>
                <w:u w:val="single"/>
              </w:rPr>
              <w:t>522,564.46</w:t>
            </w:r>
            <w:r>
              <w:rPr>
                <w:rFonts w:hint="eastAsia" w:ascii="宋体" w:hAnsi="宋体"/>
                <w:color w:val="auto"/>
                <w:szCs w:val="21"/>
                <w:highlight w:val="none"/>
              </w:rPr>
              <w:t>元，暂列金额为</w:t>
            </w:r>
            <w:r>
              <w:rPr>
                <w:rFonts w:hint="eastAsia" w:ascii="宋体" w:hAnsi="宋体"/>
                <w:color w:val="auto"/>
                <w:szCs w:val="21"/>
                <w:highlight w:val="none"/>
                <w:u w:val="single"/>
              </w:rPr>
              <w:t xml:space="preserve"> / </w:t>
            </w:r>
            <w:r>
              <w:rPr>
                <w:rFonts w:hint="eastAsia" w:ascii="宋体" w:hAnsi="宋体"/>
                <w:color w:val="auto"/>
                <w:szCs w:val="21"/>
                <w:highlight w:val="none"/>
              </w:rPr>
              <w:t>元，暂估价为</w:t>
            </w:r>
            <w:r>
              <w:rPr>
                <w:rFonts w:hint="eastAsia" w:ascii="宋体" w:hAnsi="宋体"/>
                <w:color w:val="auto"/>
                <w:szCs w:val="21"/>
                <w:highlight w:val="none"/>
                <w:u w:val="single"/>
              </w:rPr>
              <w:t xml:space="preserve">  /  </w:t>
            </w:r>
            <w:r>
              <w:rPr>
                <w:rFonts w:hint="eastAsia" w:ascii="宋体" w:hAnsi="宋体"/>
                <w:color w:val="auto"/>
                <w:szCs w:val="21"/>
                <w:highlight w:val="none"/>
              </w:rPr>
              <w:t>元。（未按招标文件规定的金额填写的，由评标委员会按照招标文件规定的金额进行修正）</w:t>
            </w:r>
          </w:p>
        </w:tc>
      </w:tr>
      <w:tr w14:paraId="533C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53FF62E3">
            <w:pPr>
              <w:spacing w:before="156" w:beforeLines="50" w:line="360" w:lineRule="auto"/>
              <w:contextualSpacing/>
              <w:jc w:val="center"/>
              <w:rPr>
                <w:color w:val="auto"/>
                <w:szCs w:val="21"/>
                <w:highlight w:val="none"/>
              </w:rPr>
            </w:pPr>
            <w:r>
              <w:rPr>
                <w:rFonts w:hint="eastAsia"/>
                <w:color w:val="auto"/>
                <w:szCs w:val="21"/>
                <w:highlight w:val="none"/>
              </w:rPr>
              <w:t>3.2.4</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56319C7D">
            <w:pPr>
              <w:spacing w:before="156" w:beforeLines="50" w:line="0" w:lineRule="atLeast"/>
              <w:contextualSpacing/>
              <w:jc w:val="center"/>
              <w:rPr>
                <w:rFonts w:ascii="Times New Roman" w:hAnsi="Times New Roman"/>
                <w:color w:val="auto"/>
                <w:szCs w:val="21"/>
                <w:highlight w:val="none"/>
              </w:rPr>
            </w:pPr>
            <w:r>
              <w:rPr>
                <w:rFonts w:hint="eastAsia"/>
                <w:color w:val="auto"/>
                <w:highlight w:val="none"/>
              </w:rPr>
              <w:t>成本警示价</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7F5E61F2">
            <w:pPr>
              <w:spacing w:line="0" w:lineRule="atLeast"/>
              <w:contextualSpacing/>
              <w:rPr>
                <w:rFonts w:hint="eastAsia"/>
                <w:color w:val="auto"/>
                <w:highlight w:val="none"/>
              </w:rPr>
            </w:pPr>
            <w:r>
              <w:rPr>
                <w:rFonts w:hint="eastAsia"/>
                <w:color w:val="auto"/>
                <w:highlight w:val="none"/>
              </w:rPr>
              <w:t>□无</w:t>
            </w:r>
          </w:p>
          <w:p w14:paraId="778D310A">
            <w:pPr>
              <w:spacing w:line="0" w:lineRule="atLeast"/>
              <w:contextualSpacing/>
              <w:rPr>
                <w:color w:val="auto"/>
                <w:highlight w:val="none"/>
              </w:rPr>
            </w:pPr>
            <w:r>
              <w:rPr>
                <w:rFonts w:hint="eastAsia" w:ascii="MS Gothic" w:hAnsi="MS Gothic" w:eastAsia="MS Gothic" w:cs="MS Gothic"/>
                <w:color w:val="auto"/>
                <w:szCs w:val="21"/>
                <w:highlight w:val="none"/>
              </w:rPr>
              <w:t>☑</w:t>
            </w:r>
            <w:r>
              <w:rPr>
                <w:rFonts w:hint="eastAsia"/>
                <w:color w:val="auto"/>
                <w:highlight w:val="none"/>
              </w:rPr>
              <w:t>有，经测算</w:t>
            </w:r>
            <w:r>
              <w:rPr>
                <w:rFonts w:hint="eastAsia" w:ascii="宋体" w:hAnsi="宋体" w:cs="宋体"/>
                <w:color w:val="auto"/>
                <w:szCs w:val="21"/>
                <w:highlight w:val="none"/>
              </w:rPr>
              <w:t>成本警示价为</w:t>
            </w:r>
            <w:r>
              <w:rPr>
                <w:rFonts w:hint="eastAsia" w:ascii="宋体" w:hAnsi="宋体" w:cs="宋体"/>
                <w:color w:val="auto"/>
                <w:szCs w:val="21"/>
                <w:highlight w:val="none"/>
                <w:u w:val="single"/>
              </w:rPr>
              <w:t>6,300,106.55</w:t>
            </w:r>
            <w:r>
              <w:rPr>
                <w:rFonts w:hint="eastAsia" w:ascii="宋体" w:hAnsi="宋体" w:cs="宋体"/>
                <w:color w:val="auto"/>
                <w:szCs w:val="21"/>
                <w:highlight w:val="none"/>
              </w:rPr>
              <w:t>元。（招标控制价的</w:t>
            </w:r>
            <w:r>
              <w:rPr>
                <w:rFonts w:hint="eastAsia" w:ascii="宋体" w:hAnsi="宋体" w:cs="宋体"/>
                <w:color w:val="auto"/>
                <w:szCs w:val="21"/>
                <w:highlight w:val="none"/>
                <w:u w:val="single"/>
              </w:rPr>
              <w:t xml:space="preserve">  95  </w:t>
            </w:r>
            <w:r>
              <w:rPr>
                <w:rFonts w:hint="eastAsia" w:ascii="宋体" w:hAnsi="宋体" w:cs="宋体"/>
                <w:color w:val="auto"/>
                <w:szCs w:val="21"/>
                <w:highlight w:val="none"/>
              </w:rPr>
              <w:t>%设置为成本警示价）</w:t>
            </w:r>
          </w:p>
        </w:tc>
      </w:tr>
      <w:tr w14:paraId="16A1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98" w:type="dxa"/>
            <w:tcBorders>
              <w:top w:val="single" w:color="auto" w:sz="4" w:space="0"/>
              <w:left w:val="single" w:color="auto" w:sz="4" w:space="0"/>
              <w:right w:val="single" w:color="auto" w:sz="4" w:space="0"/>
            </w:tcBorders>
            <w:noWrap w:val="0"/>
            <w:vAlign w:val="center"/>
          </w:tcPr>
          <w:p w14:paraId="5DA33038">
            <w:pPr>
              <w:spacing w:before="156" w:beforeLines="50" w:line="360" w:lineRule="auto"/>
              <w:contextualSpacing/>
              <w:jc w:val="center"/>
              <w:rPr>
                <w:color w:val="auto"/>
                <w:szCs w:val="21"/>
                <w:highlight w:val="none"/>
              </w:rPr>
            </w:pPr>
            <w:r>
              <w:rPr>
                <w:rFonts w:hint="eastAsia"/>
                <w:color w:val="auto"/>
                <w:szCs w:val="21"/>
                <w:highlight w:val="none"/>
              </w:rPr>
              <w:t>3.3.1</w:t>
            </w:r>
          </w:p>
        </w:tc>
        <w:tc>
          <w:tcPr>
            <w:tcW w:w="2061" w:type="dxa"/>
            <w:tcBorders>
              <w:top w:val="single" w:color="auto" w:sz="4" w:space="0"/>
              <w:left w:val="single" w:color="auto" w:sz="4" w:space="0"/>
              <w:right w:val="single" w:color="auto" w:sz="4" w:space="0"/>
            </w:tcBorders>
            <w:noWrap w:val="0"/>
            <w:vAlign w:val="center"/>
          </w:tcPr>
          <w:p w14:paraId="2B740736">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投标有效期</w:t>
            </w:r>
          </w:p>
        </w:tc>
        <w:tc>
          <w:tcPr>
            <w:tcW w:w="4963" w:type="dxa"/>
            <w:tcBorders>
              <w:top w:val="single" w:color="auto" w:sz="4" w:space="0"/>
              <w:left w:val="single" w:color="auto" w:sz="4" w:space="0"/>
              <w:right w:val="single" w:color="auto" w:sz="4" w:space="0"/>
            </w:tcBorders>
            <w:noWrap w:val="0"/>
            <w:vAlign w:val="center"/>
          </w:tcPr>
          <w:p w14:paraId="1648A64C">
            <w:pPr>
              <w:pStyle w:val="15"/>
              <w:topLinePunct/>
              <w:spacing w:before="156" w:beforeLines="50" w:after="0" w:line="0" w:lineRule="atLeast"/>
              <w:contextualSpacing/>
              <w:rPr>
                <w:rFonts w:ascii="Times New Roman" w:hAnsi="Times New Roman"/>
                <w:color w:val="auto"/>
                <w:sz w:val="21"/>
                <w:szCs w:val="21"/>
                <w:highlight w:val="none"/>
              </w:rPr>
            </w:pPr>
            <w:r>
              <w:rPr>
                <w:rFonts w:hint="eastAsia" w:ascii="宋体" w:hAnsi="宋体"/>
                <w:color w:val="auto"/>
                <w:sz w:val="21"/>
                <w:szCs w:val="21"/>
                <w:highlight w:val="none"/>
                <w:u w:val="single"/>
              </w:rPr>
              <w:t>_90_</w:t>
            </w:r>
            <w:r>
              <w:rPr>
                <w:rFonts w:hint="eastAsia"/>
                <w:color w:val="auto"/>
                <w:sz w:val="21"/>
                <w:szCs w:val="21"/>
                <w:highlight w:val="none"/>
              </w:rPr>
              <w:t>日历天（从投标截止之日计起）</w:t>
            </w:r>
          </w:p>
        </w:tc>
      </w:tr>
      <w:tr w14:paraId="666B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3F80D077">
            <w:pPr>
              <w:spacing w:before="156" w:beforeLines="50" w:line="360" w:lineRule="auto"/>
              <w:contextualSpacing/>
              <w:jc w:val="center"/>
              <w:rPr>
                <w:color w:val="auto"/>
                <w:szCs w:val="21"/>
                <w:highlight w:val="none"/>
              </w:rPr>
            </w:pPr>
            <w:r>
              <w:rPr>
                <w:rFonts w:hint="eastAsia"/>
                <w:color w:val="auto"/>
                <w:szCs w:val="21"/>
                <w:highlight w:val="none"/>
              </w:rPr>
              <w:t>3.4.1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388B367D">
            <w:pPr>
              <w:spacing w:before="156" w:beforeLines="50" w:line="0" w:lineRule="atLeast"/>
              <w:contextualSpacing/>
              <w:jc w:val="center"/>
              <w:rPr>
                <w:rFonts w:ascii="Times New Roman" w:hAnsi="Times New Roman"/>
                <w:color w:val="auto"/>
                <w:szCs w:val="21"/>
                <w:highlight w:val="none"/>
              </w:rPr>
            </w:pPr>
            <w:r>
              <w:rPr>
                <w:color w:val="auto"/>
                <w:szCs w:val="21"/>
                <w:highlight w:val="none"/>
              </w:rPr>
              <w:t>投标保证金</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0E817CD8">
            <w:pPr>
              <w:spacing w:line="0" w:lineRule="atLeast"/>
              <w:rPr>
                <w:color w:val="auto"/>
                <w:highlight w:val="none"/>
              </w:rPr>
            </w:pPr>
            <w:r>
              <w:rPr>
                <w:rFonts w:hint="eastAsia"/>
                <w:color w:val="auto"/>
                <w:highlight w:val="none"/>
              </w:rPr>
              <w:t>是否要求投标人递交投标保证金：</w:t>
            </w:r>
          </w:p>
          <w:p w14:paraId="2895CB94">
            <w:pPr>
              <w:spacing w:line="0" w:lineRule="atLeast"/>
              <w:rPr>
                <w:rFonts w:hint="eastAsia"/>
                <w:color w:val="auto"/>
                <w:highlight w:val="none"/>
              </w:rPr>
            </w:pPr>
            <w:r>
              <w:rPr>
                <w:rFonts w:hint="eastAsia" w:ascii="宋体" w:hAnsi="宋体"/>
                <w:color w:val="auto"/>
                <w:szCs w:val="21"/>
                <w:highlight w:val="none"/>
              </w:rPr>
              <w:t>☑</w:t>
            </w:r>
            <w:r>
              <w:rPr>
                <w:rFonts w:hint="eastAsia"/>
                <w:color w:val="auto"/>
                <w:highlight w:val="none"/>
              </w:rPr>
              <w:t>不要求</w:t>
            </w:r>
          </w:p>
          <w:p w14:paraId="2992B5D0">
            <w:pPr>
              <w:spacing w:line="0" w:lineRule="atLeast"/>
              <w:rPr>
                <w:rFonts w:hAnsi="宋体" w:cs="宋体"/>
                <w:color w:val="auto"/>
                <w:szCs w:val="21"/>
                <w:highlight w:val="none"/>
                <w:u w:val="single"/>
                <w:shd w:val="clear" w:color="auto" w:fill="FFFFFF"/>
              </w:rPr>
            </w:pPr>
            <w:r>
              <w:rPr>
                <w:rFonts w:hint="eastAsia"/>
                <w:color w:val="auto"/>
                <w:highlight w:val="none"/>
              </w:rPr>
              <w:t>□要求，</w:t>
            </w:r>
            <w:r>
              <w:rPr>
                <w:rFonts w:hint="eastAsia"/>
                <w:color w:val="auto"/>
                <w:highlight w:val="none"/>
                <w:u w:val="single"/>
              </w:rPr>
              <w:t xml:space="preserve">     </w:t>
            </w:r>
            <w:r>
              <w:rPr>
                <w:rFonts w:hint="eastAsia"/>
                <w:color w:val="auto"/>
                <w:highlight w:val="none"/>
              </w:rPr>
              <w:t>万元人民币，缴纳时间在递交投标文件截止时间前。</w:t>
            </w:r>
          </w:p>
        </w:tc>
      </w:tr>
      <w:tr w14:paraId="0894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98" w:type="dxa"/>
            <w:tcBorders>
              <w:top w:val="single" w:color="auto" w:sz="4" w:space="0"/>
              <w:left w:val="single" w:color="auto" w:sz="4" w:space="0"/>
              <w:right w:val="single" w:color="auto" w:sz="4" w:space="0"/>
            </w:tcBorders>
            <w:noWrap w:val="0"/>
            <w:vAlign w:val="center"/>
          </w:tcPr>
          <w:p w14:paraId="05E1263A">
            <w:pPr>
              <w:spacing w:before="156" w:beforeLines="50" w:line="360" w:lineRule="auto"/>
              <w:contextualSpacing/>
              <w:jc w:val="center"/>
              <w:rPr>
                <w:color w:val="auto"/>
                <w:szCs w:val="21"/>
                <w:highlight w:val="none"/>
              </w:rPr>
            </w:pPr>
            <w:r>
              <w:rPr>
                <w:rFonts w:hint="eastAsia"/>
                <w:color w:val="auto"/>
                <w:szCs w:val="21"/>
                <w:highlight w:val="none"/>
              </w:rPr>
              <w:t>3.6.4</w:t>
            </w:r>
          </w:p>
        </w:tc>
        <w:tc>
          <w:tcPr>
            <w:tcW w:w="2061" w:type="dxa"/>
            <w:tcBorders>
              <w:top w:val="single" w:color="auto" w:sz="4" w:space="0"/>
              <w:left w:val="single" w:color="auto" w:sz="4" w:space="0"/>
              <w:right w:val="single" w:color="auto" w:sz="4" w:space="0"/>
            </w:tcBorders>
            <w:noWrap w:val="0"/>
            <w:vAlign w:val="center"/>
          </w:tcPr>
          <w:p w14:paraId="3B901793">
            <w:pPr>
              <w:spacing w:before="156" w:beforeLines="50" w:line="0" w:lineRule="atLeast"/>
              <w:contextualSpacing/>
              <w:jc w:val="center"/>
              <w:rPr>
                <w:rFonts w:ascii="Times New Roman" w:hAnsi="Times New Roman"/>
                <w:color w:val="auto"/>
                <w:szCs w:val="21"/>
                <w:highlight w:val="none"/>
              </w:rPr>
            </w:pPr>
            <w:r>
              <w:rPr>
                <w:color w:val="auto"/>
                <w:szCs w:val="21"/>
                <w:highlight w:val="none"/>
              </w:rPr>
              <w:t>签字</w:t>
            </w:r>
            <w:r>
              <w:rPr>
                <w:rFonts w:hint="eastAsia"/>
                <w:color w:val="auto"/>
                <w:szCs w:val="21"/>
                <w:highlight w:val="none"/>
              </w:rPr>
              <w:t>和</w:t>
            </w:r>
            <w:r>
              <w:rPr>
                <w:color w:val="auto"/>
                <w:szCs w:val="21"/>
                <w:highlight w:val="none"/>
              </w:rPr>
              <w:t>盖章要求</w:t>
            </w:r>
          </w:p>
        </w:tc>
        <w:tc>
          <w:tcPr>
            <w:tcW w:w="4963" w:type="dxa"/>
            <w:tcBorders>
              <w:top w:val="single" w:color="auto" w:sz="4" w:space="0"/>
              <w:left w:val="single" w:color="auto" w:sz="4" w:space="0"/>
              <w:right w:val="single" w:color="auto" w:sz="4" w:space="0"/>
            </w:tcBorders>
            <w:noWrap w:val="0"/>
            <w:vAlign w:val="center"/>
          </w:tcPr>
          <w:p w14:paraId="638A7452">
            <w:pPr>
              <w:spacing w:line="0" w:lineRule="atLeast"/>
              <w:rPr>
                <w:rFonts w:ascii="宋体" w:hAnsi="宋体" w:cs="宋体"/>
                <w:color w:val="auto"/>
                <w:kern w:val="0"/>
                <w:sz w:val="24"/>
                <w:szCs w:val="24"/>
                <w:highlight w:val="none"/>
              </w:rPr>
            </w:pPr>
            <w:r>
              <w:rPr>
                <w:rFonts w:hint="eastAsia" w:ascii="宋体" w:hAnsi="宋体"/>
                <w:color w:val="auto"/>
                <w:szCs w:val="21"/>
                <w:highlight w:val="none"/>
              </w:rPr>
              <w:t>投标文件格式规定需个人签字的，应签字或签章后扫描上传（</w:t>
            </w:r>
            <w:r>
              <w:rPr>
                <w:color w:val="auto"/>
                <w:szCs w:val="24"/>
                <w:highlight w:val="none"/>
              </w:rPr>
              <w:t>可靠的电子签名与手写签名或者盖章具有同等的法律效力</w:t>
            </w:r>
            <w:r>
              <w:rPr>
                <w:rFonts w:hint="eastAsia" w:ascii="宋体" w:hAnsi="宋体"/>
                <w:color w:val="auto"/>
                <w:szCs w:val="21"/>
                <w:highlight w:val="none"/>
              </w:rPr>
              <w:t>）。投标文件格式规定盖单位公章的页面必须盖单位公章（公章与电子公章具有相同法律效力）。</w:t>
            </w:r>
          </w:p>
        </w:tc>
      </w:tr>
      <w:tr w14:paraId="64E7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498" w:type="dxa"/>
            <w:tcBorders>
              <w:top w:val="single" w:color="auto" w:sz="4" w:space="0"/>
              <w:left w:val="single" w:color="auto" w:sz="4" w:space="0"/>
              <w:right w:val="single" w:color="auto" w:sz="4" w:space="0"/>
            </w:tcBorders>
            <w:noWrap w:val="0"/>
            <w:vAlign w:val="center"/>
          </w:tcPr>
          <w:p w14:paraId="16AEB40A">
            <w:pPr>
              <w:spacing w:before="156" w:beforeLines="50" w:line="360" w:lineRule="auto"/>
              <w:contextualSpacing/>
              <w:jc w:val="center"/>
              <w:rPr>
                <w:color w:val="auto"/>
                <w:szCs w:val="21"/>
                <w:highlight w:val="none"/>
              </w:rPr>
            </w:pPr>
            <w:r>
              <w:rPr>
                <w:rFonts w:hint="eastAsia"/>
                <w:color w:val="auto"/>
                <w:szCs w:val="21"/>
                <w:highlight w:val="none"/>
              </w:rPr>
              <w:t>4.6.1</w:t>
            </w:r>
          </w:p>
        </w:tc>
        <w:tc>
          <w:tcPr>
            <w:tcW w:w="2061" w:type="dxa"/>
            <w:tcBorders>
              <w:top w:val="single" w:color="auto" w:sz="4" w:space="0"/>
              <w:left w:val="single" w:color="auto" w:sz="4" w:space="0"/>
              <w:right w:val="single" w:color="auto" w:sz="4" w:space="0"/>
            </w:tcBorders>
            <w:noWrap w:val="0"/>
            <w:vAlign w:val="center"/>
          </w:tcPr>
          <w:p w14:paraId="1A69DF1E">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投标文件解密</w:t>
            </w:r>
          </w:p>
        </w:tc>
        <w:tc>
          <w:tcPr>
            <w:tcW w:w="4963" w:type="dxa"/>
            <w:tcBorders>
              <w:top w:val="single" w:color="auto" w:sz="4" w:space="0"/>
              <w:left w:val="single" w:color="auto" w:sz="4" w:space="0"/>
              <w:right w:val="single" w:color="auto" w:sz="4" w:space="0"/>
            </w:tcBorders>
            <w:noWrap w:val="0"/>
            <w:vAlign w:val="center"/>
          </w:tcPr>
          <w:p w14:paraId="07374C6D">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1、在投标截止时间后半小时内，投标人通过</w:t>
            </w:r>
            <w:r>
              <w:rPr>
                <w:rFonts w:hint="eastAsia" w:ascii="宋体" w:hAnsi="宋体" w:cs="宋体"/>
                <w:color w:val="auto"/>
                <w:szCs w:val="21"/>
                <w:highlight w:val="none"/>
                <w:u w:val="single"/>
              </w:rPr>
              <w:t>广州交易集团有限公司（广州公共资源交易中心）</w:t>
            </w:r>
            <w:r>
              <w:rPr>
                <w:rFonts w:hint="eastAsia" w:ascii="宋体" w:hAnsi="宋体" w:cs="宋体"/>
                <w:color w:val="auto"/>
                <w:szCs w:val="21"/>
                <w:highlight w:val="none"/>
              </w:rPr>
              <w:t>网站对已递交的电子投标文件进行解密。</w:t>
            </w:r>
          </w:p>
          <w:p w14:paraId="18C709CB">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2、提交投标文件光盘备用</w:t>
            </w:r>
          </w:p>
          <w:p w14:paraId="086FA7CC">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投标人可制作非加密的电子投标文件（PDF 格式）刻入光盘（1份），在投标须知前附表规定的时间、地点提交备用。刻录好的投标文件光盘密封在密封袋中，并在封口处加盖投标人单位公章。密封袋上应写明项目名称和招标人名称。递交的光盘不得加密。光盘无法读取或导入的，则视为未提交备用投标文件光盘。如果投标人没有按规定通过交易平台网上递交电子投标文件的，不再读取提交的光盘。投标人也可不提交备用光盘。</w:t>
            </w:r>
          </w:p>
          <w:p w14:paraId="2FE7853E">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3、补救方案</w:t>
            </w:r>
          </w:p>
          <w:p w14:paraId="5FE47E1E">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（1）投标文件解密失败的补救方案：</w:t>
            </w:r>
          </w:p>
          <w:p w14:paraId="7E16AF4E">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14:paraId="03661F2D">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（2）评标时突发情况的补救方案</w:t>
            </w:r>
          </w:p>
          <w:p w14:paraId="4676612C">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若遇不可抗力发生（指网络瘫痪、服务器损坏、交易系统故障短期无法恢复等因素），由评标委员会开启投标人递交的全部投标文件光盘，并按光盘内容进行评审。</w:t>
            </w:r>
          </w:p>
          <w:p w14:paraId="4F9AAE16">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（3）除发生上述情况外，开标评标均以投标人通过交易平台网上递交的电子投标文件为准。</w:t>
            </w:r>
          </w:p>
        </w:tc>
      </w:tr>
      <w:tr w14:paraId="5186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498" w:type="dxa"/>
            <w:tcBorders>
              <w:top w:val="single" w:color="auto" w:sz="4" w:space="0"/>
              <w:left w:val="single" w:color="auto" w:sz="4" w:space="0"/>
              <w:right w:val="single" w:color="auto" w:sz="4" w:space="0"/>
            </w:tcBorders>
            <w:noWrap w:val="0"/>
            <w:vAlign w:val="center"/>
          </w:tcPr>
          <w:p w14:paraId="19D99CBE">
            <w:pPr>
              <w:spacing w:before="156" w:beforeLines="50" w:line="360" w:lineRule="auto"/>
              <w:contextualSpacing/>
              <w:jc w:val="center"/>
              <w:rPr>
                <w:color w:val="auto"/>
                <w:szCs w:val="21"/>
                <w:highlight w:val="none"/>
              </w:rPr>
            </w:pPr>
            <w:r>
              <w:rPr>
                <w:rFonts w:hint="eastAsia"/>
                <w:color w:val="auto"/>
                <w:szCs w:val="21"/>
                <w:highlight w:val="none"/>
              </w:rPr>
              <w:t>5.1.1</w:t>
            </w:r>
          </w:p>
        </w:tc>
        <w:tc>
          <w:tcPr>
            <w:tcW w:w="2061" w:type="dxa"/>
            <w:tcBorders>
              <w:top w:val="single" w:color="auto" w:sz="4" w:space="0"/>
              <w:left w:val="single" w:color="auto" w:sz="4" w:space="0"/>
              <w:right w:val="single" w:color="auto" w:sz="4" w:space="0"/>
            </w:tcBorders>
            <w:noWrap w:val="0"/>
            <w:vAlign w:val="center"/>
          </w:tcPr>
          <w:p w14:paraId="58CDD2D8">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开标时间和地点</w:t>
            </w:r>
          </w:p>
        </w:tc>
        <w:tc>
          <w:tcPr>
            <w:tcW w:w="4963" w:type="dxa"/>
            <w:tcBorders>
              <w:top w:val="single" w:color="auto" w:sz="4" w:space="0"/>
              <w:left w:val="single" w:color="auto" w:sz="4" w:space="0"/>
              <w:right w:val="single" w:color="auto" w:sz="4" w:space="0"/>
            </w:tcBorders>
            <w:noWrap w:val="0"/>
            <w:vAlign w:val="center"/>
          </w:tcPr>
          <w:p w14:paraId="4270C2EC">
            <w:pPr>
              <w:spacing w:line="0" w:lineRule="atLeast"/>
              <w:rPr>
                <w:rFonts w:ascii="Times New Roman" w:hAnsi="Times New Roman"/>
                <w:color w:val="auto"/>
                <w:szCs w:val="21"/>
                <w:highlight w:val="none"/>
              </w:rPr>
            </w:pPr>
            <w:r>
              <w:rPr>
                <w:rFonts w:hint="eastAsia"/>
                <w:color w:val="auto"/>
                <w:szCs w:val="21"/>
                <w:highlight w:val="none"/>
              </w:rPr>
              <w:t>1、开标时间：____年__月</w:t>
            </w:r>
            <w:r>
              <w:rPr>
                <w:color w:val="auto"/>
                <w:szCs w:val="21"/>
                <w:highlight w:val="none"/>
              </w:rPr>
              <w:t>__</w:t>
            </w:r>
            <w:r>
              <w:rPr>
                <w:rFonts w:hint="eastAsia"/>
                <w:color w:val="auto"/>
                <w:szCs w:val="21"/>
                <w:highlight w:val="none"/>
              </w:rPr>
              <w:t>日</w:t>
            </w:r>
            <w:r>
              <w:rPr>
                <w:color w:val="auto"/>
                <w:szCs w:val="21"/>
                <w:highlight w:val="none"/>
              </w:rPr>
              <w:t>__</w:t>
            </w:r>
            <w:r>
              <w:rPr>
                <w:rFonts w:hint="eastAsia"/>
                <w:color w:val="auto"/>
                <w:szCs w:val="21"/>
                <w:highlight w:val="none"/>
              </w:rPr>
              <w:t>时</w:t>
            </w:r>
            <w:r>
              <w:rPr>
                <w:color w:val="auto"/>
                <w:szCs w:val="21"/>
                <w:highlight w:val="none"/>
              </w:rPr>
              <w:t>__</w:t>
            </w:r>
            <w:r>
              <w:rPr>
                <w:rFonts w:hint="eastAsia"/>
                <w:color w:val="auto"/>
                <w:szCs w:val="21"/>
                <w:highlight w:val="none"/>
              </w:rPr>
              <w:t>分</w:t>
            </w:r>
          </w:p>
          <w:p w14:paraId="7A1AEFA9">
            <w:pPr>
              <w:spacing w:line="0" w:lineRule="atLeast"/>
              <w:rPr>
                <w:rFonts w:hint="eastAsia"/>
                <w:color w:val="auto"/>
                <w:szCs w:val="21"/>
                <w:highlight w:val="none"/>
              </w:rPr>
            </w:pPr>
            <w:r>
              <w:rPr>
                <w:rFonts w:hint="eastAsia"/>
                <w:color w:val="auto"/>
                <w:szCs w:val="21"/>
                <w:highlight w:val="none"/>
              </w:rPr>
              <w:t>2、</w:t>
            </w:r>
            <w:r>
              <w:rPr>
                <w:rFonts w:hint="eastAsia" w:ascii="宋体" w:hAnsi="宋体" w:cs="宋体"/>
                <w:color w:val="auto"/>
                <w:szCs w:val="21"/>
                <w:highlight w:val="none"/>
              </w:rPr>
              <w:t>地点</w:t>
            </w:r>
            <w:r>
              <w:rPr>
                <w:rFonts w:hint="eastAsia"/>
                <w:color w:val="auto"/>
                <w:szCs w:val="21"/>
                <w:highlight w:val="none"/>
              </w:rPr>
              <w:t>：</w:t>
            </w:r>
            <w:r>
              <w:rPr>
                <w:rFonts w:hint="eastAsia"/>
                <w:color w:val="auto"/>
                <w:szCs w:val="21"/>
                <w:highlight w:val="none"/>
                <w:u w:val="single"/>
              </w:rPr>
              <w:t>具体时间和地点可以到广州交易集团有限公司（广州公共资源交易中心）网站首页，点击“建设工程→项目查询（日程安排、答疑纪要）”输入本“项目编号”或“项目名称”进行查询。</w:t>
            </w:r>
          </w:p>
          <w:p w14:paraId="42FA0B85">
            <w:pPr>
              <w:spacing w:line="0" w:lineRule="atLeast"/>
              <w:rPr>
                <w:rFonts w:hint="eastAsia"/>
                <w:color w:val="auto"/>
                <w:szCs w:val="21"/>
                <w:highlight w:val="none"/>
              </w:rPr>
            </w:pPr>
            <w:r>
              <w:rPr>
                <w:rFonts w:hint="eastAsia"/>
                <w:color w:val="auto"/>
                <w:szCs w:val="21"/>
                <w:highlight w:val="none"/>
              </w:rPr>
              <w:t>3、</w:t>
            </w:r>
            <w:r>
              <w:rPr>
                <w:rFonts w:hint="eastAsia" w:ascii="宋体" w:hAnsi="宋体" w:cs="宋体"/>
                <w:color w:val="auto"/>
                <w:szCs w:val="21"/>
                <w:highlight w:val="none"/>
              </w:rPr>
              <w:t>递交</w:t>
            </w:r>
            <w:r>
              <w:rPr>
                <w:rFonts w:hint="eastAsia"/>
                <w:color w:val="auto"/>
                <w:szCs w:val="21"/>
                <w:highlight w:val="none"/>
              </w:rPr>
              <w:t>投标文件备用光盘时间</w:t>
            </w:r>
            <w:r>
              <w:rPr>
                <w:rFonts w:hint="eastAsia" w:ascii="宋体" w:hAnsi="宋体" w:cs="宋体"/>
                <w:color w:val="auto"/>
                <w:szCs w:val="21"/>
                <w:highlight w:val="none"/>
                <w:u w:val="single"/>
              </w:rPr>
              <w:t>及地点</w:t>
            </w:r>
            <w:r>
              <w:rPr>
                <w:rFonts w:hint="eastAsia" w:ascii="宋体" w:hAnsi="宋体" w:cs="宋体"/>
                <w:color w:val="auto"/>
                <w:szCs w:val="21"/>
                <w:highlight w:val="none"/>
              </w:rPr>
              <w:t>：</w:t>
            </w:r>
            <w:r>
              <w:rPr>
                <w:rFonts w:hint="eastAsia" w:ascii="宋体" w:hAnsi="宋体" w:cs="宋体"/>
                <w:color w:val="auto"/>
                <w:szCs w:val="21"/>
                <w:highlight w:val="none"/>
                <w:u w:val="single"/>
              </w:rPr>
              <w:t>具体时间和地点可以到广州交易集团有限公司（广州公共资源交易中心）网站首页，点击“建设工程→项目查询（日程安排、答疑纪要）”输入本“项目编号”或“项目名称”进行查询</w:t>
            </w:r>
            <w:r>
              <w:rPr>
                <w:rFonts w:hint="eastAsia"/>
                <w:color w:val="auto"/>
                <w:szCs w:val="21"/>
                <w:highlight w:val="none"/>
              </w:rPr>
              <w:t>。</w:t>
            </w:r>
          </w:p>
          <w:p w14:paraId="6DC0017D">
            <w:pPr>
              <w:spacing w:line="0" w:lineRule="atLeast"/>
              <w:rPr>
                <w:rFonts w:ascii="Times New Roman" w:hAnsi="Times New Roman"/>
                <w:color w:val="auto"/>
                <w:szCs w:val="21"/>
                <w:highlight w:val="none"/>
              </w:rPr>
            </w:pPr>
            <w:r>
              <w:rPr>
                <w:rFonts w:hint="eastAsia"/>
                <w:color w:val="auto"/>
                <w:szCs w:val="21"/>
                <w:highlight w:val="none"/>
              </w:rPr>
              <w:t>开标时，</w:t>
            </w:r>
            <w:r>
              <w:rPr>
                <w:rFonts w:hint="eastAsia" w:ascii="宋体" w:hAnsi="宋体" w:cs="宋体"/>
                <w:color w:val="auto"/>
                <w:szCs w:val="21"/>
                <w:highlight w:val="none"/>
              </w:rPr>
              <w:t>投标人</w:t>
            </w:r>
            <w:r>
              <w:rPr>
                <w:rFonts w:hint="eastAsia"/>
                <w:color w:val="auto"/>
                <w:szCs w:val="21"/>
                <w:highlight w:val="none"/>
              </w:rPr>
              <w:t>代表有权参加现场开标或在线开标，也可以自主决定不参加开标，投标人选择参加在线开标的，具体按照交易平台相关指南进行操作。</w:t>
            </w:r>
          </w:p>
          <w:p w14:paraId="6CB816E8">
            <w:pPr>
              <w:spacing w:line="0" w:lineRule="atLeast"/>
              <w:rPr>
                <w:rFonts w:ascii="Times New Roman" w:hAnsi="Times New Roman"/>
                <w:color w:val="auto"/>
                <w:szCs w:val="21"/>
                <w:highlight w:val="none"/>
              </w:rPr>
            </w:pPr>
            <w:r>
              <w:rPr>
                <w:rFonts w:hint="eastAsia"/>
                <w:color w:val="auto"/>
                <w:szCs w:val="21"/>
                <w:highlight w:val="none"/>
              </w:rPr>
              <w:t>4、上述</w:t>
            </w:r>
            <w:r>
              <w:rPr>
                <w:rFonts w:hint="eastAsia" w:ascii="宋体" w:hAnsi="宋体" w:cs="宋体"/>
                <w:color w:val="auto"/>
                <w:szCs w:val="21"/>
                <w:highlight w:val="none"/>
              </w:rPr>
              <w:t>时间</w:t>
            </w:r>
            <w:r>
              <w:rPr>
                <w:rFonts w:hint="eastAsia"/>
                <w:color w:val="auto"/>
                <w:szCs w:val="21"/>
                <w:highlight w:val="none"/>
              </w:rPr>
              <w:t>及地点是否有改变，请密切留意补充公告或招标答疑纪要的相关信息。</w:t>
            </w:r>
          </w:p>
        </w:tc>
      </w:tr>
      <w:tr w14:paraId="6684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4F910C41">
            <w:pPr>
              <w:spacing w:before="156" w:beforeLines="50" w:line="360" w:lineRule="auto"/>
              <w:contextualSpacing/>
              <w:jc w:val="center"/>
              <w:rPr>
                <w:color w:val="auto"/>
                <w:szCs w:val="21"/>
                <w:highlight w:val="none"/>
              </w:rPr>
            </w:pPr>
            <w:r>
              <w:rPr>
                <w:rFonts w:hint="eastAsia"/>
                <w:color w:val="auto"/>
                <w:szCs w:val="21"/>
                <w:highlight w:val="none"/>
              </w:rPr>
              <w:t>6.3</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225A8286">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开标评标办法</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202D57B3">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w:t>
            </w:r>
            <w:r>
              <w:rPr>
                <w:rFonts w:hint="eastAsia"/>
                <w:color w:val="auto"/>
                <w:szCs w:val="21"/>
                <w:highlight w:val="none"/>
              </w:rPr>
              <w:t>综合评估法（一）</w:t>
            </w:r>
          </w:p>
          <w:p w14:paraId="0B561B96">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w:t>
            </w:r>
            <w:r>
              <w:rPr>
                <w:rFonts w:hint="eastAsia"/>
                <w:color w:val="auto"/>
                <w:szCs w:val="21"/>
                <w:highlight w:val="none"/>
              </w:rPr>
              <w:t>综合评估法（二）</w:t>
            </w:r>
          </w:p>
          <w:p w14:paraId="580A9A6A">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w:t>
            </w:r>
            <w:r>
              <w:rPr>
                <w:rFonts w:hint="eastAsia"/>
                <w:color w:val="auto"/>
                <w:szCs w:val="21"/>
                <w:highlight w:val="none"/>
              </w:rPr>
              <w:t>综合评估法（三）</w:t>
            </w:r>
          </w:p>
          <w:p w14:paraId="68E69E04">
            <w:pPr>
              <w:spacing w:before="156" w:beforeLines="50" w:line="0" w:lineRule="atLeast"/>
              <w:contextualSpacing/>
              <w:rPr>
                <w:rFonts w:hint="eastAsia"/>
                <w:color w:val="auto"/>
                <w:szCs w:val="21"/>
                <w:highlight w:val="none"/>
              </w:rPr>
            </w:pPr>
            <w:r>
              <w:rPr>
                <w:rFonts w:hint="eastAsia" w:ascii="宋体" w:hAnsi="宋体"/>
                <w:color w:val="auto"/>
                <w:szCs w:val="21"/>
                <w:highlight w:val="none"/>
              </w:rPr>
              <w:t>□</w:t>
            </w:r>
            <w:r>
              <w:rPr>
                <w:rFonts w:hint="eastAsia"/>
                <w:color w:val="auto"/>
                <w:szCs w:val="21"/>
                <w:highlight w:val="none"/>
              </w:rPr>
              <w:t>经评审的最低投标价法</w:t>
            </w:r>
          </w:p>
          <w:p w14:paraId="173F08AD">
            <w:pPr>
              <w:spacing w:before="156" w:beforeLines="50" w:line="0" w:lineRule="atLeast"/>
              <w:contextualSpacing/>
              <w:rPr>
                <w:rFonts w:hint="eastAsia"/>
                <w:color w:val="auto"/>
                <w:szCs w:val="21"/>
                <w:highlight w:val="none"/>
              </w:rPr>
            </w:pPr>
            <w:r>
              <w:rPr>
                <w:rFonts w:hint="eastAsia" w:ascii="宋体" w:hAnsi="宋体"/>
                <w:color w:val="auto"/>
                <w:szCs w:val="21"/>
                <w:highlight w:val="none"/>
              </w:rPr>
              <w:t>□经评审的最低投标价法（二）（由招标人自行制定）□</w:t>
            </w:r>
            <w:r>
              <w:rPr>
                <w:rFonts w:hint="eastAsia"/>
                <w:color w:val="auto"/>
                <w:szCs w:val="21"/>
                <w:highlight w:val="none"/>
              </w:rPr>
              <w:t>两阶段评标法（由招标人自行制定）</w:t>
            </w:r>
          </w:p>
        </w:tc>
      </w:tr>
      <w:tr w14:paraId="36D4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45DF6203">
            <w:pPr>
              <w:spacing w:before="156" w:beforeLines="50" w:line="360" w:lineRule="auto"/>
              <w:contextualSpacing/>
              <w:jc w:val="center"/>
              <w:rPr>
                <w:color w:val="auto"/>
                <w:szCs w:val="21"/>
                <w:highlight w:val="none"/>
              </w:rPr>
            </w:pPr>
            <w:r>
              <w:rPr>
                <w:rFonts w:hint="eastAsia"/>
                <w:color w:val="auto"/>
                <w:szCs w:val="21"/>
                <w:highlight w:val="none"/>
              </w:rPr>
              <w:t>6.1.1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2E60D68F">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评标委员会的组建</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72F33497">
            <w:pPr>
              <w:spacing w:before="156" w:beforeLines="50" w:line="0" w:lineRule="atLeast"/>
              <w:contextualSpacing/>
              <w:rPr>
                <w:rFonts w:hint="eastAsia"/>
                <w:color w:val="auto"/>
                <w:szCs w:val="21"/>
                <w:highlight w:val="none"/>
              </w:rPr>
            </w:pPr>
            <w:r>
              <w:rPr>
                <w:rFonts w:hint="eastAsia"/>
                <w:color w:val="auto"/>
                <w:szCs w:val="21"/>
                <w:highlight w:val="none"/>
              </w:rPr>
              <w:t>评标委员会构成</w:t>
            </w:r>
            <w:bookmarkStart w:id="28" w:name="_Toc221950065"/>
            <w:r>
              <w:rPr>
                <w:rFonts w:hint="eastAsia"/>
                <w:color w:val="auto"/>
                <w:szCs w:val="21"/>
                <w:highlight w:val="none"/>
              </w:rPr>
              <w:t>：</w:t>
            </w:r>
            <w:r>
              <w:rPr>
                <w:rFonts w:hint="eastAsia"/>
                <w:color w:val="auto"/>
                <w:szCs w:val="21"/>
                <w:highlight w:val="none"/>
                <w:u w:val="single"/>
              </w:rPr>
              <w:t xml:space="preserve"> 5 </w:t>
            </w:r>
            <w:r>
              <w:rPr>
                <w:rFonts w:hint="eastAsia"/>
                <w:color w:val="auto"/>
                <w:szCs w:val="21"/>
                <w:highlight w:val="none"/>
              </w:rPr>
              <w:t>人，</w:t>
            </w:r>
          </w:p>
          <w:bookmarkEnd w:id="28"/>
          <w:p w14:paraId="4C469854">
            <w:pPr>
              <w:spacing w:before="156" w:beforeLines="50" w:line="0" w:lineRule="atLeast"/>
              <w:contextualSpacing/>
              <w:rPr>
                <w:rFonts w:hint="eastAsia"/>
                <w:color w:val="auto"/>
                <w:szCs w:val="21"/>
                <w:highlight w:val="none"/>
              </w:rPr>
            </w:pPr>
            <w:r>
              <w:rPr>
                <w:rFonts w:hint="eastAsia"/>
                <w:color w:val="auto"/>
                <w:szCs w:val="21"/>
                <w:highlight w:val="none"/>
              </w:rPr>
              <w:t>其中招标人代表</w:t>
            </w:r>
            <w:r>
              <w:rPr>
                <w:rFonts w:hint="eastAsia"/>
                <w:color w:val="auto"/>
                <w:szCs w:val="21"/>
                <w:highlight w:val="none"/>
                <w:u w:val="single"/>
              </w:rPr>
              <w:t xml:space="preserve"> </w:t>
            </w:r>
            <w:r>
              <w:rPr>
                <w:rFonts w:hint="eastAsia"/>
                <w:color w:val="auto"/>
                <w:szCs w:val="21"/>
                <w:highlight w:val="none"/>
                <w:u w:val="single"/>
                <w:lang w:val="en-US" w:eastAsia="zh-CN"/>
              </w:rPr>
              <w:t>1</w:t>
            </w:r>
            <w:r>
              <w:rPr>
                <w:rFonts w:hint="eastAsia"/>
                <w:color w:val="auto"/>
                <w:szCs w:val="21"/>
                <w:highlight w:val="none"/>
                <w:u w:val="single"/>
              </w:rPr>
              <w:t xml:space="preserve"> </w:t>
            </w:r>
            <w:r>
              <w:rPr>
                <w:rFonts w:hint="eastAsia"/>
                <w:color w:val="auto"/>
                <w:szCs w:val="21"/>
                <w:highlight w:val="none"/>
              </w:rPr>
              <w:t>人，专家</w:t>
            </w:r>
            <w:r>
              <w:rPr>
                <w:rFonts w:hint="eastAsia"/>
                <w:color w:val="auto"/>
                <w:szCs w:val="21"/>
                <w:highlight w:val="none"/>
                <w:u w:val="single"/>
              </w:rPr>
              <w:t xml:space="preserve"> </w:t>
            </w:r>
            <w:r>
              <w:rPr>
                <w:rFonts w:hint="eastAsia"/>
                <w:color w:val="auto"/>
                <w:szCs w:val="21"/>
                <w:highlight w:val="none"/>
                <w:u w:val="single"/>
                <w:lang w:val="en-US" w:eastAsia="zh-CN"/>
              </w:rPr>
              <w:t>4</w:t>
            </w:r>
            <w:r>
              <w:rPr>
                <w:rFonts w:hint="eastAsia"/>
                <w:color w:val="auto"/>
                <w:szCs w:val="21"/>
                <w:highlight w:val="none"/>
                <w:u w:val="single"/>
              </w:rPr>
              <w:t xml:space="preserve"> </w:t>
            </w:r>
            <w:r>
              <w:rPr>
                <w:rFonts w:hint="eastAsia"/>
                <w:color w:val="auto"/>
                <w:szCs w:val="21"/>
                <w:highlight w:val="none"/>
              </w:rPr>
              <w:t>人；</w:t>
            </w:r>
          </w:p>
          <w:p w14:paraId="5D0CABA1">
            <w:pPr>
              <w:spacing w:before="156" w:beforeLines="50" w:line="0" w:lineRule="atLeast"/>
              <w:contextualSpacing/>
              <w:rPr>
                <w:rFonts w:ascii="宋体" w:hAnsi="宋体"/>
                <w:color w:val="auto"/>
                <w:szCs w:val="21"/>
                <w:highlight w:val="none"/>
              </w:rPr>
            </w:pPr>
            <w:r>
              <w:rPr>
                <w:rFonts w:hint="eastAsia"/>
                <w:color w:val="auto"/>
                <w:szCs w:val="21"/>
                <w:highlight w:val="none"/>
              </w:rPr>
              <w:t>评标专家确定方式：</w:t>
            </w:r>
            <w:r>
              <w:rPr>
                <w:rFonts w:hint="eastAsia"/>
                <w:color w:val="auto"/>
                <w:szCs w:val="21"/>
                <w:highlight w:val="none"/>
                <w:u w:val="single"/>
              </w:rPr>
              <w:t>评标专家在广东省综合评标评审专家库中随机抽取。</w:t>
            </w:r>
          </w:p>
        </w:tc>
      </w:tr>
      <w:tr w14:paraId="3DAE2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377BF2F3">
            <w:pPr>
              <w:spacing w:before="156" w:beforeLines="50" w:line="360" w:lineRule="auto"/>
              <w:contextualSpacing/>
              <w:jc w:val="center"/>
              <w:rPr>
                <w:color w:val="auto"/>
                <w:szCs w:val="21"/>
                <w:highlight w:val="none"/>
              </w:rPr>
            </w:pPr>
            <w:r>
              <w:rPr>
                <w:rFonts w:hint="eastAsia"/>
                <w:color w:val="auto"/>
                <w:szCs w:val="21"/>
                <w:highlight w:val="none"/>
              </w:rPr>
              <w:t>7.4.1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1D38F0F0">
            <w:pPr>
              <w:spacing w:before="156" w:beforeLines="50" w:line="0" w:lineRule="atLeast"/>
              <w:contextualSpacing/>
              <w:jc w:val="center"/>
              <w:rPr>
                <w:rFonts w:ascii="Times New Roman" w:hAnsi="Times New Roman"/>
                <w:color w:val="auto"/>
                <w:szCs w:val="21"/>
                <w:highlight w:val="none"/>
              </w:rPr>
            </w:pPr>
            <w:r>
              <w:rPr>
                <w:color w:val="auto"/>
                <w:szCs w:val="21"/>
                <w:highlight w:val="none"/>
              </w:rPr>
              <w:t>履约担保</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1EFC8A2C">
            <w:pPr>
              <w:spacing w:before="156" w:beforeLines="50" w:line="0" w:lineRule="atLeast"/>
              <w:contextualSpacing/>
              <w:jc w:val="left"/>
              <w:rPr>
                <w:rFonts w:hint="eastAsia"/>
                <w:color w:val="auto"/>
                <w:szCs w:val="21"/>
                <w:highlight w:val="none"/>
              </w:rPr>
            </w:pPr>
            <w:r>
              <w:rPr>
                <w:rFonts w:hint="eastAsia"/>
                <w:color w:val="auto"/>
                <w:szCs w:val="21"/>
                <w:highlight w:val="none"/>
              </w:rPr>
              <w:t>履约保证金为中标价款的10%。具体详见合同条款。</w:t>
            </w:r>
          </w:p>
          <w:p w14:paraId="108E068D">
            <w:pPr>
              <w:spacing w:before="156" w:beforeLines="50" w:line="0" w:lineRule="atLeast"/>
              <w:contextualSpacing/>
              <w:jc w:val="left"/>
              <w:rPr>
                <w:rFonts w:hint="eastAsia"/>
                <w:color w:val="auto"/>
                <w:szCs w:val="21"/>
                <w:highlight w:val="none"/>
              </w:rPr>
            </w:pPr>
            <w:r>
              <w:rPr>
                <w:rFonts w:hint="eastAsia"/>
                <w:color w:val="auto"/>
                <w:szCs w:val="21"/>
                <w:highlight w:val="none"/>
              </w:rPr>
              <w:t>履约保证金的形式：具体详见合同条款。</w:t>
            </w:r>
          </w:p>
        </w:tc>
      </w:tr>
      <w:tr w14:paraId="5EF5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410FE0A1">
            <w:pPr>
              <w:spacing w:before="156" w:beforeLines="50" w:line="360" w:lineRule="auto"/>
              <w:contextualSpacing/>
              <w:jc w:val="center"/>
              <w:rPr>
                <w:color w:val="auto"/>
                <w:szCs w:val="21"/>
                <w:highlight w:val="none"/>
              </w:rPr>
            </w:pPr>
            <w:r>
              <w:rPr>
                <w:rFonts w:hint="eastAsia"/>
                <w:color w:val="auto"/>
                <w:szCs w:val="21"/>
                <w:highlight w:val="none"/>
              </w:rPr>
              <w:t>7.2.1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5FE3A0DD">
            <w:pPr>
              <w:spacing w:before="156" w:beforeLines="50" w:line="0" w:lineRule="atLeast"/>
              <w:contextualSpacing/>
              <w:jc w:val="center"/>
              <w:rPr>
                <w:rFonts w:ascii="Times New Roman" w:hAnsi="Times New Roman"/>
                <w:color w:val="auto"/>
                <w:highlight w:val="none"/>
              </w:rPr>
            </w:pPr>
            <w:r>
              <w:rPr>
                <w:rFonts w:hint="eastAsia"/>
                <w:color w:val="auto"/>
                <w:szCs w:val="21"/>
                <w:highlight w:val="none"/>
              </w:rPr>
              <w:t>是否授权评标委员会确定中标人</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71548A2B">
            <w:pPr>
              <w:spacing w:line="0" w:lineRule="atLeast"/>
              <w:contextualSpacing/>
              <w:rPr>
                <w:color w:val="auto"/>
                <w:szCs w:val="21"/>
                <w:highlight w:val="none"/>
                <w:u w:val="single"/>
              </w:rPr>
            </w:pPr>
            <w:r>
              <w:rPr>
                <w:rFonts w:hint="eastAsia" w:ascii="宋体" w:hAnsi="宋体"/>
                <w:color w:val="auto"/>
                <w:szCs w:val="21"/>
                <w:highlight w:val="none"/>
              </w:rPr>
              <w:t>□</w:t>
            </w:r>
            <w:r>
              <w:rPr>
                <w:rFonts w:hint="eastAsia"/>
                <w:color w:val="auto"/>
                <w:szCs w:val="21"/>
                <w:highlight w:val="none"/>
              </w:rPr>
              <w:t>是</w:t>
            </w:r>
          </w:p>
          <w:p w14:paraId="7ECF6CF4">
            <w:pPr>
              <w:spacing w:line="0" w:lineRule="atLeast"/>
              <w:contextualSpacing/>
              <w:rPr>
                <w:color w:val="auto"/>
                <w:highlight w:val="none"/>
              </w:rPr>
            </w:pPr>
            <w:r>
              <w:rPr>
                <w:rFonts w:hint="eastAsia" w:ascii="MS Gothic" w:hAnsi="MS Gothic" w:eastAsia="MS Gothic" w:cs="MS Gothic"/>
                <w:color w:val="auto"/>
                <w:szCs w:val="21"/>
                <w:highlight w:val="none"/>
              </w:rPr>
              <w:t>☑</w:t>
            </w:r>
            <w:r>
              <w:rPr>
                <w:rFonts w:hint="eastAsia"/>
                <w:color w:val="auto"/>
                <w:szCs w:val="21"/>
                <w:highlight w:val="none"/>
              </w:rPr>
              <w:t>否，推荐中标候选人的人数：</w:t>
            </w:r>
            <w:r>
              <w:rPr>
                <w:rFonts w:hint="eastAsia"/>
                <w:color w:val="auto"/>
                <w:szCs w:val="21"/>
                <w:highlight w:val="none"/>
                <w:u w:val="single"/>
              </w:rPr>
              <w:t xml:space="preserve"> 3 </w:t>
            </w:r>
            <w:r>
              <w:rPr>
                <w:rFonts w:hint="eastAsia"/>
                <w:color w:val="auto"/>
                <w:szCs w:val="21"/>
                <w:highlight w:val="none"/>
              </w:rPr>
              <w:t>名。</w:t>
            </w:r>
          </w:p>
        </w:tc>
      </w:tr>
      <w:tr w14:paraId="3954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3D8B9749">
            <w:pPr>
              <w:spacing w:before="156" w:beforeLines="50" w:line="360" w:lineRule="auto"/>
              <w:contextualSpacing/>
              <w:jc w:val="center"/>
              <w:rPr>
                <w:color w:val="auto"/>
                <w:szCs w:val="21"/>
                <w:highlight w:val="none"/>
              </w:rPr>
            </w:pPr>
            <w:r>
              <w:rPr>
                <w:rFonts w:hint="eastAsia"/>
                <w:color w:val="auto"/>
                <w:szCs w:val="21"/>
                <w:highlight w:val="none"/>
              </w:rPr>
              <w:t>7.1.1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3F49379E">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中标候选人公示媒介</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22C3ED23">
            <w:pPr>
              <w:spacing w:line="0" w:lineRule="atLeast"/>
              <w:contextualSpacing/>
              <w:rPr>
                <w:rFonts w:ascii="宋体" w:hAnsi="宋体" w:cs="宋体"/>
                <w:color w:val="auto"/>
                <w:kern w:val="0"/>
                <w:szCs w:val="21"/>
                <w:highlight w:val="none"/>
              </w:rPr>
            </w:pPr>
            <w:r>
              <w:rPr>
                <w:rFonts w:hint="eastAsia" w:ascii="宋体" w:hAnsi="宋体" w:cs="宋体"/>
                <w:color w:val="auto"/>
                <w:kern w:val="0"/>
                <w:szCs w:val="21"/>
                <w:highlight w:val="none"/>
                <w:lang w:val="zh-CN"/>
              </w:rPr>
              <w:t>广州交易集团有限公司</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广州公共资源交易中心</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网和广东省招标投标监管网、中国招标投标公共服务平台及广州市增城区人民政府门户网站</w:t>
            </w:r>
            <w:r>
              <w:rPr>
                <w:rFonts w:hint="eastAsia" w:ascii="宋体" w:hAnsi="宋体" w:cs="宋体"/>
                <w:color w:val="auto"/>
                <w:kern w:val="0"/>
                <w:szCs w:val="21"/>
                <w:highlight w:val="none"/>
              </w:rPr>
              <w:t>（http://www.zc.gov.cn/）</w:t>
            </w:r>
            <w:r>
              <w:rPr>
                <w:rFonts w:hint="eastAsia" w:ascii="宋体" w:hAnsi="宋体" w:cs="宋体"/>
                <w:color w:val="auto"/>
                <w:kern w:val="0"/>
                <w:szCs w:val="21"/>
                <w:highlight w:val="none"/>
                <w:lang w:val="zh-CN"/>
              </w:rPr>
              <w:t>的</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首页</w:t>
            </w:r>
            <w:r>
              <w:rPr>
                <w:rFonts w:hint="eastAsia" w:ascii="宋体" w:hAnsi="宋体" w:cs="宋体"/>
                <w:color w:val="auto"/>
                <w:kern w:val="0"/>
                <w:szCs w:val="21"/>
                <w:highlight w:val="none"/>
              </w:rPr>
              <w:t>&gt;</w:t>
            </w:r>
            <w:r>
              <w:rPr>
                <w:rFonts w:hint="eastAsia" w:ascii="宋体" w:hAnsi="宋体" w:cs="宋体"/>
                <w:color w:val="auto"/>
                <w:kern w:val="0"/>
                <w:szCs w:val="21"/>
                <w:highlight w:val="none"/>
                <w:lang w:val="zh-CN"/>
              </w:rPr>
              <w:t>公开</w:t>
            </w:r>
            <w:r>
              <w:rPr>
                <w:rFonts w:hint="eastAsia" w:ascii="宋体" w:hAnsi="宋体" w:cs="宋体"/>
                <w:color w:val="auto"/>
                <w:kern w:val="0"/>
                <w:szCs w:val="21"/>
                <w:highlight w:val="none"/>
              </w:rPr>
              <w:t>&gt;</w:t>
            </w:r>
            <w:r>
              <w:rPr>
                <w:rFonts w:hint="eastAsia" w:ascii="宋体" w:hAnsi="宋体" w:cs="宋体"/>
                <w:color w:val="auto"/>
                <w:kern w:val="0"/>
                <w:szCs w:val="21"/>
                <w:highlight w:val="none"/>
                <w:lang w:val="zh-CN"/>
              </w:rPr>
              <w:t>公共资源配置领域</w:t>
            </w:r>
            <w:r>
              <w:rPr>
                <w:rFonts w:hint="eastAsia" w:ascii="宋体" w:hAnsi="宋体" w:cs="宋体"/>
                <w:color w:val="auto"/>
                <w:kern w:val="0"/>
                <w:szCs w:val="21"/>
                <w:highlight w:val="none"/>
              </w:rPr>
              <w:t>&gt;</w:t>
            </w:r>
            <w:r>
              <w:rPr>
                <w:rFonts w:hint="eastAsia" w:ascii="宋体" w:hAnsi="宋体" w:cs="宋体"/>
                <w:color w:val="auto"/>
                <w:kern w:val="0"/>
                <w:szCs w:val="21"/>
                <w:highlight w:val="none"/>
                <w:lang w:val="zh-CN"/>
              </w:rPr>
              <w:t>工程建设项目招投标</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栏目</w:t>
            </w:r>
          </w:p>
        </w:tc>
      </w:tr>
      <w:tr w14:paraId="6041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43CE1A80">
            <w:pPr>
              <w:spacing w:before="156" w:beforeLines="50" w:line="360" w:lineRule="auto"/>
              <w:contextualSpacing/>
              <w:jc w:val="center"/>
              <w:rPr>
                <w:color w:val="auto"/>
                <w:szCs w:val="21"/>
                <w:highlight w:val="none"/>
              </w:rPr>
            </w:pPr>
          </w:p>
        </w:tc>
        <w:tc>
          <w:tcPr>
            <w:tcW w:w="2061" w:type="dxa"/>
            <w:tcBorders>
              <w:top w:val="single" w:color="auto" w:sz="4" w:space="0"/>
              <w:left w:val="single" w:color="auto" w:sz="4" w:space="0"/>
              <w:bottom w:val="single" w:color="auto" w:sz="4" w:space="0"/>
              <w:right w:val="single" w:color="auto" w:sz="4" w:space="0"/>
            </w:tcBorders>
            <w:noWrap w:val="0"/>
            <w:vAlign w:val="center"/>
          </w:tcPr>
          <w:p w14:paraId="7A2ADE37">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分包</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02C38F03">
            <w:pPr>
              <w:spacing w:line="0" w:lineRule="atLeas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□不允许；</w:t>
            </w:r>
          </w:p>
          <w:p w14:paraId="407353FE">
            <w:pPr>
              <w:spacing w:line="0" w:lineRule="atLeas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☑允许：分包内容要求：</w:t>
            </w:r>
            <w:r>
              <w:rPr>
                <w:rFonts w:hint="eastAsia" w:ascii="宋体" w:hAnsi="宋体" w:cs="宋体"/>
                <w:color w:val="auto"/>
                <w:kern w:val="0"/>
                <w:szCs w:val="21"/>
                <w:highlight w:val="none"/>
                <w:u w:val="single"/>
                <w:lang w:val="zh-CN"/>
              </w:rPr>
              <w:t>中标人按照合同约定或者经招标人同意，可以将中标项目的部分非主体、非关键性工作分包给他人完成。</w:t>
            </w:r>
          </w:p>
          <w:p w14:paraId="73EB8383">
            <w:pPr>
              <w:spacing w:line="0" w:lineRule="atLeas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分包金额要求：</w:t>
            </w:r>
            <w:r>
              <w:rPr>
                <w:rFonts w:hint="eastAsia" w:ascii="宋体" w:hAnsi="宋体" w:cs="宋体"/>
                <w:color w:val="auto"/>
                <w:kern w:val="0"/>
                <w:szCs w:val="21"/>
                <w:highlight w:val="none"/>
                <w:u w:val="single"/>
                <w:lang w:val="zh-CN"/>
              </w:rPr>
              <w:t>根据实际情况确定。</w:t>
            </w:r>
          </w:p>
          <w:p w14:paraId="68534E7A">
            <w:pPr>
              <w:spacing w:before="156" w:line="0" w:lineRule="atLeas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对分包人的资质要求：</w:t>
            </w:r>
            <w:r>
              <w:rPr>
                <w:rFonts w:hint="eastAsia" w:ascii="宋体" w:hAnsi="宋体" w:cs="宋体"/>
                <w:color w:val="auto"/>
                <w:kern w:val="0"/>
                <w:szCs w:val="21"/>
                <w:highlight w:val="none"/>
                <w:u w:val="single"/>
                <w:lang w:val="zh-CN"/>
              </w:rPr>
              <w:t>接受分包的人应当具备相应的资质条件，并不得再次分包。</w:t>
            </w:r>
          </w:p>
          <w:p w14:paraId="13A8B973">
            <w:pPr>
              <w:spacing w:before="156" w:line="0" w:lineRule="atLeast"/>
              <w:rPr>
                <w:color w:val="auto"/>
                <w:szCs w:val="21"/>
                <w:highlight w:val="none"/>
              </w:rPr>
            </w:pPr>
            <w:r>
              <w:rPr>
                <w:rFonts w:hint="eastAsia" w:ascii="宋体" w:hAnsi="宋体" w:cs="宋体"/>
                <w:color w:val="auto"/>
                <w:kern w:val="0"/>
                <w:szCs w:val="21"/>
                <w:highlight w:val="none"/>
                <w:lang w:val="zh-CN"/>
              </w:rPr>
              <w:t>对分包人的其他要求：</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lang w:val="zh-CN"/>
              </w:rPr>
              <w:t>。</w:t>
            </w:r>
          </w:p>
        </w:tc>
      </w:tr>
      <w:tr w14:paraId="3BEE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240C4976">
            <w:pPr>
              <w:spacing w:before="156" w:beforeLines="50" w:line="360" w:lineRule="auto"/>
              <w:contextualSpacing/>
              <w:jc w:val="center"/>
              <w:rPr>
                <w:color w:val="auto"/>
                <w:szCs w:val="21"/>
                <w:highlight w:val="none"/>
              </w:rPr>
            </w:pPr>
          </w:p>
        </w:tc>
        <w:tc>
          <w:tcPr>
            <w:tcW w:w="2061" w:type="dxa"/>
            <w:tcBorders>
              <w:top w:val="single" w:color="auto" w:sz="4" w:space="0"/>
              <w:left w:val="single" w:color="auto" w:sz="4" w:space="0"/>
              <w:bottom w:val="single" w:color="auto" w:sz="4" w:space="0"/>
              <w:right w:val="single" w:color="auto" w:sz="4" w:space="0"/>
            </w:tcBorders>
            <w:noWrap w:val="0"/>
            <w:vAlign w:val="center"/>
          </w:tcPr>
          <w:p w14:paraId="5CA12931">
            <w:pPr>
              <w:spacing w:before="156" w:beforeLines="50" w:line="0" w:lineRule="atLeast"/>
              <w:contextualSpacing/>
              <w:jc w:val="center"/>
              <w:rPr>
                <w:rFonts w:hint="eastAsia"/>
                <w:color w:val="auto"/>
                <w:szCs w:val="21"/>
                <w:highlight w:val="none"/>
              </w:rPr>
            </w:pPr>
            <w:r>
              <w:rPr>
                <w:rFonts w:hint="eastAsia" w:ascii="宋体" w:hAnsi="宋体" w:cs="宋体"/>
                <w:color w:val="auto"/>
                <w:szCs w:val="21"/>
                <w:highlight w:val="none"/>
              </w:rPr>
              <w:t>施工实名制及工人工资分账管理</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5E860BD8">
            <w:pPr>
              <w:spacing w:line="0" w:lineRule="atLeast"/>
              <w:ind w:firstLine="420" w:firstLineChars="200"/>
              <w:rPr>
                <w:color w:val="auto"/>
                <w:highlight w:val="none"/>
              </w:rPr>
            </w:pPr>
            <w:r>
              <w:rPr>
                <w:rFonts w:hint="eastAsia"/>
                <w:color w:val="auto"/>
                <w:highlight w:val="none"/>
              </w:rPr>
              <w:t>工程进度款中的工人工资款比例参照施工招标的《中标通知书》中单列的人工费金额除以中标金额计算。</w:t>
            </w:r>
          </w:p>
          <w:p w14:paraId="46420086">
            <w:pPr>
              <w:spacing w:line="0" w:lineRule="atLeast"/>
              <w:ind w:firstLine="420" w:firstLineChars="200"/>
              <w:rPr>
                <w:color w:val="auto"/>
                <w:highlight w:val="none"/>
                <w:lang w:val="zh-CN"/>
              </w:rPr>
            </w:pPr>
            <w:r>
              <w:rPr>
                <w:rFonts w:hint="eastAsia"/>
                <w:color w:val="auto"/>
                <w:highlight w:val="none"/>
                <w:lang w:val="zh-CN"/>
              </w:rPr>
              <w:t>本工程按《广州市住房和城乡建设局关于印发&lt;广州市建筑施工实名制管理办法&gt;的通知》（穗建规字〔2020〕18号）规定，对建设项目工程从业人员实行实名制管理。</w:t>
            </w:r>
          </w:p>
          <w:p w14:paraId="3490F8E7">
            <w:pPr>
              <w:spacing w:line="0" w:lineRule="atLeast"/>
              <w:rPr>
                <w:rFonts w:hint="eastAsia" w:ascii="宋体" w:hAnsi="宋体" w:cs="宋体"/>
                <w:color w:val="auto"/>
                <w:kern w:val="0"/>
                <w:szCs w:val="21"/>
                <w:highlight w:val="none"/>
                <w:lang w:val="zh-CN"/>
              </w:rPr>
            </w:pPr>
            <w:r>
              <w:rPr>
                <w:rFonts w:hint="eastAsia"/>
                <w:color w:val="auto"/>
                <w:highlight w:val="none"/>
                <w:lang w:val="zh-CN"/>
              </w:rPr>
              <w:t>本项目按照《广州市建设领域工人工资支付分账管理实施细则》（穗建规字〔2020〕37号）实行工人工资分账管理。</w:t>
            </w:r>
          </w:p>
        </w:tc>
      </w:tr>
      <w:tr w14:paraId="0840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6473F957">
            <w:pPr>
              <w:spacing w:before="156" w:beforeLines="50" w:line="360" w:lineRule="auto"/>
              <w:contextualSpacing/>
              <w:jc w:val="center"/>
              <w:rPr>
                <w:rFonts w:hint="eastAsia"/>
                <w:color w:val="auto"/>
                <w:szCs w:val="21"/>
                <w:highlight w:val="none"/>
              </w:rPr>
            </w:pPr>
            <w:r>
              <w:rPr>
                <w:rFonts w:hint="eastAsia"/>
                <w:color w:val="auto"/>
                <w:szCs w:val="21"/>
                <w:highlight w:val="none"/>
              </w:rPr>
              <w:t>9.1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55C57342">
            <w:pPr>
              <w:spacing w:before="156" w:beforeLines="50" w:line="0" w:lineRule="atLeast"/>
              <w:contextualSpacing/>
              <w:jc w:val="left"/>
              <w:rPr>
                <w:rFonts w:hint="eastAsia"/>
                <w:color w:val="auto"/>
                <w:szCs w:val="21"/>
                <w:highlight w:val="none"/>
              </w:rPr>
            </w:pPr>
            <w:r>
              <w:rPr>
                <w:rFonts w:hint="eastAsia" w:ascii="宋体" w:hAnsi="宋体" w:cs="宋体"/>
                <w:color w:val="auto"/>
                <w:szCs w:val="21"/>
                <w:highlight w:val="none"/>
              </w:rPr>
              <w:t>其他</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2BA64B7C">
            <w:pPr>
              <w:spacing w:line="0" w:lineRule="atLeast"/>
              <w:rPr>
                <w:rFonts w:ascii="宋体" w:hAnsi="宋体" w:cs="宋体"/>
                <w:color w:val="auto"/>
                <w:kern w:val="0"/>
                <w:szCs w:val="21"/>
                <w:highlight w:val="none"/>
                <w:u w:val="single"/>
                <w:lang w:val="zh-CN"/>
              </w:rPr>
            </w:pPr>
            <w:r>
              <w:rPr>
                <w:rFonts w:hint="eastAsia" w:ascii="宋体" w:hAnsi="宋体" w:cs="宋体"/>
                <w:color w:val="auto"/>
                <w:kern w:val="0"/>
                <w:szCs w:val="21"/>
                <w:highlight w:val="none"/>
                <w:u w:val="single"/>
                <w:lang w:val="zh-CN"/>
              </w:rPr>
              <w:t>1、</w:t>
            </w:r>
            <w:r>
              <w:rPr>
                <w:rFonts w:hint="eastAsia" w:ascii="宋体" w:hAnsi="宋体" w:cs="宋体"/>
                <w:color w:val="auto"/>
                <w:szCs w:val="21"/>
                <w:highlight w:val="none"/>
                <w:u w:val="single"/>
                <w:lang w:val="zh-CN"/>
              </w:rPr>
              <w:t>本</w:t>
            </w:r>
            <w:r>
              <w:rPr>
                <w:rFonts w:hint="eastAsia" w:ascii="宋体" w:hAnsi="宋体" w:cs="宋体"/>
                <w:color w:val="auto"/>
                <w:kern w:val="0"/>
                <w:szCs w:val="21"/>
                <w:highlight w:val="none"/>
                <w:u w:val="single"/>
                <w:lang w:val="zh-CN"/>
              </w:rPr>
              <w:t>项目的公共资源交易服务费由中标人缴纳，费用包含在投标价中。</w:t>
            </w:r>
            <w:r>
              <w:rPr>
                <w:rFonts w:hint="eastAsia" w:ascii="宋体" w:hAnsi="宋体" w:cs="宋体"/>
                <w:color w:val="auto"/>
                <w:highlight w:val="none"/>
                <w:lang w:val="zh-CN"/>
              </w:rPr>
              <w:t>中标人应按招标人通知的日期向广州公共资源交易中心缴纳交易服务费、向广州公共资源交易中心索取发票，并在取得发票后及时告知招标代理。（该交易服务费按标段收费，中标</w:t>
            </w:r>
            <w:r>
              <w:rPr>
                <w:rFonts w:hint="eastAsia" w:ascii="宋体" w:hAnsi="宋体" w:cs="宋体"/>
                <w:color w:val="auto"/>
                <w:highlight w:val="none"/>
              </w:rPr>
              <w:t>金额</w:t>
            </w:r>
            <w:r>
              <w:rPr>
                <w:rFonts w:hint="eastAsia" w:ascii="宋体" w:hAnsi="宋体" w:cs="宋体"/>
                <w:color w:val="auto"/>
                <w:highlight w:val="none"/>
                <w:lang w:val="zh-CN"/>
              </w:rPr>
              <w:t>1亿元(含1亿元)以下</w:t>
            </w:r>
            <w:r>
              <w:rPr>
                <w:rFonts w:hint="eastAsia" w:ascii="宋体" w:hAnsi="宋体" w:cs="宋体"/>
                <w:color w:val="auto"/>
                <w:highlight w:val="none"/>
              </w:rPr>
              <w:t>按</w:t>
            </w:r>
            <w:r>
              <w:rPr>
                <w:rFonts w:hint="eastAsia" w:ascii="宋体" w:hAnsi="宋体" w:cs="宋体"/>
                <w:color w:val="auto"/>
                <w:highlight w:val="none"/>
                <w:lang w:val="zh-CN"/>
              </w:rPr>
              <w:t>0.9</w:t>
            </w:r>
            <w:r>
              <w:rPr>
                <w:rFonts w:hint="eastAsia" w:ascii="宋体" w:hAnsi="宋体" w:cs="宋体"/>
                <w:color w:val="auto"/>
                <w:highlight w:val="none"/>
              </w:rPr>
              <w:t>‰</w:t>
            </w:r>
            <w:r>
              <w:rPr>
                <w:rFonts w:hint="eastAsia" w:ascii="宋体" w:hAnsi="宋体" w:cs="宋体"/>
                <w:color w:val="auto"/>
                <w:highlight w:val="none"/>
                <w:lang w:val="zh-CN"/>
              </w:rPr>
              <w:t>，</w:t>
            </w:r>
            <w:r>
              <w:rPr>
                <w:rFonts w:hint="eastAsia" w:ascii="宋体" w:hAnsi="宋体" w:cs="宋体"/>
                <w:color w:val="auto"/>
                <w:highlight w:val="none"/>
              </w:rPr>
              <w:t>超过1亿元部分按0.5‰，分段累计计算，</w:t>
            </w:r>
            <w:r>
              <w:rPr>
                <w:rFonts w:hint="eastAsia" w:ascii="宋体" w:hAnsi="宋体" w:cs="宋体"/>
                <w:color w:val="auto"/>
                <w:highlight w:val="none"/>
                <w:lang w:val="zh-CN"/>
              </w:rPr>
              <w:t>具体收费标准投标人可以在广州公共资源交易中心网站查阅，如有变更以广州公共资源交易中心最新发布的标准为准）。</w:t>
            </w:r>
          </w:p>
          <w:p w14:paraId="79BE0450">
            <w:pPr>
              <w:spacing w:before="156" w:beforeLines="50" w:line="0" w:lineRule="atLeast"/>
              <w:contextualSpacing/>
              <w:rPr>
                <w:rFonts w:hint="eastAsia"/>
                <w:color w:val="auto"/>
                <w:szCs w:val="21"/>
                <w:highlight w:val="none"/>
                <w:lang w:val="zh-CN"/>
              </w:rPr>
            </w:pPr>
            <w:r>
              <w:rPr>
                <w:rFonts w:hint="eastAsia" w:ascii="宋体" w:hAnsi="宋体" w:cs="宋体"/>
                <w:color w:val="auto"/>
                <w:kern w:val="0"/>
                <w:szCs w:val="21"/>
                <w:highlight w:val="none"/>
                <w:u w:val="single"/>
                <w:lang w:val="zh-CN"/>
              </w:rPr>
              <w:t>2、中标</w:t>
            </w:r>
            <w:r>
              <w:rPr>
                <w:rFonts w:hint="eastAsia" w:ascii="宋体" w:hAnsi="宋体" w:cs="宋体"/>
                <w:color w:val="auto"/>
                <w:highlight w:val="none"/>
                <w:lang w:val="zh-CN"/>
              </w:rPr>
              <w:t>后，中标人须提供与电子投标文件一致的纸质版投标文件一正三副（含电子版文件）。</w:t>
            </w:r>
          </w:p>
        </w:tc>
      </w:tr>
    </w:tbl>
    <w:p w14:paraId="472740E8">
      <w:pPr>
        <w:jc w:val="right"/>
        <w:rPr>
          <w:color w:val="auto"/>
          <w:highlight w:val="none"/>
        </w:rPr>
      </w:pPr>
      <w:r>
        <w:rPr>
          <w:color w:val="auto"/>
          <w:highlight w:val="none"/>
        </w:rPr>
        <w:br w:type="page"/>
      </w:r>
    </w:p>
    <w:p w14:paraId="6AC0101C">
      <w:pPr>
        <w:spacing w:line="360" w:lineRule="auto"/>
        <w:jc w:val="center"/>
        <w:outlineLvl w:val="2"/>
        <w:rPr>
          <w:rFonts w:ascii="黑体" w:hAnsi="黑体" w:eastAsia="黑体"/>
          <w:color w:val="auto"/>
          <w:sz w:val="28"/>
          <w:szCs w:val="27"/>
          <w:highlight w:val="none"/>
        </w:rPr>
      </w:pPr>
      <w:bookmarkStart w:id="29" w:name="_Toc21787640"/>
      <w:bookmarkStart w:id="30" w:name="_Toc180758509"/>
      <w:bookmarkStart w:id="31" w:name="_Toc26286"/>
      <w:r>
        <w:rPr>
          <w:rFonts w:hint="eastAsia" w:ascii="黑体" w:hAnsi="黑体" w:eastAsia="黑体"/>
          <w:color w:val="auto"/>
          <w:sz w:val="28"/>
          <w:szCs w:val="27"/>
          <w:highlight w:val="none"/>
        </w:rPr>
        <w:t>投标人须知通用条款</w:t>
      </w:r>
      <w:bookmarkEnd w:id="29"/>
      <w:bookmarkEnd w:id="30"/>
      <w:bookmarkEnd w:id="31"/>
    </w:p>
    <w:p w14:paraId="56A3FF8B">
      <w:pPr>
        <w:pStyle w:val="3"/>
        <w:numPr>
          <w:ilvl w:val="0"/>
          <w:numId w:val="8"/>
        </w:numPr>
        <w:rPr>
          <w:color w:val="auto"/>
          <w:highlight w:val="none"/>
        </w:rPr>
      </w:pPr>
      <w:bookmarkStart w:id="32" w:name="_Toc180758510"/>
      <w:bookmarkStart w:id="33" w:name="_Toc21787641"/>
      <w:bookmarkStart w:id="34" w:name="_Toc24783"/>
      <w:r>
        <w:rPr>
          <w:rFonts w:hint="eastAsia"/>
          <w:color w:val="auto"/>
          <w:highlight w:val="none"/>
        </w:rPr>
        <w:t>总则</w:t>
      </w:r>
      <w:bookmarkEnd w:id="32"/>
      <w:bookmarkEnd w:id="33"/>
      <w:bookmarkEnd w:id="34"/>
    </w:p>
    <w:p w14:paraId="2A4D85E8">
      <w:pPr>
        <w:pStyle w:val="40"/>
        <w:spacing w:line="360" w:lineRule="auto"/>
        <w:ind w:firstLine="480" w:firstLineChars="200"/>
        <w:rPr>
          <w:rFonts w:ascii="宋体" w:hAnsi="宋体" w:eastAsia="宋体"/>
          <w:bCs/>
          <w:color w:val="auto"/>
          <w:kern w:val="2"/>
          <w:sz w:val="24"/>
          <w:szCs w:val="22"/>
          <w:highlight w:val="none"/>
        </w:rPr>
      </w:pPr>
      <w:r>
        <w:rPr>
          <w:rFonts w:hint="eastAsia" w:ascii="宋体" w:hAnsi="宋体" w:eastAsia="宋体"/>
          <w:bCs/>
          <w:color w:val="auto"/>
          <w:kern w:val="2"/>
          <w:sz w:val="24"/>
          <w:szCs w:val="22"/>
          <w:highlight w:val="none"/>
        </w:rPr>
        <w:t>本招标文件使用的下列词语具有如下规定的意义：</w:t>
      </w:r>
    </w:p>
    <w:p w14:paraId="59AADFB5">
      <w:pPr>
        <w:pStyle w:val="40"/>
        <w:spacing w:line="360" w:lineRule="auto"/>
        <w:ind w:firstLine="480" w:firstLineChars="200"/>
        <w:rPr>
          <w:rFonts w:ascii="宋体" w:hAnsi="宋体" w:eastAsia="宋体"/>
          <w:bCs/>
          <w:color w:val="auto"/>
          <w:kern w:val="2"/>
          <w:sz w:val="24"/>
          <w:szCs w:val="22"/>
          <w:highlight w:val="none"/>
        </w:rPr>
      </w:pPr>
      <w:r>
        <w:rPr>
          <w:rFonts w:hint="eastAsia" w:ascii="宋体" w:hAnsi="宋体" w:eastAsia="宋体"/>
          <w:bCs/>
          <w:color w:val="auto"/>
          <w:kern w:val="2"/>
          <w:sz w:val="24"/>
          <w:szCs w:val="22"/>
          <w:highlight w:val="none"/>
        </w:rPr>
        <w:t>（1）“招标人”（即发包人）、“项目建设管理单位”（或称“项目代建单位”）、“招标代理”、“设计单位”、“监理单位”均已在投标人须知前附表中列明。</w:t>
      </w:r>
    </w:p>
    <w:p w14:paraId="32B27528">
      <w:pPr>
        <w:pStyle w:val="40"/>
        <w:spacing w:line="360" w:lineRule="auto"/>
        <w:ind w:firstLine="480" w:firstLineChars="200"/>
        <w:rPr>
          <w:rFonts w:ascii="宋体" w:hAnsi="宋体" w:eastAsia="宋体"/>
          <w:bCs/>
          <w:color w:val="auto"/>
          <w:kern w:val="2"/>
          <w:sz w:val="24"/>
          <w:szCs w:val="22"/>
          <w:highlight w:val="none"/>
        </w:rPr>
      </w:pPr>
      <w:r>
        <w:rPr>
          <w:rFonts w:hint="eastAsia" w:ascii="宋体" w:hAnsi="宋体" w:eastAsia="宋体"/>
          <w:bCs/>
          <w:color w:val="auto"/>
          <w:kern w:val="2"/>
          <w:sz w:val="24"/>
          <w:szCs w:val="22"/>
          <w:highlight w:val="none"/>
        </w:rPr>
        <w:t xml:space="preserve">（2）“投标人”指向招标人提交投标文件的当事人。   </w:t>
      </w:r>
    </w:p>
    <w:p w14:paraId="367453ED">
      <w:pPr>
        <w:pStyle w:val="40"/>
        <w:spacing w:line="360" w:lineRule="auto"/>
        <w:ind w:firstLine="480" w:firstLineChars="200"/>
        <w:rPr>
          <w:rFonts w:ascii="宋体" w:hAnsi="宋体" w:eastAsia="宋体"/>
          <w:bCs/>
          <w:color w:val="auto"/>
          <w:kern w:val="2"/>
          <w:sz w:val="24"/>
          <w:szCs w:val="22"/>
          <w:highlight w:val="none"/>
        </w:rPr>
      </w:pPr>
      <w:r>
        <w:rPr>
          <w:rFonts w:hint="eastAsia" w:ascii="宋体" w:hAnsi="宋体" w:eastAsia="宋体"/>
          <w:bCs/>
          <w:color w:val="auto"/>
          <w:kern w:val="2"/>
          <w:sz w:val="24"/>
          <w:szCs w:val="22"/>
          <w:highlight w:val="none"/>
        </w:rPr>
        <w:t>（3）“承包人”指其投标被招标人接受并与其签订承包合同的当事人。</w:t>
      </w:r>
    </w:p>
    <w:p w14:paraId="2E3C7CD4">
      <w:pPr>
        <w:pStyle w:val="40"/>
        <w:spacing w:line="360" w:lineRule="auto"/>
        <w:ind w:firstLine="480" w:firstLineChars="200"/>
        <w:rPr>
          <w:rFonts w:ascii="宋体" w:hAnsi="宋体" w:eastAsia="宋体"/>
          <w:bCs/>
          <w:color w:val="auto"/>
          <w:kern w:val="2"/>
          <w:sz w:val="24"/>
          <w:szCs w:val="22"/>
          <w:highlight w:val="none"/>
        </w:rPr>
      </w:pPr>
      <w:r>
        <w:rPr>
          <w:rFonts w:hint="eastAsia" w:ascii="宋体" w:hAnsi="宋体" w:eastAsia="宋体"/>
          <w:bCs/>
          <w:color w:val="auto"/>
          <w:kern w:val="2"/>
          <w:sz w:val="24"/>
          <w:szCs w:val="22"/>
          <w:highlight w:val="none"/>
        </w:rPr>
        <w:t>（4）“招标文件”指由招标代理发出的本文件（包括全部章节、附件）及招标答疑会会议纪要和招标文件的澄清与修改文件。</w:t>
      </w:r>
    </w:p>
    <w:p w14:paraId="4B024CBC">
      <w:pPr>
        <w:pStyle w:val="40"/>
        <w:spacing w:line="360" w:lineRule="auto"/>
        <w:ind w:firstLine="480" w:firstLineChars="200"/>
        <w:rPr>
          <w:rFonts w:ascii="宋体" w:hAnsi="宋体" w:eastAsia="宋体"/>
          <w:bCs/>
          <w:color w:val="auto"/>
          <w:kern w:val="2"/>
          <w:sz w:val="24"/>
          <w:szCs w:val="22"/>
          <w:highlight w:val="none"/>
        </w:rPr>
      </w:pPr>
      <w:r>
        <w:rPr>
          <w:rFonts w:hint="eastAsia" w:ascii="宋体" w:hAnsi="宋体" w:eastAsia="宋体"/>
          <w:bCs/>
          <w:color w:val="auto"/>
          <w:kern w:val="2"/>
          <w:sz w:val="24"/>
          <w:szCs w:val="22"/>
          <w:highlight w:val="none"/>
        </w:rPr>
        <w:t>（5）“投标文件</w:t>
      </w:r>
      <w:bookmarkStart w:id="35" w:name="_Toc359263251"/>
      <w:r>
        <w:rPr>
          <w:rFonts w:hint="eastAsia" w:ascii="宋体" w:hAnsi="宋体" w:eastAsia="宋体"/>
          <w:bCs/>
          <w:color w:val="auto"/>
          <w:kern w:val="2"/>
          <w:sz w:val="24"/>
          <w:szCs w:val="22"/>
          <w:highlight w:val="none"/>
        </w:rPr>
        <w:t>”指投标人根据本项目</w:t>
      </w:r>
      <w:bookmarkEnd w:id="35"/>
      <w:r>
        <w:rPr>
          <w:rFonts w:hint="eastAsia" w:ascii="宋体" w:hAnsi="宋体" w:eastAsia="宋体"/>
          <w:bCs/>
          <w:color w:val="auto"/>
          <w:kern w:val="2"/>
          <w:sz w:val="24"/>
          <w:szCs w:val="22"/>
          <w:highlight w:val="none"/>
        </w:rPr>
        <w:t>招</w:t>
      </w:r>
      <w:bookmarkStart w:id="36" w:name="_Toc85505512"/>
      <w:bookmarkStart w:id="37" w:name="_Toc262229163"/>
      <w:bookmarkStart w:id="38" w:name="_Toc101777612"/>
      <w:r>
        <w:rPr>
          <w:rFonts w:hint="eastAsia" w:ascii="宋体" w:hAnsi="宋体" w:eastAsia="宋体"/>
          <w:bCs/>
          <w:color w:val="auto"/>
          <w:kern w:val="2"/>
          <w:sz w:val="24"/>
          <w:szCs w:val="22"/>
          <w:highlight w:val="none"/>
        </w:rPr>
        <w:t>标文件向招</w:t>
      </w:r>
      <w:bookmarkEnd w:id="36"/>
      <w:bookmarkEnd w:id="37"/>
      <w:bookmarkEnd w:id="38"/>
      <w:r>
        <w:rPr>
          <w:rFonts w:hint="eastAsia" w:ascii="宋体" w:hAnsi="宋体" w:eastAsia="宋体"/>
          <w:bCs/>
          <w:color w:val="auto"/>
          <w:kern w:val="2"/>
          <w:sz w:val="24"/>
          <w:szCs w:val="22"/>
          <w:highlight w:val="none"/>
        </w:rPr>
        <w:t>标人提交的全部文件。</w:t>
      </w:r>
    </w:p>
    <w:p w14:paraId="4CFE3AAE">
      <w:pPr>
        <w:pStyle w:val="40"/>
        <w:spacing w:after="0" w:line="360" w:lineRule="auto"/>
        <w:ind w:firstLine="480" w:firstLineChars="200"/>
        <w:rPr>
          <w:rFonts w:ascii="宋体" w:hAnsi="宋体" w:eastAsia="宋体"/>
          <w:bCs/>
          <w:color w:val="auto"/>
          <w:kern w:val="2"/>
          <w:sz w:val="24"/>
          <w:szCs w:val="22"/>
          <w:highlight w:val="none"/>
        </w:rPr>
      </w:pPr>
      <w:r>
        <w:rPr>
          <w:rFonts w:hint="eastAsia" w:ascii="宋体" w:hAnsi="宋体" w:eastAsia="宋体"/>
          <w:bCs/>
          <w:color w:val="auto"/>
          <w:kern w:val="2"/>
          <w:sz w:val="24"/>
          <w:szCs w:val="22"/>
          <w:highlight w:val="none"/>
        </w:rPr>
        <w:t>（6）“书面形式”指打字或印刷的文件和数据电文（包括电报、电传、传真、电子数据交换和电子邮件）。</w:t>
      </w:r>
    </w:p>
    <w:p w14:paraId="09B8276B">
      <w:pPr>
        <w:pStyle w:val="5"/>
        <w:rPr>
          <w:color w:val="auto"/>
          <w:highlight w:val="none"/>
        </w:rPr>
      </w:pPr>
      <w:r>
        <w:rPr>
          <w:rFonts w:hint="eastAsia"/>
          <w:color w:val="auto"/>
          <w:highlight w:val="none"/>
        </w:rPr>
        <w:t>项目概况</w:t>
      </w:r>
    </w:p>
    <w:p w14:paraId="4A2247B2">
      <w:pPr>
        <w:numPr>
          <w:ilvl w:val="0"/>
          <w:numId w:val="9"/>
        </w:numPr>
        <w:spacing w:line="360" w:lineRule="auto"/>
        <w:ind w:left="0" w:firstLine="0"/>
        <w:rPr>
          <w:color w:val="auto"/>
          <w:sz w:val="24"/>
          <w:szCs w:val="24"/>
          <w:highlight w:val="none"/>
        </w:rPr>
      </w:pPr>
      <w:r>
        <w:rPr>
          <w:rFonts w:hint="eastAsia"/>
          <w:color w:val="auto"/>
          <w:sz w:val="24"/>
          <w:szCs w:val="24"/>
          <w:highlight w:val="none"/>
        </w:rPr>
        <w:t>根据《中华人民共和国招标投标法》等有关法律、法规和规章的规定，本招标项目已具备招标条件，现对本标段施工进行招标。</w:t>
      </w:r>
    </w:p>
    <w:p w14:paraId="73342B23">
      <w:pPr>
        <w:numPr>
          <w:ilvl w:val="0"/>
          <w:numId w:val="9"/>
        </w:numPr>
        <w:spacing w:line="360" w:lineRule="auto"/>
        <w:ind w:left="0" w:firstLine="0"/>
        <w:rPr>
          <w:color w:val="auto"/>
          <w:sz w:val="24"/>
          <w:szCs w:val="24"/>
          <w:highlight w:val="none"/>
        </w:rPr>
      </w:pPr>
      <w:r>
        <w:rPr>
          <w:rFonts w:hint="eastAsia"/>
          <w:color w:val="auto"/>
          <w:sz w:val="24"/>
          <w:szCs w:val="24"/>
          <w:highlight w:val="none"/>
        </w:rPr>
        <w:t>本标段招标代理机构：见投标人须知前附表。</w:t>
      </w:r>
    </w:p>
    <w:p w14:paraId="6F55E2C9">
      <w:pPr>
        <w:numPr>
          <w:ilvl w:val="0"/>
          <w:numId w:val="9"/>
        </w:numPr>
        <w:spacing w:line="360" w:lineRule="auto"/>
        <w:ind w:left="0" w:firstLine="0"/>
        <w:rPr>
          <w:color w:val="auto"/>
          <w:sz w:val="24"/>
          <w:szCs w:val="24"/>
          <w:highlight w:val="none"/>
        </w:rPr>
      </w:pPr>
      <w:r>
        <w:rPr>
          <w:rFonts w:hint="eastAsia"/>
          <w:color w:val="auto"/>
          <w:sz w:val="24"/>
          <w:szCs w:val="24"/>
          <w:highlight w:val="none"/>
        </w:rPr>
        <w:t>本招标项目名称：见投标人须知前附表。</w:t>
      </w:r>
    </w:p>
    <w:p w14:paraId="1ED005E6">
      <w:pPr>
        <w:numPr>
          <w:ilvl w:val="0"/>
          <w:numId w:val="9"/>
        </w:numPr>
        <w:spacing w:line="360" w:lineRule="auto"/>
        <w:ind w:left="0" w:firstLine="0"/>
        <w:rPr>
          <w:color w:val="auto"/>
          <w:sz w:val="24"/>
          <w:szCs w:val="24"/>
          <w:highlight w:val="none"/>
        </w:rPr>
      </w:pPr>
      <w:r>
        <w:rPr>
          <w:rFonts w:hint="eastAsia"/>
          <w:color w:val="auto"/>
          <w:sz w:val="24"/>
          <w:szCs w:val="24"/>
          <w:highlight w:val="none"/>
        </w:rPr>
        <w:t>本标段建设地点：见投标人须知前附表。</w:t>
      </w:r>
    </w:p>
    <w:p w14:paraId="7E351DE9">
      <w:pPr>
        <w:pStyle w:val="5"/>
        <w:rPr>
          <w:color w:val="auto"/>
          <w:highlight w:val="none"/>
        </w:rPr>
      </w:pPr>
      <w:r>
        <w:rPr>
          <w:rFonts w:hint="eastAsia"/>
          <w:color w:val="auto"/>
          <w:highlight w:val="none"/>
        </w:rPr>
        <w:t>资金来源和落实情况</w:t>
      </w:r>
    </w:p>
    <w:p w14:paraId="061FD665">
      <w:pPr>
        <w:pStyle w:val="7"/>
        <w:numPr>
          <w:ilvl w:val="0"/>
          <w:numId w:val="10"/>
        </w:numPr>
        <w:spacing w:line="360" w:lineRule="auto"/>
        <w:ind w:firstLineChars="0"/>
        <w:rPr>
          <w:color w:val="auto"/>
          <w:sz w:val="24"/>
          <w:szCs w:val="24"/>
          <w:highlight w:val="none"/>
        </w:rPr>
      </w:pPr>
      <w:r>
        <w:rPr>
          <w:rFonts w:hint="eastAsia"/>
          <w:color w:val="auto"/>
          <w:sz w:val="24"/>
          <w:szCs w:val="24"/>
          <w:highlight w:val="none"/>
        </w:rPr>
        <w:t>本招标项目的资金来源及出资比例：见投标人须知前附表。</w:t>
      </w:r>
    </w:p>
    <w:p w14:paraId="7C12A4EC">
      <w:pPr>
        <w:pStyle w:val="7"/>
        <w:numPr>
          <w:ilvl w:val="0"/>
          <w:numId w:val="10"/>
        </w:numPr>
        <w:spacing w:line="360" w:lineRule="auto"/>
        <w:ind w:firstLineChars="0"/>
        <w:rPr>
          <w:color w:val="auto"/>
          <w:sz w:val="24"/>
          <w:szCs w:val="24"/>
          <w:highlight w:val="none"/>
        </w:rPr>
      </w:pPr>
      <w:r>
        <w:rPr>
          <w:rFonts w:hint="eastAsia"/>
          <w:color w:val="auto"/>
          <w:sz w:val="24"/>
          <w:szCs w:val="24"/>
          <w:highlight w:val="none"/>
        </w:rPr>
        <w:t>本招标项目的资金落实情况：见投标人须知前附表。</w:t>
      </w:r>
    </w:p>
    <w:p w14:paraId="6DBBA42C">
      <w:pPr>
        <w:pStyle w:val="5"/>
        <w:rPr>
          <w:color w:val="auto"/>
          <w:highlight w:val="none"/>
        </w:rPr>
      </w:pPr>
      <w:r>
        <w:rPr>
          <w:rFonts w:hint="eastAsia"/>
          <w:color w:val="auto"/>
          <w:highlight w:val="none"/>
        </w:rPr>
        <w:t>招标范围、计划工期和质量要求</w:t>
      </w:r>
    </w:p>
    <w:p w14:paraId="47C51099">
      <w:pPr>
        <w:numPr>
          <w:ilvl w:val="0"/>
          <w:numId w:val="11"/>
        </w:numPr>
        <w:spacing w:line="360" w:lineRule="auto"/>
        <w:jc w:val="left"/>
        <w:rPr>
          <w:color w:val="auto"/>
          <w:sz w:val="24"/>
          <w:highlight w:val="none"/>
        </w:rPr>
      </w:pPr>
      <w:r>
        <w:rPr>
          <w:rFonts w:hint="eastAsia"/>
          <w:color w:val="auto"/>
          <w:sz w:val="24"/>
          <w:highlight w:val="none"/>
        </w:rPr>
        <w:t>本次招标范围：见投标人须知前附表。</w:t>
      </w:r>
    </w:p>
    <w:p w14:paraId="04B11A90">
      <w:pPr>
        <w:numPr>
          <w:ilvl w:val="0"/>
          <w:numId w:val="11"/>
        </w:numPr>
        <w:spacing w:line="360" w:lineRule="auto"/>
        <w:jc w:val="left"/>
        <w:rPr>
          <w:color w:val="auto"/>
          <w:sz w:val="24"/>
          <w:highlight w:val="none"/>
        </w:rPr>
      </w:pPr>
      <w:r>
        <w:rPr>
          <w:rFonts w:hint="eastAsia"/>
          <w:color w:val="auto"/>
          <w:sz w:val="24"/>
          <w:highlight w:val="none"/>
        </w:rPr>
        <w:t>本标段的计划工期：见投标人须知前附表。</w:t>
      </w:r>
    </w:p>
    <w:p w14:paraId="7BEE99FC">
      <w:pPr>
        <w:numPr>
          <w:ilvl w:val="0"/>
          <w:numId w:val="11"/>
        </w:numPr>
        <w:spacing w:line="360" w:lineRule="auto"/>
        <w:jc w:val="left"/>
        <w:rPr>
          <w:color w:val="auto"/>
          <w:sz w:val="24"/>
          <w:highlight w:val="none"/>
        </w:rPr>
      </w:pPr>
      <w:r>
        <w:rPr>
          <w:rFonts w:hint="eastAsia"/>
          <w:color w:val="auto"/>
          <w:sz w:val="24"/>
          <w:highlight w:val="none"/>
        </w:rPr>
        <w:t>本标段的质量要求：见投标人须知前附表。</w:t>
      </w:r>
    </w:p>
    <w:p w14:paraId="2D94E25D">
      <w:pPr>
        <w:numPr>
          <w:ilvl w:val="0"/>
          <w:numId w:val="11"/>
        </w:numPr>
        <w:spacing w:line="360" w:lineRule="auto"/>
        <w:jc w:val="left"/>
        <w:rPr>
          <w:color w:val="auto"/>
          <w:sz w:val="24"/>
          <w:highlight w:val="none"/>
        </w:rPr>
      </w:pPr>
      <w:r>
        <w:rPr>
          <w:rFonts w:hint="eastAsia"/>
          <w:color w:val="auto"/>
          <w:sz w:val="24"/>
          <w:highlight w:val="none"/>
        </w:rPr>
        <w:t>本招标项目的承包方式：见投标人须知前附表。</w:t>
      </w:r>
    </w:p>
    <w:p w14:paraId="0DEE5995">
      <w:pPr>
        <w:pStyle w:val="5"/>
        <w:rPr>
          <w:color w:val="auto"/>
          <w:highlight w:val="none"/>
        </w:rPr>
      </w:pPr>
      <w:r>
        <w:rPr>
          <w:rFonts w:hint="eastAsia"/>
          <w:color w:val="auto"/>
          <w:highlight w:val="none"/>
        </w:rPr>
        <w:t>投标人资格要求</w:t>
      </w:r>
    </w:p>
    <w:p w14:paraId="6D68D6F2">
      <w:pPr>
        <w:spacing w:line="360" w:lineRule="auto"/>
        <w:ind w:firstLine="480" w:firstLineChars="200"/>
        <w:jc w:val="left"/>
        <w:rPr>
          <w:rFonts w:hint="eastAsia"/>
          <w:color w:val="auto"/>
          <w:sz w:val="24"/>
          <w:highlight w:val="none"/>
        </w:rPr>
      </w:pPr>
      <w:r>
        <w:rPr>
          <w:rFonts w:hint="eastAsia"/>
          <w:color w:val="auto"/>
          <w:sz w:val="24"/>
          <w:highlight w:val="none"/>
        </w:rPr>
        <w:t>1.4.1投标人应具备承担本项目施工的资质条件、能力和信誉，详见本项目招标公告。</w:t>
      </w:r>
    </w:p>
    <w:p w14:paraId="551CF210">
      <w:pPr>
        <w:spacing w:line="360" w:lineRule="auto"/>
        <w:ind w:firstLine="480" w:firstLineChars="200"/>
        <w:jc w:val="left"/>
        <w:rPr>
          <w:rFonts w:hint="eastAsia"/>
          <w:color w:val="auto"/>
          <w:sz w:val="24"/>
          <w:highlight w:val="none"/>
        </w:rPr>
      </w:pPr>
      <w:r>
        <w:rPr>
          <w:rFonts w:hint="eastAsia"/>
          <w:color w:val="auto"/>
          <w:sz w:val="24"/>
          <w:highlight w:val="none"/>
        </w:rPr>
        <w:t>1.4.2</w:t>
      </w:r>
      <w:r>
        <w:rPr>
          <w:rFonts w:hint="eastAsia" w:ascii="宋体" w:hAnsi="宋体" w:cs="宋体"/>
          <w:bCs/>
          <w:color w:val="auto"/>
          <w:sz w:val="24"/>
          <w:highlight w:val="none"/>
          <w:u w:val="single"/>
        </w:rPr>
        <w:t>本次招标不接受联合体投标。</w:t>
      </w:r>
    </w:p>
    <w:p w14:paraId="7AB0F7C3">
      <w:pPr>
        <w:spacing w:line="360" w:lineRule="auto"/>
        <w:ind w:firstLine="480" w:firstLineChars="200"/>
        <w:jc w:val="left"/>
        <w:rPr>
          <w:color w:val="auto"/>
          <w:sz w:val="24"/>
          <w:highlight w:val="none"/>
        </w:rPr>
      </w:pPr>
      <w:r>
        <w:rPr>
          <w:rFonts w:hint="eastAsia"/>
          <w:color w:val="auto"/>
          <w:sz w:val="24"/>
          <w:highlight w:val="none"/>
        </w:rPr>
        <w:t>1.4.3投标人不得存在下列情形之一：</w:t>
      </w:r>
    </w:p>
    <w:p w14:paraId="3F799177">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（1）为招标人不具有独立法人资格的附属机构（单位）；</w:t>
      </w:r>
    </w:p>
    <w:p w14:paraId="379D9F28">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（2）为本标段前期准备提供设计或咨询服务或者与本项目设计人或提供咨询服务的机构存在附属关系的；</w:t>
      </w:r>
    </w:p>
    <w:p w14:paraId="1CD6BCF8">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（3）为本项目监理人或者与本项目监理人存在隶属关系或者其他利害关系；</w:t>
      </w:r>
    </w:p>
    <w:p w14:paraId="1B37A88F">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（4）为本标段的代建人；</w:t>
      </w:r>
    </w:p>
    <w:p w14:paraId="58E1E91D">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（5）为本标段提供招标代理服务的；</w:t>
      </w:r>
    </w:p>
    <w:p w14:paraId="40CC587F">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（6）与本标段的监理人或代建人或招标代理机构同为一个法定代表人的；</w:t>
      </w:r>
    </w:p>
    <w:p w14:paraId="2A5D976D">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（7）与本标段的监理人或代建人或招标代理机构互相控股或参股的；</w:t>
      </w:r>
    </w:p>
    <w:p w14:paraId="2E078777">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（8）与本标段的监理人或代建人或招标代理机构相互任职或工作的；</w:t>
      </w:r>
    </w:p>
    <w:p w14:paraId="3404A98B">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（9）与本标段的检测机构、建设、监理单位以及建筑材料、建筑构配件和设备供应商有隶属关系或者其他利害关系有隶属关系或者其他利害关系；</w:t>
      </w:r>
    </w:p>
    <w:p w14:paraId="2153344A">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（10）与招标人存在利害关系且可能影响招标公正性；</w:t>
      </w:r>
    </w:p>
    <w:p w14:paraId="5EEE1B0A">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11）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10D677DE">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（12）被责令停产停业、暂扣或者吊销许可证、暂扣或者吊销执照的（本项事实应当以根据《中华人民共和国行政处罚法》依法作出并已经生效的行政处罚决定为认定依据。）；</w:t>
      </w:r>
    </w:p>
    <w:p w14:paraId="0FBFDA60">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（13）进入清算程序，或被宣布破产，或其他丧失履约能力的情形；</w:t>
      </w:r>
    </w:p>
    <w:p w14:paraId="7111A179">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14）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2A031CA3">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（15）法律法规规定的其他情形。</w:t>
      </w:r>
    </w:p>
    <w:p w14:paraId="0D04421E">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1.4.4单位负责人为同一人或者存在控股、管理关系的不同单位，不得同时参加本招标项目投标。</w:t>
      </w:r>
    </w:p>
    <w:p w14:paraId="2C7FB230">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1.4.5投标人未被列入“在一定期限内依法取消参加依法必须进行招标的项目的投标资格”，具体名单以递交投标文件截止时间“信用广州”公布的“黑名单”为准。</w:t>
      </w:r>
    </w:p>
    <w:p w14:paraId="2D65FFEE">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注：《全国失信惩戒措施清单基础清单》（2024版）</w:t>
      </w:r>
    </w:p>
    <w:p w14:paraId="6C3B3880">
      <w:pPr>
        <w:pStyle w:val="5"/>
        <w:rPr>
          <w:color w:val="auto"/>
          <w:highlight w:val="none"/>
        </w:rPr>
      </w:pPr>
      <w:r>
        <w:rPr>
          <w:rFonts w:hint="eastAsia"/>
          <w:color w:val="auto"/>
          <w:highlight w:val="none"/>
        </w:rPr>
        <w:t>费用承担</w:t>
      </w:r>
    </w:p>
    <w:p w14:paraId="37CC90C4">
      <w:pPr>
        <w:spacing w:line="360" w:lineRule="auto"/>
        <w:ind w:firstLine="480" w:firstLineChars="200"/>
        <w:jc w:val="left"/>
        <w:rPr>
          <w:color w:val="auto"/>
          <w:sz w:val="24"/>
          <w:highlight w:val="none"/>
        </w:rPr>
      </w:pPr>
      <w:r>
        <w:rPr>
          <w:rFonts w:hint="eastAsia"/>
          <w:color w:val="auto"/>
          <w:sz w:val="24"/>
          <w:highlight w:val="none"/>
        </w:rPr>
        <w:t>投标人准备和参加投标活动发生的费用自理。</w:t>
      </w:r>
    </w:p>
    <w:p w14:paraId="15C76562">
      <w:pPr>
        <w:pStyle w:val="5"/>
        <w:rPr>
          <w:color w:val="auto"/>
          <w:highlight w:val="none"/>
        </w:rPr>
      </w:pPr>
      <w:r>
        <w:rPr>
          <w:rFonts w:hint="eastAsia"/>
          <w:color w:val="auto"/>
          <w:highlight w:val="none"/>
        </w:rPr>
        <w:t>保密</w:t>
      </w:r>
    </w:p>
    <w:p w14:paraId="200156DF">
      <w:pPr>
        <w:spacing w:line="360" w:lineRule="auto"/>
        <w:ind w:firstLine="480" w:firstLineChars="200"/>
        <w:jc w:val="left"/>
        <w:rPr>
          <w:color w:val="auto"/>
          <w:sz w:val="24"/>
          <w:highlight w:val="none"/>
        </w:rPr>
      </w:pPr>
      <w:r>
        <w:rPr>
          <w:rFonts w:hint="eastAsia"/>
          <w:color w:val="auto"/>
          <w:sz w:val="24"/>
          <w:highlight w:val="none"/>
        </w:rPr>
        <w:t>参与招标投标活动的各方应对招标文件和投标文件中的商业和技术等秘密保密，违者应对由此造成的后果承担法律责任。</w:t>
      </w:r>
    </w:p>
    <w:p w14:paraId="33C35832">
      <w:pPr>
        <w:pStyle w:val="5"/>
        <w:rPr>
          <w:color w:val="auto"/>
          <w:highlight w:val="none"/>
        </w:rPr>
      </w:pPr>
      <w:r>
        <w:rPr>
          <w:rFonts w:hint="eastAsia"/>
          <w:color w:val="auto"/>
          <w:highlight w:val="none"/>
        </w:rPr>
        <w:t>语言文字</w:t>
      </w:r>
    </w:p>
    <w:p w14:paraId="48E265D5">
      <w:pPr>
        <w:spacing w:line="360" w:lineRule="auto"/>
        <w:ind w:firstLine="480" w:firstLineChars="200"/>
        <w:jc w:val="left"/>
        <w:rPr>
          <w:color w:val="auto"/>
          <w:sz w:val="24"/>
          <w:highlight w:val="none"/>
        </w:rPr>
      </w:pPr>
      <w:r>
        <w:rPr>
          <w:rFonts w:hint="eastAsia"/>
          <w:color w:val="auto"/>
          <w:sz w:val="24"/>
          <w:highlight w:val="none"/>
        </w:rPr>
        <w:t>除专用术语外，与招标投标有关的语言均使用中文。必要时专用术语应附有中文注释。</w:t>
      </w:r>
    </w:p>
    <w:p w14:paraId="554FFEF4">
      <w:pPr>
        <w:pStyle w:val="5"/>
        <w:rPr>
          <w:color w:val="auto"/>
          <w:highlight w:val="none"/>
        </w:rPr>
      </w:pPr>
      <w:r>
        <w:rPr>
          <w:rFonts w:hint="eastAsia"/>
          <w:color w:val="auto"/>
          <w:highlight w:val="none"/>
        </w:rPr>
        <w:t>计量单位</w:t>
      </w:r>
    </w:p>
    <w:p w14:paraId="46CEBE17">
      <w:pPr>
        <w:spacing w:line="360" w:lineRule="auto"/>
        <w:ind w:firstLine="480" w:firstLineChars="200"/>
        <w:jc w:val="left"/>
        <w:rPr>
          <w:color w:val="auto"/>
          <w:sz w:val="24"/>
          <w:highlight w:val="none"/>
        </w:rPr>
      </w:pPr>
      <w:r>
        <w:rPr>
          <w:rFonts w:hint="eastAsia"/>
          <w:color w:val="auto"/>
          <w:sz w:val="24"/>
          <w:highlight w:val="none"/>
        </w:rPr>
        <w:t>所有计量均采用中华人民共和国法定计量单位。</w:t>
      </w:r>
    </w:p>
    <w:p w14:paraId="6472464B">
      <w:pPr>
        <w:pStyle w:val="5"/>
        <w:rPr>
          <w:color w:val="auto"/>
          <w:highlight w:val="none"/>
        </w:rPr>
      </w:pPr>
      <w:r>
        <w:rPr>
          <w:rFonts w:hint="eastAsia"/>
          <w:color w:val="auto"/>
          <w:highlight w:val="none"/>
        </w:rPr>
        <w:t>踏勘现场</w:t>
      </w:r>
    </w:p>
    <w:p w14:paraId="2BA2DF11">
      <w:pPr>
        <w:spacing w:line="360" w:lineRule="auto"/>
        <w:ind w:firstLine="480" w:firstLineChars="200"/>
        <w:jc w:val="left"/>
        <w:rPr>
          <w:color w:val="auto"/>
          <w:sz w:val="24"/>
          <w:highlight w:val="none"/>
        </w:rPr>
      </w:pPr>
      <w:r>
        <w:rPr>
          <w:rFonts w:hint="eastAsia"/>
          <w:color w:val="auto"/>
          <w:sz w:val="24"/>
          <w:highlight w:val="none"/>
        </w:rPr>
        <w:t>1.9.1 投标人按投标人须知前附表规定的时间、地点自行踏勘项目现场。</w:t>
      </w:r>
    </w:p>
    <w:p w14:paraId="38B63609">
      <w:pPr>
        <w:spacing w:line="360" w:lineRule="auto"/>
        <w:ind w:firstLine="480" w:firstLineChars="200"/>
        <w:jc w:val="left"/>
        <w:rPr>
          <w:color w:val="auto"/>
          <w:sz w:val="24"/>
          <w:highlight w:val="none"/>
        </w:rPr>
      </w:pPr>
      <w:r>
        <w:rPr>
          <w:rFonts w:hint="eastAsia"/>
          <w:color w:val="auto"/>
          <w:sz w:val="24"/>
          <w:highlight w:val="none"/>
        </w:rPr>
        <w:t>1.9.2 投标人踏勘现场发生的费用自理。</w:t>
      </w:r>
    </w:p>
    <w:p w14:paraId="50D22170">
      <w:pPr>
        <w:spacing w:line="360" w:lineRule="auto"/>
        <w:ind w:firstLine="480" w:firstLineChars="200"/>
        <w:jc w:val="left"/>
        <w:rPr>
          <w:color w:val="auto"/>
          <w:sz w:val="24"/>
          <w:highlight w:val="none"/>
        </w:rPr>
      </w:pPr>
      <w:r>
        <w:rPr>
          <w:rFonts w:hint="eastAsia"/>
          <w:color w:val="auto"/>
          <w:sz w:val="24"/>
          <w:highlight w:val="none"/>
        </w:rPr>
        <w:t>1.9.3 除招标人的原因外，投标人自行负责在踏勘现场中所发生的人员伤亡和财产损失。</w:t>
      </w:r>
    </w:p>
    <w:p w14:paraId="4130D686">
      <w:pPr>
        <w:spacing w:line="360" w:lineRule="auto"/>
        <w:ind w:firstLine="480" w:firstLineChars="200"/>
        <w:jc w:val="left"/>
        <w:rPr>
          <w:color w:val="auto"/>
          <w:sz w:val="24"/>
          <w:highlight w:val="none"/>
        </w:rPr>
      </w:pPr>
      <w:r>
        <w:rPr>
          <w:rFonts w:hint="eastAsia"/>
          <w:color w:val="auto"/>
          <w:sz w:val="24"/>
          <w:highlight w:val="none"/>
        </w:rPr>
        <w:t>1.9.4 招标人在踏勘现场中了解的工程场地和相关的周边环境情况，供投标人在编制投标文件时参考，招标人不对投标人据此作出的判断和决策负责。</w:t>
      </w:r>
    </w:p>
    <w:p w14:paraId="3BEADD0A">
      <w:pPr>
        <w:pStyle w:val="5"/>
        <w:rPr>
          <w:color w:val="auto"/>
          <w:highlight w:val="none"/>
        </w:rPr>
      </w:pPr>
      <w:r>
        <w:rPr>
          <w:rFonts w:hint="eastAsia"/>
          <w:color w:val="auto"/>
          <w:highlight w:val="none"/>
        </w:rPr>
        <w:t>投标预备会</w:t>
      </w:r>
    </w:p>
    <w:p w14:paraId="0BFD9EAC">
      <w:pPr>
        <w:spacing w:line="360" w:lineRule="auto"/>
        <w:ind w:firstLine="480" w:firstLineChars="200"/>
        <w:jc w:val="left"/>
        <w:rPr>
          <w:color w:val="auto"/>
          <w:sz w:val="24"/>
          <w:highlight w:val="none"/>
        </w:rPr>
      </w:pPr>
      <w:r>
        <w:rPr>
          <w:rFonts w:hint="eastAsia"/>
          <w:color w:val="auto"/>
          <w:sz w:val="24"/>
          <w:highlight w:val="none"/>
        </w:rPr>
        <w:t>不召开。</w:t>
      </w:r>
    </w:p>
    <w:p w14:paraId="1F0A4883">
      <w:pPr>
        <w:pStyle w:val="5"/>
        <w:rPr>
          <w:color w:val="auto"/>
          <w:highlight w:val="none"/>
        </w:rPr>
      </w:pPr>
      <w:r>
        <w:rPr>
          <w:rFonts w:hint="eastAsia"/>
          <w:color w:val="auto"/>
          <w:highlight w:val="none"/>
        </w:rPr>
        <w:t>偏离</w:t>
      </w:r>
    </w:p>
    <w:p w14:paraId="0A356016">
      <w:pPr>
        <w:spacing w:line="360" w:lineRule="auto"/>
        <w:ind w:firstLine="480" w:firstLineChars="200"/>
        <w:jc w:val="left"/>
        <w:rPr>
          <w:color w:val="auto"/>
          <w:sz w:val="24"/>
          <w:highlight w:val="none"/>
        </w:rPr>
      </w:pPr>
      <w:r>
        <w:rPr>
          <w:rFonts w:hint="eastAsia"/>
          <w:color w:val="auto"/>
          <w:sz w:val="24"/>
          <w:highlight w:val="none"/>
        </w:rPr>
        <w:t>投标人须知前附表允许投标文件偏离招标文件某些要求的，偏离应当符合招标文件规定的偏离范围和幅度。</w:t>
      </w:r>
    </w:p>
    <w:p w14:paraId="6F27C462">
      <w:pPr>
        <w:pStyle w:val="3"/>
        <w:rPr>
          <w:color w:val="auto"/>
          <w:highlight w:val="none"/>
        </w:rPr>
      </w:pPr>
      <w:bookmarkStart w:id="39" w:name="_Toc21787642"/>
      <w:bookmarkStart w:id="40" w:name="_Toc180758511"/>
      <w:bookmarkStart w:id="41" w:name="_Toc25008"/>
      <w:r>
        <w:rPr>
          <w:rFonts w:hint="eastAsia"/>
          <w:color w:val="auto"/>
          <w:highlight w:val="none"/>
        </w:rPr>
        <w:t>招标文件</w:t>
      </w:r>
      <w:bookmarkEnd w:id="39"/>
      <w:bookmarkEnd w:id="40"/>
      <w:bookmarkEnd w:id="41"/>
    </w:p>
    <w:p w14:paraId="5C81B807">
      <w:pPr>
        <w:numPr>
          <w:ilvl w:val="0"/>
          <w:numId w:val="12"/>
        </w:numPr>
        <w:spacing w:line="360" w:lineRule="auto"/>
        <w:ind w:left="562" w:hanging="562" w:hangingChars="200"/>
        <w:outlineLvl w:val="2"/>
        <w:rPr>
          <w:rFonts w:ascii="黑体" w:hAnsi="黑体" w:eastAsia="黑体"/>
          <w:b/>
          <w:color w:val="auto"/>
          <w:sz w:val="28"/>
          <w:szCs w:val="28"/>
          <w:highlight w:val="none"/>
        </w:rPr>
      </w:pPr>
      <w:bookmarkStart w:id="42" w:name="_Toc27891"/>
      <w:bookmarkStart w:id="43" w:name="_Toc180758512"/>
      <w:bookmarkStart w:id="44" w:name="_Toc21787643"/>
      <w:r>
        <w:rPr>
          <w:rFonts w:hint="eastAsia" w:ascii="黑体" w:hAnsi="黑体" w:eastAsia="黑体"/>
          <w:b/>
          <w:color w:val="auto"/>
          <w:sz w:val="28"/>
          <w:szCs w:val="28"/>
          <w:highlight w:val="none"/>
        </w:rPr>
        <w:t>招标文件的组成</w:t>
      </w:r>
      <w:bookmarkEnd w:id="42"/>
      <w:bookmarkEnd w:id="43"/>
      <w:bookmarkEnd w:id="44"/>
    </w:p>
    <w:p w14:paraId="173FE4F2">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2.1.1</w:t>
      </w:r>
      <w:r>
        <w:rPr>
          <w:rFonts w:hint="eastAsia" w:ascii="宋体" w:hAnsi="宋体"/>
          <w:color w:val="auto"/>
          <w:sz w:val="24"/>
          <w:highlight w:val="none"/>
        </w:rPr>
        <w:t>本招标文件包括：</w:t>
      </w:r>
    </w:p>
    <w:p w14:paraId="0ABC597B">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（1）招标公告；</w:t>
      </w:r>
    </w:p>
    <w:p w14:paraId="6F2AE8EE">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（2）投标人须知；</w:t>
      </w:r>
    </w:p>
    <w:p w14:paraId="7A7E662E">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（3）评标办法；</w:t>
      </w:r>
    </w:p>
    <w:p w14:paraId="786F78EA">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（4）合同条款；</w:t>
      </w:r>
    </w:p>
    <w:p w14:paraId="4BEAB016">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（5）工程量清单； </w:t>
      </w:r>
    </w:p>
    <w:p w14:paraId="33BC02F7">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（6）图纸及勘察资料； </w:t>
      </w:r>
    </w:p>
    <w:p w14:paraId="5F14AB87">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（7）技术标准和要求； </w:t>
      </w:r>
    </w:p>
    <w:p w14:paraId="3792FD66">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（8）投标文件格式；</w:t>
      </w:r>
    </w:p>
    <w:p w14:paraId="6ECE2E8E">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（9）否决性条款汇总；</w:t>
      </w:r>
    </w:p>
    <w:p w14:paraId="41449000">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（10）最高投标限价（招标控制价）</w:t>
      </w:r>
    </w:p>
    <w:p w14:paraId="560DF9FE">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注：招标人应在技术条件（工程建设标准）中明确施工现场建筑垃圾源头减量的具体要求和建筑垃圾综合利用产品的使用要求。</w:t>
      </w:r>
    </w:p>
    <w:p w14:paraId="7702A7A1">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2.1.2根据本章第2.2款和第2.3款对招标文件所作的澄清、修改，构成招标文件的组成部分。</w:t>
      </w:r>
      <w:bookmarkStart w:id="45" w:name="_Toc262229164"/>
    </w:p>
    <w:p w14:paraId="0C203DFF">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2.1.3 </w:t>
      </w:r>
      <w:bookmarkEnd w:id="45"/>
      <w:r>
        <w:rPr>
          <w:rFonts w:hint="eastAsia" w:ascii="宋体" w:hAnsi="宋体"/>
          <w:bCs/>
          <w:color w:val="auto"/>
          <w:sz w:val="24"/>
          <w:highlight w:val="none"/>
        </w:rPr>
        <w:t>投标人获取招标文件后，应仔细检查招标文件的所有内容，认真审阅招标文件中所有的事项、格式、条款和规范要求等，若投标人的投标文件没有按招标文件要求提交全部资料，或投标文件实质上没有响应招标文件的要求，招标人将按评标办法的规定予以拒绝，并且不允许投标人通过修改或</w:t>
      </w:r>
      <w:r>
        <w:rPr>
          <w:rFonts w:hint="eastAsia" w:ascii="宋体" w:hAnsi="宋体"/>
          <w:bCs/>
          <w:color w:val="auto"/>
          <w:sz w:val="24"/>
          <w:highlight w:val="none"/>
          <w:lang w:val="en-US" w:eastAsia="zh-CN"/>
        </w:rPr>
        <w:t>撤销</w:t>
      </w:r>
      <w:r>
        <w:rPr>
          <w:rFonts w:hint="eastAsia" w:ascii="宋体" w:hAnsi="宋体"/>
          <w:bCs/>
          <w:color w:val="auto"/>
          <w:sz w:val="24"/>
          <w:highlight w:val="none"/>
        </w:rPr>
        <w:t>其不符合要求的差异或保留使之成为具有响应性的投标文件。</w:t>
      </w:r>
    </w:p>
    <w:p w14:paraId="5E8BCA73">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2.1.4 投标人一旦中标，招标文件的内容对招标人和中标人双方均有约束力。</w:t>
      </w:r>
    </w:p>
    <w:p w14:paraId="69433B5C">
      <w:pPr>
        <w:spacing w:line="360" w:lineRule="auto"/>
        <w:ind w:firstLine="480" w:firstLineChars="200"/>
        <w:rPr>
          <w:rFonts w:ascii="宋体" w:hAnsi="宋体"/>
          <w:bCs/>
          <w:color w:val="auto"/>
          <w:sz w:val="24"/>
          <w:highlight w:val="none"/>
        </w:rPr>
      </w:pPr>
      <w:r>
        <w:rPr>
          <w:rFonts w:ascii="宋体" w:hAnsi="宋体"/>
          <w:bCs/>
          <w:color w:val="auto"/>
          <w:sz w:val="24"/>
          <w:highlight w:val="none"/>
        </w:rPr>
        <w:t>2.1.5</w:t>
      </w:r>
      <w:r>
        <w:rPr>
          <w:rFonts w:hint="eastAsia" w:ascii="宋体" w:hAnsi="宋体"/>
          <w:bCs/>
          <w:color w:val="auto"/>
          <w:sz w:val="24"/>
          <w:highlight w:val="none"/>
        </w:rPr>
        <w:t>招标人应在招标文件中明确投标文件主要内容编制的格式要求。</w:t>
      </w:r>
    </w:p>
    <w:p w14:paraId="3125B386">
      <w:pPr>
        <w:numPr>
          <w:ilvl w:val="0"/>
          <w:numId w:val="12"/>
        </w:numPr>
        <w:spacing w:line="360" w:lineRule="auto"/>
        <w:ind w:left="562" w:hanging="562" w:hangingChars="200"/>
        <w:outlineLvl w:val="2"/>
        <w:rPr>
          <w:rFonts w:ascii="黑体" w:hAnsi="黑体" w:eastAsia="黑体"/>
          <w:b/>
          <w:color w:val="auto"/>
          <w:sz w:val="28"/>
          <w:szCs w:val="28"/>
          <w:highlight w:val="none"/>
        </w:rPr>
      </w:pPr>
      <w:bookmarkStart w:id="46" w:name="_Toc21787644"/>
      <w:bookmarkStart w:id="47" w:name="_Toc180758513"/>
      <w:bookmarkStart w:id="48" w:name="_Toc20069"/>
      <w:r>
        <w:rPr>
          <w:rFonts w:hint="eastAsia" w:ascii="黑体" w:hAnsi="黑体" w:eastAsia="黑体"/>
          <w:b/>
          <w:color w:val="auto"/>
          <w:sz w:val="28"/>
          <w:szCs w:val="28"/>
          <w:highlight w:val="none"/>
        </w:rPr>
        <w:t>招标答疑</w:t>
      </w:r>
      <w:bookmarkEnd w:id="46"/>
      <w:bookmarkEnd w:id="47"/>
      <w:bookmarkEnd w:id="48"/>
    </w:p>
    <w:p w14:paraId="47FC300E">
      <w:pPr>
        <w:spacing w:line="360" w:lineRule="auto"/>
        <w:ind w:firstLine="480" w:firstLineChars="200"/>
        <w:rPr>
          <w:rFonts w:ascii="宋体" w:hAnsi="宋体" w:cs="宋体"/>
          <w:color w:val="auto"/>
          <w:sz w:val="24"/>
          <w:highlight w:val="none"/>
        </w:rPr>
      </w:pPr>
      <w:r>
        <w:rPr>
          <w:rFonts w:hint="eastAsia" w:ascii="宋体" w:hAnsi="宋体"/>
          <w:bCs/>
          <w:color w:val="auto"/>
          <w:sz w:val="24"/>
          <w:highlight w:val="none"/>
        </w:rPr>
        <w:t>2.2.1</w:t>
      </w:r>
      <w:r>
        <w:rPr>
          <w:rFonts w:hint="eastAsia" w:ascii="宋体" w:hAnsi="宋体" w:cs="宋体"/>
          <w:color w:val="auto"/>
          <w:sz w:val="24"/>
          <w:highlight w:val="none"/>
        </w:rPr>
        <w:t>招标答疑采用网上答疑方式进行。投标人若对招标文件（包括招标图纸、清单、</w:t>
      </w:r>
      <w:r>
        <w:rPr>
          <w:rFonts w:hint="eastAsia" w:ascii="宋体" w:hAnsi="宋体"/>
          <w:bCs/>
          <w:color w:val="auto"/>
          <w:sz w:val="24"/>
          <w:highlight w:val="none"/>
          <w:u w:val="single"/>
        </w:rPr>
        <w:t>最高投标限价公布函</w:t>
      </w:r>
      <w:r>
        <w:rPr>
          <w:rFonts w:hint="eastAsia" w:ascii="宋体" w:hAnsi="宋体" w:cs="宋体"/>
          <w:color w:val="auto"/>
          <w:sz w:val="24"/>
          <w:highlight w:val="none"/>
        </w:rPr>
        <w:t>、</w:t>
      </w:r>
      <w:r>
        <w:rPr>
          <w:rFonts w:hint="eastAsia" w:ascii="宋体" w:hAnsi="宋体" w:cs="宋体"/>
          <w:color w:val="auto"/>
          <w:sz w:val="24"/>
          <w:highlight w:val="none"/>
          <w:u w:val="single"/>
        </w:rPr>
        <w:t>合同条款</w:t>
      </w:r>
      <w:r>
        <w:rPr>
          <w:rFonts w:hint="eastAsia" w:ascii="宋体" w:hAnsi="宋体" w:cs="宋体"/>
          <w:color w:val="auto"/>
          <w:sz w:val="24"/>
          <w:highlight w:val="none"/>
        </w:rPr>
        <w:t>）有疑问的，可在规定的时间内通过</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rPr>
        <w:t>网站进入提问，提交问题时一律不得署名。</w:t>
      </w:r>
    </w:p>
    <w:p w14:paraId="5551831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网上答疑的操作指南为：</w:t>
      </w:r>
      <w:r>
        <w:rPr>
          <w:rFonts w:hint="eastAsia" w:ascii="宋体" w:hAnsi="宋体" w:cs="宋体"/>
          <w:color w:val="auto"/>
          <w:sz w:val="24"/>
          <w:highlight w:val="none"/>
          <w:u w:val="single"/>
        </w:rPr>
        <w:t>投标人登陆</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u w:val="single"/>
        </w:rPr>
        <w:t>网站→进入“我是投标人”→进入“新建设工程交易平台”→进入“我的投标”→进入“招标答疑疑问”→通过项目编号或名称找到所需的项目→在上述的答疑时间内点击“答疑提问”进入到提问区域→无记名或匿名提出问题以及查看所有的问题。</w:t>
      </w:r>
    </w:p>
    <w:p w14:paraId="35C7F57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2.2.2答疑纪要一经在</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u w:val="single"/>
        </w:rPr>
        <w:t>网站</w:t>
      </w:r>
      <w:r>
        <w:rPr>
          <w:rFonts w:hint="eastAsia" w:ascii="宋体" w:hAnsi="宋体" w:cs="宋体"/>
          <w:color w:val="auto"/>
          <w:sz w:val="24"/>
          <w:highlight w:val="none"/>
        </w:rPr>
        <w:t>发布，视作已发放给所有投标人。</w:t>
      </w:r>
    </w:p>
    <w:p w14:paraId="22D7F37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2.2.3招标答疑纪要为招标文件的一部分。</w:t>
      </w:r>
    </w:p>
    <w:p w14:paraId="1620840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2.2.4若招标答疑纪要与招标文件有矛盾时，以</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u w:val="single"/>
        </w:rPr>
        <w:t>网站</w:t>
      </w:r>
      <w:r>
        <w:rPr>
          <w:rFonts w:hint="eastAsia" w:ascii="宋体" w:hAnsi="宋体" w:cs="宋体"/>
          <w:color w:val="auto"/>
          <w:sz w:val="24"/>
          <w:highlight w:val="none"/>
        </w:rPr>
        <w:t>最后发布的答疑纪要为准。</w:t>
      </w:r>
    </w:p>
    <w:p w14:paraId="1D7F5146">
      <w:pPr>
        <w:pStyle w:val="40"/>
        <w:spacing w:after="0" w:line="360" w:lineRule="auto"/>
        <w:ind w:firstLine="480" w:firstLineChars="200"/>
        <w:rPr>
          <w:rFonts w:ascii="宋体" w:hAnsi="宋体" w:eastAsia="宋体"/>
          <w:color w:val="auto"/>
          <w:sz w:val="24"/>
          <w:highlight w:val="none"/>
          <w:u w:val="single"/>
        </w:rPr>
      </w:pPr>
      <w:r>
        <w:rPr>
          <w:rFonts w:hint="eastAsia" w:ascii="宋体" w:hAnsi="宋体" w:eastAsia="宋体" w:cs="宋体"/>
          <w:color w:val="auto"/>
          <w:kern w:val="2"/>
          <w:sz w:val="24"/>
          <w:szCs w:val="22"/>
          <w:highlight w:val="none"/>
          <w:u w:val="single"/>
        </w:rPr>
        <w:t>2.2.5投标人应在投标截止时间前18日停止提问。招标人应在投标截止时间15日前解答投标人对招标文件提出的疑问，形成答疑纪要，在广州交易集团有限公司（广州公共资源交易中心）网站“项目查询（日程安排、答疑纪要）”专区发布。</w:t>
      </w:r>
    </w:p>
    <w:p w14:paraId="0C6889CE">
      <w:pPr>
        <w:numPr>
          <w:ilvl w:val="0"/>
          <w:numId w:val="12"/>
        </w:numPr>
        <w:spacing w:line="360" w:lineRule="auto"/>
        <w:ind w:left="562" w:hanging="562" w:hangingChars="200"/>
        <w:outlineLvl w:val="2"/>
        <w:rPr>
          <w:rFonts w:ascii="黑体" w:hAnsi="黑体" w:eastAsia="黑体"/>
          <w:b/>
          <w:color w:val="auto"/>
          <w:sz w:val="28"/>
          <w:szCs w:val="28"/>
          <w:highlight w:val="none"/>
        </w:rPr>
      </w:pPr>
      <w:bookmarkStart w:id="49" w:name="_Toc21787645"/>
      <w:bookmarkStart w:id="50" w:name="_Toc22923"/>
      <w:bookmarkStart w:id="51" w:name="_Toc180758514"/>
      <w:r>
        <w:rPr>
          <w:rFonts w:ascii="黑体" w:hAnsi="黑体" w:eastAsia="黑体"/>
          <w:b/>
          <w:color w:val="auto"/>
          <w:sz w:val="28"/>
          <w:szCs w:val="28"/>
          <w:highlight w:val="none"/>
        </w:rPr>
        <w:t>招标文件的</w:t>
      </w:r>
      <w:r>
        <w:rPr>
          <w:rFonts w:hint="eastAsia" w:ascii="黑体" w:hAnsi="黑体" w:eastAsia="黑体"/>
          <w:b/>
          <w:color w:val="auto"/>
          <w:sz w:val="28"/>
          <w:szCs w:val="28"/>
          <w:highlight w:val="none"/>
        </w:rPr>
        <w:t>澄清与</w:t>
      </w:r>
      <w:r>
        <w:rPr>
          <w:rFonts w:ascii="黑体" w:hAnsi="黑体" w:eastAsia="黑体"/>
          <w:b/>
          <w:color w:val="auto"/>
          <w:sz w:val="28"/>
          <w:szCs w:val="28"/>
          <w:highlight w:val="none"/>
        </w:rPr>
        <w:t>修改</w:t>
      </w:r>
      <w:bookmarkEnd w:id="49"/>
      <w:bookmarkEnd w:id="50"/>
      <w:bookmarkEnd w:id="51"/>
    </w:p>
    <w:p w14:paraId="5A75623A">
      <w:pPr>
        <w:spacing w:line="360" w:lineRule="auto"/>
        <w:ind w:firstLine="480" w:firstLineChars="200"/>
        <w:rPr>
          <w:rFonts w:ascii="宋体" w:hAnsi="宋体"/>
          <w:bCs/>
          <w:color w:val="auto"/>
          <w:sz w:val="24"/>
          <w:highlight w:val="none"/>
        </w:rPr>
      </w:pPr>
      <w:r>
        <w:rPr>
          <w:rFonts w:ascii="宋体" w:hAnsi="宋体"/>
          <w:bCs/>
          <w:color w:val="auto"/>
          <w:sz w:val="24"/>
          <w:highlight w:val="none"/>
        </w:rPr>
        <w:t>2.3.1</w:t>
      </w:r>
      <w:r>
        <w:rPr>
          <w:rFonts w:hint="eastAsia" w:ascii="宋体" w:hAnsi="宋体"/>
          <w:color w:val="auto"/>
          <w:sz w:val="24"/>
          <w:highlight w:val="none"/>
        </w:rPr>
        <w:t>招标文件的澄清或修改在</w:t>
      </w:r>
      <w:r>
        <w:rPr>
          <w:rFonts w:hint="eastAsia" w:ascii="宋体" w:hAnsi="宋体"/>
          <w:color w:val="auto"/>
          <w:sz w:val="24"/>
          <w:szCs w:val="24"/>
          <w:highlight w:val="none"/>
        </w:rPr>
        <w:t>广州交易集团有限公司（广州公共资源交易中心）网站</w:t>
      </w:r>
      <w:r>
        <w:rPr>
          <w:rFonts w:hint="eastAsia" w:ascii="宋体" w:hAnsi="宋体"/>
          <w:color w:val="auto"/>
          <w:sz w:val="24"/>
          <w:highlight w:val="none"/>
        </w:rPr>
        <w:t>发布。招标文件的澄清或修改一经在</w:t>
      </w:r>
      <w:r>
        <w:rPr>
          <w:rFonts w:hint="eastAsia" w:ascii="宋体" w:hAnsi="宋体"/>
          <w:color w:val="auto"/>
          <w:sz w:val="24"/>
          <w:szCs w:val="24"/>
          <w:highlight w:val="none"/>
        </w:rPr>
        <w:t>广州交易集团有限公司（广州公共资源交易中心）网站</w:t>
      </w:r>
      <w:r>
        <w:rPr>
          <w:rFonts w:hint="eastAsia" w:ascii="宋体" w:hAnsi="宋体"/>
          <w:color w:val="auto"/>
          <w:sz w:val="24"/>
          <w:highlight w:val="none"/>
        </w:rPr>
        <w:t>发布，视作已发放给所有投标人。</w:t>
      </w:r>
    </w:p>
    <w:p w14:paraId="683C1D64">
      <w:pPr>
        <w:spacing w:line="360" w:lineRule="auto"/>
        <w:ind w:firstLine="480" w:firstLineChars="200"/>
        <w:rPr>
          <w:rFonts w:ascii="宋体" w:hAnsi="宋体"/>
          <w:color w:val="auto"/>
          <w:sz w:val="24"/>
          <w:highlight w:val="none"/>
        </w:rPr>
      </w:pPr>
      <w:r>
        <w:rPr>
          <w:rFonts w:ascii="宋体" w:hAnsi="宋体"/>
          <w:bCs/>
          <w:color w:val="auto"/>
          <w:sz w:val="24"/>
          <w:highlight w:val="none"/>
        </w:rPr>
        <w:t>2.3.2</w:t>
      </w:r>
      <w:r>
        <w:rPr>
          <w:rFonts w:hint="eastAsia" w:ascii="宋体" w:hAnsi="宋体"/>
          <w:color w:val="auto"/>
          <w:sz w:val="24"/>
          <w:highlight w:val="none"/>
        </w:rPr>
        <w:t>招标文件的澄清、修改作为招标文件的组成部分，具有约束作用。</w:t>
      </w:r>
    </w:p>
    <w:p w14:paraId="5A76992F">
      <w:pPr>
        <w:pStyle w:val="40"/>
        <w:spacing w:before="50" w:after="50" w:line="360" w:lineRule="auto"/>
        <w:ind w:firstLine="480" w:firstLineChars="200"/>
        <w:rPr>
          <w:rFonts w:ascii="宋体" w:hAnsi="宋体" w:eastAsia="宋体"/>
          <w:color w:val="auto"/>
          <w:kern w:val="2"/>
          <w:sz w:val="24"/>
          <w:szCs w:val="22"/>
          <w:highlight w:val="none"/>
        </w:rPr>
      </w:pPr>
      <w:r>
        <w:rPr>
          <w:rFonts w:ascii="宋体" w:hAnsi="宋体" w:eastAsia="宋体"/>
          <w:color w:val="auto"/>
          <w:kern w:val="2"/>
          <w:sz w:val="24"/>
          <w:szCs w:val="22"/>
          <w:highlight w:val="none"/>
        </w:rPr>
        <w:t>2.3.3</w:t>
      </w:r>
      <w:r>
        <w:rPr>
          <w:rFonts w:hint="eastAsia" w:ascii="宋体" w:hAnsi="宋体" w:eastAsia="宋体"/>
          <w:color w:val="auto"/>
          <w:kern w:val="2"/>
          <w:sz w:val="24"/>
          <w:szCs w:val="22"/>
          <w:highlight w:val="none"/>
        </w:rPr>
        <w:t>招标文件的澄清、修改均以</w:t>
      </w:r>
      <w:r>
        <w:rPr>
          <w:rFonts w:hint="eastAsia" w:ascii="宋体" w:hAnsi="宋体" w:eastAsia="宋体"/>
          <w:color w:val="auto"/>
          <w:sz w:val="24"/>
          <w:szCs w:val="24"/>
          <w:highlight w:val="none"/>
        </w:rPr>
        <w:t>广州交易集团有限公司（广州公共资源交易中心）网站</w:t>
      </w:r>
      <w:r>
        <w:rPr>
          <w:rFonts w:hint="eastAsia" w:ascii="宋体" w:hAnsi="宋体" w:eastAsia="宋体"/>
          <w:color w:val="auto"/>
          <w:kern w:val="2"/>
          <w:sz w:val="24"/>
          <w:szCs w:val="22"/>
          <w:highlight w:val="none"/>
        </w:rPr>
        <w:t>发布的内容为准。当招标文件的澄清、修改在同一内容的表述不一致时，以</w:t>
      </w:r>
      <w:r>
        <w:rPr>
          <w:rFonts w:hint="eastAsia" w:ascii="宋体" w:hAnsi="宋体" w:eastAsia="宋体"/>
          <w:color w:val="auto"/>
          <w:sz w:val="24"/>
          <w:szCs w:val="24"/>
          <w:highlight w:val="none"/>
        </w:rPr>
        <w:t>广州交易集团有限公司（广州公共资源交易中心）网站</w:t>
      </w:r>
      <w:r>
        <w:rPr>
          <w:rFonts w:hint="eastAsia" w:ascii="宋体" w:hAnsi="宋体" w:eastAsia="宋体"/>
          <w:color w:val="auto"/>
          <w:kern w:val="2"/>
          <w:sz w:val="24"/>
          <w:szCs w:val="22"/>
          <w:highlight w:val="none"/>
        </w:rPr>
        <w:t>最后发布的内容为准。</w:t>
      </w:r>
    </w:p>
    <w:p w14:paraId="43B44019">
      <w:pPr>
        <w:spacing w:line="360" w:lineRule="auto"/>
        <w:ind w:firstLine="480" w:firstLineChars="200"/>
        <w:rPr>
          <w:rFonts w:ascii="宋体" w:hAnsi="宋体"/>
          <w:color w:val="auto"/>
          <w:sz w:val="24"/>
          <w:highlight w:val="none"/>
        </w:rPr>
      </w:pPr>
      <w:r>
        <w:rPr>
          <w:rFonts w:ascii="宋体" w:hAnsi="宋体"/>
          <w:color w:val="auto"/>
          <w:sz w:val="24"/>
          <w:highlight w:val="none"/>
        </w:rPr>
        <w:t>2.3.</w:t>
      </w:r>
      <w:r>
        <w:rPr>
          <w:rFonts w:hint="eastAsia" w:ascii="宋体" w:hAnsi="宋体"/>
          <w:color w:val="auto"/>
          <w:sz w:val="24"/>
          <w:highlight w:val="none"/>
        </w:rPr>
        <w:t>4为使投标人在编制投标文件时有充分的时间对招标文件的澄清或修改等内容考虑进去，招标人将酌情延长提交投标文件的截止时间，具体时间将在招标文件的澄清或修改中予以明确。若澄清或修改中没有明确延长时间，即表示投标时间不延长。</w:t>
      </w:r>
    </w:p>
    <w:p w14:paraId="497FB63D">
      <w:pPr>
        <w:pStyle w:val="3"/>
        <w:rPr>
          <w:color w:val="auto"/>
          <w:highlight w:val="none"/>
        </w:rPr>
      </w:pPr>
      <w:bookmarkStart w:id="52" w:name="_Toc15898"/>
      <w:bookmarkStart w:id="53" w:name="_Toc180758515"/>
      <w:bookmarkStart w:id="54" w:name="_Toc21787646"/>
      <w:r>
        <w:rPr>
          <w:rFonts w:hint="eastAsia"/>
          <w:color w:val="auto"/>
          <w:highlight w:val="none"/>
        </w:rPr>
        <w:t>投标文件</w:t>
      </w:r>
      <w:bookmarkEnd w:id="52"/>
      <w:bookmarkEnd w:id="53"/>
      <w:bookmarkEnd w:id="54"/>
    </w:p>
    <w:p w14:paraId="53FD1B93">
      <w:pPr>
        <w:widowControl/>
        <w:numPr>
          <w:ilvl w:val="0"/>
          <w:numId w:val="13"/>
        </w:numPr>
        <w:spacing w:line="360" w:lineRule="auto"/>
        <w:jc w:val="left"/>
        <w:outlineLvl w:val="2"/>
        <w:rPr>
          <w:rFonts w:ascii="黑体" w:hAnsi="黑体" w:eastAsia="黑体"/>
          <w:b/>
          <w:color w:val="auto"/>
          <w:sz w:val="28"/>
          <w:szCs w:val="28"/>
          <w:highlight w:val="none"/>
        </w:rPr>
      </w:pPr>
      <w:bookmarkStart w:id="55" w:name="_Toc21787647"/>
      <w:bookmarkStart w:id="56" w:name="_Toc180758516"/>
      <w:bookmarkStart w:id="57" w:name="_Toc281"/>
      <w:r>
        <w:rPr>
          <w:rFonts w:hint="eastAsia" w:ascii="黑体" w:hAnsi="黑体" w:eastAsia="黑体"/>
          <w:b/>
          <w:color w:val="auto"/>
          <w:sz w:val="28"/>
          <w:szCs w:val="28"/>
          <w:highlight w:val="none"/>
        </w:rPr>
        <w:t>投标文件的组成</w:t>
      </w:r>
      <w:bookmarkEnd w:id="55"/>
      <w:bookmarkEnd w:id="56"/>
      <w:bookmarkEnd w:id="57"/>
    </w:p>
    <w:p w14:paraId="3B5B7D0C">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投标文件应包括下列内容：</w:t>
      </w:r>
    </w:p>
    <w:p w14:paraId="0FF5A7BC">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（1）投标函及投标函附录；</w:t>
      </w:r>
    </w:p>
    <w:p w14:paraId="2A79A98A">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（2）法定代表人身份证明或附有法定代表人身份证明的授权委托书；</w:t>
      </w:r>
    </w:p>
    <w:p w14:paraId="0ADB0E7D">
      <w:pPr>
        <w:pStyle w:val="40"/>
        <w:spacing w:after="0" w:line="360" w:lineRule="auto"/>
        <w:ind w:firstLine="480" w:firstLineChars="200"/>
        <w:rPr>
          <w:rFonts w:ascii="宋体" w:hAnsi="宋体" w:eastAsia="宋体"/>
          <w:strike/>
          <w:color w:val="auto"/>
          <w:sz w:val="24"/>
          <w:highlight w:val="none"/>
        </w:rPr>
      </w:pPr>
      <w:r>
        <w:rPr>
          <w:rFonts w:hint="eastAsia" w:ascii="宋体" w:hAnsi="宋体" w:eastAsia="宋体"/>
          <w:strike/>
          <w:color w:val="auto"/>
          <w:sz w:val="24"/>
          <w:highlight w:val="none"/>
        </w:rPr>
        <w:t>（3）联合体协议书（注：非联合体投标无需提交）；</w:t>
      </w:r>
    </w:p>
    <w:p w14:paraId="42CA5F99">
      <w:pPr>
        <w:pStyle w:val="40"/>
        <w:spacing w:after="0" w:line="360" w:lineRule="auto"/>
        <w:ind w:firstLine="480" w:firstLineChars="200"/>
        <w:rPr>
          <w:rFonts w:ascii="宋体" w:hAnsi="宋体" w:eastAsia="宋体"/>
          <w:strike/>
          <w:color w:val="auto"/>
          <w:sz w:val="24"/>
          <w:highlight w:val="none"/>
        </w:rPr>
      </w:pPr>
      <w:r>
        <w:rPr>
          <w:rFonts w:hint="eastAsia" w:ascii="宋体" w:hAnsi="宋体" w:eastAsia="宋体"/>
          <w:strike/>
          <w:color w:val="auto"/>
          <w:sz w:val="24"/>
          <w:highlight w:val="none"/>
        </w:rPr>
        <w:t>（4）投标保证金（若有）；</w:t>
      </w:r>
    </w:p>
    <w:p w14:paraId="7ACAB970">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（5）已标价工程量清单</w:t>
      </w:r>
      <w:r>
        <w:rPr>
          <w:rFonts w:hint="eastAsia" w:ascii="宋体" w:hAnsi="宋体" w:eastAsia="宋体"/>
          <w:strike/>
          <w:color w:val="auto"/>
          <w:sz w:val="24"/>
          <w:highlight w:val="none"/>
        </w:rPr>
        <w:t>（采用综合评估法三的，不用提交）</w:t>
      </w:r>
      <w:r>
        <w:rPr>
          <w:rFonts w:hint="eastAsia" w:ascii="宋体" w:hAnsi="宋体" w:eastAsia="宋体"/>
          <w:color w:val="auto"/>
          <w:sz w:val="24"/>
          <w:highlight w:val="none"/>
        </w:rPr>
        <w:t>；</w:t>
      </w:r>
    </w:p>
    <w:p w14:paraId="0829C876">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 xml:space="preserve">（6）施工组织设计（不要求技术标的可不编制，提交施工组织设计要点；投标人在编制施工组织设计或施工方案时应按照招标人提出的施工现场建筑垃圾源头减量的具体要求以及建筑垃圾综合利用产品的使用要求提供相应措施）； </w:t>
      </w:r>
    </w:p>
    <w:p w14:paraId="682108CC">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（7）项目管理机构；</w:t>
      </w:r>
    </w:p>
    <w:p w14:paraId="5DFA5DD2">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（8）资格审查资料；</w:t>
      </w:r>
    </w:p>
    <w:p w14:paraId="09228198">
      <w:pPr>
        <w:pStyle w:val="40"/>
        <w:spacing w:after="0"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（9）投标人声明；</w:t>
      </w:r>
    </w:p>
    <w:p w14:paraId="7A384C97">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（10）其他应</w:t>
      </w:r>
      <w:bookmarkStart w:id="58" w:name="_Toc101777614"/>
      <w:bookmarkStart w:id="59" w:name="_Toc262229165"/>
      <w:r>
        <w:rPr>
          <w:rFonts w:hint="eastAsia" w:ascii="宋体" w:hAnsi="宋体" w:eastAsia="宋体"/>
          <w:color w:val="auto"/>
          <w:sz w:val="24"/>
          <w:highlight w:val="none"/>
        </w:rPr>
        <w:t>提交的材料。</w:t>
      </w:r>
      <w:bookmarkEnd w:id="58"/>
      <w:bookmarkEnd w:id="59"/>
    </w:p>
    <w:p w14:paraId="01C14963">
      <w:pPr>
        <w:widowControl/>
        <w:numPr>
          <w:ilvl w:val="0"/>
          <w:numId w:val="13"/>
        </w:numPr>
        <w:spacing w:line="360" w:lineRule="auto"/>
        <w:ind w:left="959"/>
        <w:jc w:val="left"/>
        <w:outlineLvl w:val="2"/>
        <w:rPr>
          <w:rFonts w:ascii="黑体" w:hAnsi="黑体" w:eastAsia="黑体"/>
          <w:b/>
          <w:color w:val="auto"/>
          <w:sz w:val="28"/>
          <w:szCs w:val="28"/>
          <w:highlight w:val="none"/>
        </w:rPr>
      </w:pPr>
      <w:bookmarkStart w:id="60" w:name="_Toc21787648"/>
      <w:bookmarkStart w:id="61" w:name="_Toc180758517"/>
      <w:bookmarkStart w:id="62" w:name="_Toc7685"/>
      <w:r>
        <w:rPr>
          <w:rFonts w:hint="eastAsia" w:ascii="黑体" w:hAnsi="黑体" w:eastAsia="黑体"/>
          <w:b/>
          <w:color w:val="auto"/>
          <w:sz w:val="28"/>
          <w:szCs w:val="28"/>
          <w:highlight w:val="none"/>
        </w:rPr>
        <w:t>投标报价</w:t>
      </w:r>
      <w:bookmarkEnd w:id="60"/>
      <w:bookmarkEnd w:id="61"/>
      <w:bookmarkEnd w:id="62"/>
    </w:p>
    <w:p w14:paraId="75DF8580">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3.2.1 投标人应按第五章“工程量清单”的要求填写相应表格（注：此条不适用于综合评估法三）。</w:t>
      </w:r>
    </w:p>
    <w:p w14:paraId="4147F4DB">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3.2.2 投标人在投标截止时间前修改投标函中的投标报价总额，应同时修改“已标价工程量清单”中的相应报价，投标报价总额为各分项金额之和。此修改须符合本章第4.3款的有关要求。（注：适用于综合评估法一、综合评估法二、经评审最低价法）</w:t>
      </w:r>
    </w:p>
    <w:p w14:paraId="0F674AD4">
      <w:pPr>
        <w:pStyle w:val="40"/>
        <w:spacing w:after="0" w:line="360" w:lineRule="auto"/>
        <w:ind w:firstLine="480" w:firstLineChars="200"/>
        <w:rPr>
          <w:rFonts w:ascii="宋体" w:hAnsi="宋体" w:eastAsia="宋体"/>
          <w:strike/>
          <w:color w:val="auto"/>
          <w:sz w:val="24"/>
          <w:highlight w:val="none"/>
        </w:rPr>
      </w:pPr>
      <w:r>
        <w:rPr>
          <w:rFonts w:hint="eastAsia" w:ascii="宋体" w:hAnsi="宋体" w:eastAsia="宋体"/>
          <w:strike/>
          <w:color w:val="auto"/>
          <w:sz w:val="24"/>
          <w:highlight w:val="none"/>
        </w:rPr>
        <w:t>3.2.2投标人在投标截止时间前修改投标函中的投标报价总额，并根据评标办法列明的方法重新计算投标单价下浮率。此修改须符合本章第4.3款的有关要求。（注：适用于综合评估法三）</w:t>
      </w:r>
    </w:p>
    <w:p w14:paraId="2DC36854">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3.2.3投标人的投标报价不得超过最高投标限价，最高投标限价见投标人须知前附表。</w:t>
      </w:r>
    </w:p>
    <w:p w14:paraId="3D7695EE">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3.2.4成本警示价见投标人须知前附表。对低于该成本警示价的投标报价，投标人必须提供详细的施工组织设计、单价、措施性费用、单价分析表、主要材料价格表、投标人成本分析供评标委员会评审，由评标委员会判定其是否低于企业自身成本，</w:t>
      </w:r>
      <w:r>
        <w:rPr>
          <w:rFonts w:hint="eastAsia" w:ascii="宋体" w:hAnsi="宋体" w:eastAsia="宋体"/>
          <w:color w:val="auto"/>
          <w:sz w:val="24"/>
          <w:highlight w:val="none"/>
          <w:u w:val="single"/>
        </w:rPr>
        <w:t>投标人未在投标文件中提供相关材料或者不能合理说明的，由评标委员会认定该投标人以低于成本报价竞标，应当否决其投标</w:t>
      </w:r>
      <w:r>
        <w:rPr>
          <w:rFonts w:hint="eastAsia" w:ascii="宋体" w:hAnsi="宋体" w:eastAsia="宋体"/>
          <w:color w:val="auto"/>
          <w:sz w:val="24"/>
          <w:highlight w:val="none"/>
        </w:rPr>
        <w:t>；在评标过程中，评标委员会发现投标人的报价明显低于其他投标报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14:paraId="7FB09C80">
      <w:pPr>
        <w:widowControl/>
        <w:numPr>
          <w:ilvl w:val="0"/>
          <w:numId w:val="13"/>
        </w:numPr>
        <w:spacing w:line="360" w:lineRule="auto"/>
        <w:ind w:left="959"/>
        <w:jc w:val="left"/>
        <w:outlineLvl w:val="2"/>
        <w:rPr>
          <w:rFonts w:ascii="黑体" w:hAnsi="黑体" w:eastAsia="黑体"/>
          <w:b/>
          <w:color w:val="auto"/>
          <w:sz w:val="28"/>
          <w:szCs w:val="28"/>
          <w:highlight w:val="none"/>
        </w:rPr>
      </w:pPr>
      <w:bookmarkStart w:id="63" w:name="_Toc180758518"/>
      <w:bookmarkStart w:id="64" w:name="_Toc21787649"/>
      <w:bookmarkStart w:id="65" w:name="_Toc11705"/>
      <w:r>
        <w:rPr>
          <w:rFonts w:hint="eastAsia" w:ascii="黑体" w:hAnsi="黑体" w:eastAsia="黑体"/>
          <w:b/>
          <w:color w:val="auto"/>
          <w:sz w:val="28"/>
          <w:szCs w:val="28"/>
          <w:highlight w:val="none"/>
        </w:rPr>
        <w:t>投标有效期</w:t>
      </w:r>
      <w:bookmarkEnd w:id="63"/>
      <w:bookmarkEnd w:id="64"/>
      <w:bookmarkEnd w:id="65"/>
    </w:p>
    <w:p w14:paraId="5D19CAB6">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3.3.1投标有效期见投标人须知前附表所规定的期限，在此期限内，凡符合本招标文件要求的投标文件均保持有效。</w:t>
      </w:r>
    </w:p>
    <w:p w14:paraId="7FDF1BB8">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3.3.2在投标有效期内，投标人撤销或修改其投标文件的，应承担招标文件和法律规定的责任。</w:t>
      </w:r>
    </w:p>
    <w:p w14:paraId="1633906C">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3.3.3</w:t>
      </w:r>
      <w:r>
        <w:rPr>
          <w:rFonts w:ascii="宋体" w:hAnsi="宋体" w:eastAsia="宋体"/>
          <w:color w:val="auto"/>
          <w:sz w:val="24"/>
          <w:highlight w:val="none"/>
        </w:rPr>
        <w:t>出现特殊情况需要延长投标有效期的，招标人以书面形式通知所有投标人延长投标有效期。投标人同意延长的，</w:t>
      </w:r>
      <w:r>
        <w:rPr>
          <w:rFonts w:ascii="宋体" w:hAnsi="宋体" w:eastAsia="宋体"/>
          <w:strike/>
          <w:color w:val="auto"/>
          <w:sz w:val="24"/>
          <w:highlight w:val="none"/>
        </w:rPr>
        <w:t>应相应延长其投标</w:t>
      </w:r>
      <w:r>
        <w:rPr>
          <w:rFonts w:hint="eastAsia" w:ascii="宋体" w:hAnsi="宋体" w:eastAsia="宋体"/>
          <w:strike/>
          <w:color w:val="auto"/>
          <w:sz w:val="24"/>
          <w:highlight w:val="none"/>
        </w:rPr>
        <w:t>保证金</w:t>
      </w:r>
      <w:r>
        <w:rPr>
          <w:rFonts w:ascii="宋体" w:hAnsi="宋体" w:eastAsia="宋体"/>
          <w:strike/>
          <w:color w:val="auto"/>
          <w:sz w:val="24"/>
          <w:highlight w:val="none"/>
        </w:rPr>
        <w:t>的有效期，但</w:t>
      </w:r>
      <w:r>
        <w:rPr>
          <w:rFonts w:ascii="宋体" w:hAnsi="宋体" w:eastAsia="宋体"/>
          <w:color w:val="auto"/>
          <w:sz w:val="24"/>
          <w:highlight w:val="none"/>
        </w:rPr>
        <w:t>不得要求或被允许修改或撤销其投标文件；投标人拒绝延长的，其投标失效</w:t>
      </w:r>
      <w:r>
        <w:rPr>
          <w:rFonts w:ascii="宋体" w:hAnsi="宋体" w:eastAsia="宋体"/>
          <w:strike/>
          <w:color w:val="auto"/>
          <w:sz w:val="24"/>
          <w:highlight w:val="none"/>
        </w:rPr>
        <w:t>，但投标人有权收回其投标</w:t>
      </w:r>
      <w:r>
        <w:rPr>
          <w:rFonts w:hint="eastAsia" w:ascii="宋体" w:hAnsi="宋体" w:eastAsia="宋体"/>
          <w:strike/>
          <w:color w:val="auto"/>
          <w:sz w:val="24"/>
          <w:highlight w:val="none"/>
        </w:rPr>
        <w:t>保证金</w:t>
      </w:r>
      <w:r>
        <w:rPr>
          <w:rFonts w:ascii="宋体" w:hAnsi="宋体" w:eastAsia="宋体"/>
          <w:color w:val="auto"/>
          <w:sz w:val="24"/>
          <w:highlight w:val="none"/>
        </w:rPr>
        <w:t>。</w:t>
      </w:r>
    </w:p>
    <w:p w14:paraId="7C0720BF">
      <w:pPr>
        <w:widowControl/>
        <w:numPr>
          <w:ilvl w:val="0"/>
          <w:numId w:val="13"/>
        </w:numPr>
        <w:spacing w:line="360" w:lineRule="auto"/>
        <w:ind w:left="959"/>
        <w:jc w:val="left"/>
        <w:outlineLvl w:val="2"/>
        <w:rPr>
          <w:rFonts w:ascii="黑体" w:hAnsi="黑体" w:eastAsia="黑体"/>
          <w:b/>
          <w:color w:val="auto"/>
          <w:sz w:val="28"/>
          <w:szCs w:val="28"/>
          <w:highlight w:val="none"/>
        </w:rPr>
      </w:pPr>
      <w:bookmarkStart w:id="66" w:name="_Toc21787650"/>
      <w:bookmarkStart w:id="67" w:name="_Toc17063"/>
      <w:bookmarkStart w:id="68" w:name="_Toc180758519"/>
      <w:r>
        <w:rPr>
          <w:rFonts w:hint="eastAsia" w:ascii="黑体" w:hAnsi="黑体" w:eastAsia="黑体"/>
          <w:b/>
          <w:color w:val="auto"/>
          <w:sz w:val="28"/>
          <w:szCs w:val="28"/>
          <w:highlight w:val="none"/>
        </w:rPr>
        <w:t>投标保证金</w:t>
      </w:r>
      <w:bookmarkEnd w:id="66"/>
      <w:bookmarkEnd w:id="67"/>
      <w:bookmarkEnd w:id="68"/>
    </w:p>
    <w:p w14:paraId="13EEC0FB">
      <w:pPr>
        <w:ind w:firstLine="480" w:firstLineChars="200"/>
        <w:rPr>
          <w:rFonts w:ascii="宋体" w:hAnsi="宋体"/>
          <w:color w:val="auto"/>
          <w:sz w:val="24"/>
          <w:highlight w:val="none"/>
        </w:rPr>
      </w:pPr>
      <w:r>
        <w:rPr>
          <w:rFonts w:hint="eastAsia" w:ascii="宋体" w:hAnsi="宋体"/>
          <w:color w:val="auto"/>
          <w:sz w:val="24"/>
          <w:highlight w:val="none"/>
        </w:rPr>
        <w:t>本招标项目不需要递交投标担保。</w:t>
      </w:r>
    </w:p>
    <w:p w14:paraId="3F74AB73">
      <w:pPr>
        <w:widowControl/>
        <w:numPr>
          <w:ilvl w:val="0"/>
          <w:numId w:val="13"/>
        </w:numPr>
        <w:spacing w:line="360" w:lineRule="auto"/>
        <w:ind w:left="959"/>
        <w:jc w:val="left"/>
        <w:outlineLvl w:val="2"/>
        <w:rPr>
          <w:rFonts w:ascii="黑体" w:hAnsi="黑体" w:eastAsia="黑体"/>
          <w:b/>
          <w:color w:val="auto"/>
          <w:sz w:val="28"/>
          <w:szCs w:val="28"/>
          <w:highlight w:val="none"/>
        </w:rPr>
      </w:pPr>
      <w:bookmarkStart w:id="69" w:name="_Toc180758520"/>
      <w:bookmarkStart w:id="70" w:name="_Toc4461"/>
      <w:bookmarkStart w:id="71" w:name="_Toc21787651"/>
      <w:r>
        <w:rPr>
          <w:rFonts w:hint="eastAsia" w:ascii="黑体" w:hAnsi="黑体" w:eastAsia="黑体"/>
          <w:b/>
          <w:color w:val="auto"/>
          <w:sz w:val="28"/>
          <w:szCs w:val="28"/>
          <w:highlight w:val="none"/>
        </w:rPr>
        <w:t>资格审查资料</w:t>
      </w:r>
      <w:bookmarkEnd w:id="69"/>
      <w:bookmarkEnd w:id="70"/>
      <w:bookmarkEnd w:id="71"/>
    </w:p>
    <w:p w14:paraId="615CAFC9">
      <w:pPr>
        <w:pStyle w:val="40"/>
        <w:spacing w:after="0" w:line="360" w:lineRule="auto"/>
        <w:ind w:firstLine="480" w:firstLineChars="200"/>
        <w:rPr>
          <w:rFonts w:hint="eastAsia" w:ascii="宋体" w:hAnsi="宋体" w:cs="宋体"/>
          <w:color w:val="auto"/>
          <w:sz w:val="24"/>
          <w:highlight w:val="none"/>
        </w:rPr>
      </w:pPr>
      <w:r>
        <w:rPr>
          <w:rFonts w:hint="eastAsia" w:ascii="宋体" w:hAnsi="宋体" w:eastAsia="宋体"/>
          <w:color w:val="auto"/>
          <w:sz w:val="24"/>
          <w:highlight w:val="none"/>
        </w:rPr>
        <w:t>3.5.1</w:t>
      </w:r>
      <w:r>
        <w:rPr>
          <w:rFonts w:hint="eastAsia" w:ascii="宋体" w:hAnsi="宋体" w:eastAsia="宋体" w:cs="宋体"/>
          <w:color w:val="auto"/>
          <w:sz w:val="24"/>
          <w:highlight w:val="none"/>
        </w:rPr>
        <w:t>投标人声明</w:t>
      </w:r>
      <w:r>
        <w:rPr>
          <w:rFonts w:hint="eastAsia" w:ascii="宋体" w:hAnsi="宋体" w:eastAsia="宋体" w:cs="宋体"/>
          <w:color w:val="auto"/>
          <w:sz w:val="24"/>
          <w:highlight w:val="none"/>
          <w:u w:val="single"/>
        </w:rPr>
        <w:t>（格式详见第八章）</w:t>
      </w:r>
      <w:r>
        <w:rPr>
          <w:rFonts w:hint="eastAsia" w:ascii="宋体" w:hAnsi="宋体" w:cs="宋体"/>
          <w:color w:val="auto"/>
          <w:sz w:val="24"/>
          <w:highlight w:val="none"/>
        </w:rPr>
        <w:t>；</w:t>
      </w:r>
    </w:p>
    <w:p w14:paraId="24A435D9">
      <w:pPr>
        <w:spacing w:line="360" w:lineRule="auto"/>
        <w:ind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3.5.2法定代表人证明书、法定代表人签字或盖章的本投标文件授权委托证明书；</w:t>
      </w:r>
    </w:p>
    <w:p w14:paraId="1D2E4A24">
      <w:pPr>
        <w:spacing w:line="360" w:lineRule="auto"/>
        <w:ind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3.5.3“投标人基本情况表”应附投标人企业营业执照、企业资质证书和建筑施工企业安全生产许可证等；</w:t>
      </w:r>
    </w:p>
    <w:p w14:paraId="7728D313">
      <w:pPr>
        <w:spacing w:line="360" w:lineRule="auto"/>
        <w:ind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3.5.4项目负责人的建造师证</w:t>
      </w:r>
      <w:r>
        <w:rPr>
          <w:rFonts w:hint="eastAsia" w:ascii="宋体" w:hAnsi="宋体" w:cs="宋体"/>
          <w:color w:val="auto"/>
          <w:kern w:val="0"/>
          <w:sz w:val="24"/>
          <w:szCs w:val="20"/>
          <w:highlight w:val="none"/>
          <w:u w:val="single"/>
        </w:rPr>
        <w:t>（注：打印建造师电子证书后，应在个人签名处手写本人签名再扫描上传，扫描件未手写签名或与签名图像笔迹不一致的，该电子证书无效。）</w:t>
      </w:r>
      <w:r>
        <w:rPr>
          <w:rFonts w:hint="eastAsia" w:ascii="宋体" w:hAnsi="宋体" w:cs="宋体"/>
          <w:strike/>
          <w:color w:val="auto"/>
          <w:kern w:val="0"/>
          <w:sz w:val="24"/>
          <w:szCs w:val="20"/>
          <w:highlight w:val="none"/>
        </w:rPr>
        <w:t>（或小型项目负责人相关证明）</w:t>
      </w:r>
      <w:r>
        <w:rPr>
          <w:rFonts w:hint="eastAsia" w:ascii="宋体" w:hAnsi="宋体" w:cs="宋体"/>
          <w:color w:val="auto"/>
          <w:kern w:val="0"/>
          <w:sz w:val="24"/>
          <w:szCs w:val="20"/>
          <w:highlight w:val="none"/>
        </w:rPr>
        <w:t>和安全培训考核合格证明或在有效期内的安全考核合格证书（B类）；</w:t>
      </w:r>
    </w:p>
    <w:p w14:paraId="6E71C20D">
      <w:pPr>
        <w:spacing w:line="360" w:lineRule="auto"/>
        <w:ind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3.5.5专职安全员须具有在有效期内的安全考核合格证书（C类）；</w:t>
      </w:r>
    </w:p>
    <w:p w14:paraId="59AEF993">
      <w:pPr>
        <w:spacing w:line="360" w:lineRule="auto"/>
        <w:ind w:firstLine="480" w:firstLineChars="200"/>
        <w:rPr>
          <w:rFonts w:hint="eastAsia" w:ascii="宋体" w:hAnsi="宋体" w:cs="宋体"/>
          <w:i/>
          <w:color w:val="auto"/>
          <w:kern w:val="0"/>
          <w:sz w:val="24"/>
          <w:szCs w:val="20"/>
          <w:highlight w:val="none"/>
        </w:rPr>
      </w:pPr>
      <w:r>
        <w:rPr>
          <w:rFonts w:hint="eastAsia" w:ascii="宋体" w:hAnsi="宋体" w:cs="宋体"/>
          <w:strike/>
          <w:color w:val="auto"/>
          <w:kern w:val="0"/>
          <w:sz w:val="24"/>
          <w:szCs w:val="20"/>
          <w:highlight w:val="none"/>
        </w:rPr>
        <w:t>3.5.6 “近年完成的类似项目情况表”应按照投标前附表的要求附中标通知书、施工合同、单位工程验收鉴定书（或合同工程完工验收鉴定书或工程竣工验收鉴定书）纸质原件的扫描件。每张表格只填写一个项目，并标明序号。</w:t>
      </w:r>
    </w:p>
    <w:p w14:paraId="69DAA434">
      <w:pPr>
        <w:spacing w:line="360" w:lineRule="auto"/>
        <w:ind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3.5.7投标申请人须保证授权的委托代理人及项目部主要组成人员（项目负责人、技术负责人（如有）、专职安全员）均为本单位的正式职工，必须具有离投标截止时间最近1个月（即2024年11月份）在本单位缴纳的社保证明文件（以加盖社会保险基金管理中心印章的《投保单》或《社会保险参保人员证明》资料为准）。</w:t>
      </w:r>
    </w:p>
    <w:p w14:paraId="7F13259B">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s="宋体"/>
          <w:color w:val="auto"/>
          <w:kern w:val="2"/>
          <w:sz w:val="24"/>
          <w:szCs w:val="22"/>
          <w:highlight w:val="none"/>
        </w:rPr>
        <w:t>3.5.8</w:t>
      </w:r>
      <w:r>
        <w:rPr>
          <w:rFonts w:hint="eastAsia" w:ascii="宋体" w:hAnsi="宋体" w:eastAsia="宋体" w:cs="宋体"/>
          <w:color w:val="auto"/>
          <w:kern w:val="2"/>
          <w:sz w:val="24"/>
          <w:szCs w:val="22"/>
          <w:highlight w:val="none"/>
          <w:u w:val="single"/>
        </w:rPr>
        <w:t>资格审查要求的其他资料</w:t>
      </w:r>
      <w:r>
        <w:rPr>
          <w:rFonts w:hint="eastAsia" w:ascii="宋体" w:hAnsi="宋体" w:eastAsia="宋体"/>
          <w:color w:val="auto"/>
          <w:sz w:val="24"/>
          <w:highlight w:val="none"/>
        </w:rPr>
        <w:t>。</w:t>
      </w:r>
    </w:p>
    <w:p w14:paraId="4A966B5B">
      <w:pPr>
        <w:widowControl/>
        <w:numPr>
          <w:ilvl w:val="0"/>
          <w:numId w:val="13"/>
        </w:numPr>
        <w:spacing w:line="360" w:lineRule="auto"/>
        <w:ind w:left="959"/>
        <w:jc w:val="left"/>
        <w:outlineLvl w:val="2"/>
        <w:rPr>
          <w:rFonts w:ascii="黑体" w:hAnsi="黑体" w:eastAsia="黑体"/>
          <w:b/>
          <w:color w:val="auto"/>
          <w:sz w:val="28"/>
          <w:szCs w:val="28"/>
          <w:highlight w:val="none"/>
        </w:rPr>
      </w:pPr>
      <w:bookmarkStart w:id="72" w:name="_Toc180758521"/>
      <w:bookmarkStart w:id="73" w:name="_Toc21787652"/>
      <w:bookmarkStart w:id="74" w:name="_Toc12122"/>
      <w:r>
        <w:rPr>
          <w:rFonts w:hint="eastAsia" w:ascii="黑体" w:hAnsi="黑体" w:eastAsia="黑体"/>
          <w:b/>
          <w:color w:val="auto"/>
          <w:sz w:val="28"/>
          <w:szCs w:val="28"/>
          <w:highlight w:val="none"/>
        </w:rPr>
        <w:t>投标文件的编制</w:t>
      </w:r>
      <w:bookmarkEnd w:id="72"/>
      <w:bookmarkEnd w:id="73"/>
      <w:bookmarkEnd w:id="74"/>
    </w:p>
    <w:p w14:paraId="0DD267AB">
      <w:pPr>
        <w:spacing w:line="360" w:lineRule="auto"/>
        <w:ind w:firstLine="470" w:firstLineChars="196"/>
        <w:rPr>
          <w:rFonts w:ascii="宋体" w:hAnsi="宋体"/>
          <w:bCs/>
          <w:color w:val="auto"/>
          <w:kern w:val="0"/>
          <w:sz w:val="24"/>
          <w:szCs w:val="24"/>
          <w:highlight w:val="none"/>
        </w:rPr>
      </w:pPr>
      <w:r>
        <w:rPr>
          <w:rFonts w:hint="eastAsia" w:ascii="宋体" w:hAnsi="宋体"/>
          <w:color w:val="auto"/>
          <w:sz w:val="24"/>
          <w:szCs w:val="24"/>
          <w:highlight w:val="none"/>
        </w:rPr>
        <w:t>3.6.1投标文件应当对招标文件有关招标范围、投标有效期、工期、质量</w:t>
      </w:r>
      <w:r>
        <w:rPr>
          <w:rFonts w:hint="eastAsia" w:ascii="宋体" w:hAnsi="宋体"/>
          <w:bCs/>
          <w:color w:val="auto"/>
          <w:kern w:val="0"/>
          <w:sz w:val="24"/>
          <w:szCs w:val="24"/>
          <w:highlight w:val="none"/>
        </w:rPr>
        <w:t>要求、发包人要求等实质性内容作出响应。</w:t>
      </w:r>
    </w:p>
    <w:p w14:paraId="76B0893F">
      <w:pPr>
        <w:spacing w:line="360" w:lineRule="auto"/>
        <w:ind w:firstLine="470" w:firstLineChars="196"/>
        <w:rPr>
          <w:rFonts w:ascii="宋体" w:hAnsi="宋体"/>
          <w:bCs/>
          <w:color w:val="auto"/>
          <w:kern w:val="0"/>
          <w:sz w:val="24"/>
          <w:szCs w:val="24"/>
          <w:highlight w:val="none"/>
        </w:rPr>
      </w:pPr>
      <w:r>
        <w:rPr>
          <w:rFonts w:hint="eastAsia" w:ascii="宋体" w:hAnsi="宋体"/>
          <w:bCs/>
          <w:color w:val="auto"/>
          <w:kern w:val="0"/>
          <w:sz w:val="24"/>
          <w:szCs w:val="24"/>
          <w:highlight w:val="none"/>
        </w:rPr>
        <w:t>3.6.2投标文件包括本须知3.1中规定的内容，投标人提交的投标文件应当使用招标文件所提供的投标文件全部格式（表格可以按同样格式扩展）。</w:t>
      </w:r>
    </w:p>
    <w:p w14:paraId="04E420F9">
      <w:pPr>
        <w:pStyle w:val="40"/>
        <w:spacing w:after="0" w:line="360" w:lineRule="auto"/>
        <w:ind w:firstLine="480" w:firstLineChars="200"/>
        <w:rPr>
          <w:rFonts w:ascii="宋体" w:hAnsi="宋体" w:eastAsia="宋体"/>
          <w:bCs/>
          <w:strike/>
          <w:color w:val="auto"/>
          <w:sz w:val="24"/>
          <w:szCs w:val="24"/>
          <w:highlight w:val="none"/>
        </w:rPr>
      </w:pPr>
      <w:r>
        <w:rPr>
          <w:rFonts w:hint="eastAsia" w:ascii="宋体" w:hAnsi="宋体" w:eastAsia="宋体"/>
          <w:bCs/>
          <w:strike/>
          <w:color w:val="auto"/>
          <w:sz w:val="24"/>
          <w:szCs w:val="24"/>
          <w:highlight w:val="none"/>
        </w:rPr>
        <w:t>3.6.3联合体投标时，联合体共同投标协议需联合体各方按要求共同盖章签字，其余可由联合体主办方签字、盖章即可，由联合体主办方法人签字的电子投标文件需提供主办方法定代表人证明书，若由联合体主办方法定代表人授权签字的电子投标文件需提供法定代表人证明书及其授权委托书、授权委托人身份证扫描件。</w:t>
      </w:r>
    </w:p>
    <w:p w14:paraId="2B4229B2">
      <w:pPr>
        <w:spacing w:line="360" w:lineRule="auto"/>
        <w:ind w:firstLine="480" w:firstLineChars="200"/>
        <w:rPr>
          <w:rFonts w:ascii="宋体" w:hAnsi="宋体"/>
          <w:bCs/>
          <w:color w:val="auto"/>
          <w:sz w:val="24"/>
          <w:szCs w:val="24"/>
          <w:highlight w:val="none"/>
        </w:rPr>
      </w:pPr>
      <w:r>
        <w:rPr>
          <w:rFonts w:hint="eastAsia" w:ascii="宋体" w:hAnsi="宋体"/>
          <w:color w:val="auto"/>
          <w:sz w:val="24"/>
          <w:szCs w:val="24"/>
          <w:highlight w:val="none"/>
        </w:rPr>
        <w:t>3.6.4</w:t>
      </w:r>
      <w:r>
        <w:rPr>
          <w:rFonts w:hint="eastAsia" w:ascii="宋体" w:hAnsi="宋体"/>
          <w:bCs/>
          <w:color w:val="auto"/>
          <w:sz w:val="24"/>
          <w:szCs w:val="24"/>
          <w:highlight w:val="none"/>
        </w:rPr>
        <w:t>投标文件全部采用电子文档，投标文件所附证书证件均为原件扫描件或电子证书，</w:t>
      </w:r>
      <w:r>
        <w:rPr>
          <w:rFonts w:hint="eastAsia" w:ascii="宋体" w:hAnsi="宋体"/>
          <w:color w:val="auto"/>
          <w:sz w:val="24"/>
          <w:highlight w:val="none"/>
        </w:rPr>
        <w:t>并采用单位数字证书，按招标文件要求在相应位置加盖电子印章。签字或盖章的具体要求见投标人须知前附表。</w:t>
      </w:r>
    </w:p>
    <w:p w14:paraId="66E0FAF8">
      <w:pPr>
        <w:spacing w:line="360" w:lineRule="auto"/>
        <w:ind w:firstLine="480" w:firstLineChars="200"/>
        <w:rPr>
          <w:rFonts w:ascii="宋体" w:hAnsi="宋体"/>
          <w:bCs/>
          <w:color w:val="auto"/>
          <w:sz w:val="24"/>
          <w:szCs w:val="24"/>
          <w:highlight w:val="none"/>
        </w:rPr>
      </w:pPr>
      <w:r>
        <w:rPr>
          <w:rFonts w:hint="eastAsia" w:ascii="宋体" w:hAnsi="宋体"/>
          <w:color w:val="auto"/>
          <w:sz w:val="24"/>
          <w:szCs w:val="24"/>
          <w:highlight w:val="none"/>
        </w:rPr>
        <w:t>3.6.5</w:t>
      </w:r>
      <w:r>
        <w:rPr>
          <w:rFonts w:hint="eastAsia" w:ascii="宋体" w:hAnsi="宋体"/>
          <w:bCs/>
          <w:color w:val="auto"/>
          <w:sz w:val="24"/>
          <w:szCs w:val="24"/>
          <w:highlight w:val="none"/>
        </w:rPr>
        <w:t>投标文件应按</w:t>
      </w:r>
      <w:r>
        <w:rPr>
          <w:rFonts w:hint="eastAsia" w:ascii="宋体" w:hAnsi="宋体"/>
          <w:color w:val="auto"/>
          <w:sz w:val="24"/>
          <w:highlight w:val="none"/>
        </w:rPr>
        <w:t>照</w:t>
      </w:r>
      <w:r>
        <w:rPr>
          <w:rFonts w:hint="eastAsia" w:ascii="宋体" w:hAnsi="宋体"/>
          <w:color w:val="auto"/>
          <w:sz w:val="24"/>
          <w:szCs w:val="24"/>
          <w:highlight w:val="none"/>
        </w:rPr>
        <w:t>广州交易集团有限公司（广州公共资源交易中心）</w:t>
      </w:r>
      <w:r>
        <w:rPr>
          <w:rFonts w:hint="eastAsia" w:ascii="宋体" w:hAnsi="宋体"/>
          <w:color w:val="auto"/>
          <w:sz w:val="24"/>
          <w:highlight w:val="none"/>
        </w:rPr>
        <w:t>网站关于全流程电子化项目的相关指南进行编制。</w:t>
      </w:r>
      <w:r>
        <w:rPr>
          <w:rFonts w:hint="eastAsia" w:ascii="宋体" w:hAnsi="宋体"/>
          <w:bCs/>
          <w:color w:val="auto"/>
          <w:sz w:val="24"/>
          <w:szCs w:val="24"/>
          <w:highlight w:val="none"/>
        </w:rPr>
        <w:t>如因不按上述编排要求编制而所引起系统无法检索、读取相关信息时，其后果将由投标人自行承担。</w:t>
      </w:r>
    </w:p>
    <w:p w14:paraId="763D23CD">
      <w:pPr>
        <w:pStyle w:val="3"/>
        <w:rPr>
          <w:color w:val="auto"/>
          <w:highlight w:val="none"/>
        </w:rPr>
      </w:pPr>
      <w:bookmarkStart w:id="75" w:name="_Toc17471890"/>
      <w:bookmarkEnd w:id="75"/>
      <w:bookmarkStart w:id="76" w:name="_Toc17471889"/>
      <w:bookmarkEnd w:id="76"/>
      <w:bookmarkStart w:id="77" w:name="_Toc24069"/>
      <w:bookmarkStart w:id="78" w:name="_Toc21787653"/>
      <w:bookmarkStart w:id="79" w:name="_Toc180758522"/>
      <w:r>
        <w:rPr>
          <w:rFonts w:hint="eastAsia"/>
          <w:color w:val="auto"/>
          <w:highlight w:val="none"/>
        </w:rPr>
        <w:t>投标</w:t>
      </w:r>
      <w:bookmarkEnd w:id="77"/>
      <w:bookmarkEnd w:id="78"/>
      <w:bookmarkEnd w:id="79"/>
    </w:p>
    <w:p w14:paraId="08388651">
      <w:pPr>
        <w:widowControl/>
        <w:numPr>
          <w:ilvl w:val="1"/>
          <w:numId w:val="8"/>
        </w:numPr>
        <w:shd w:val="clear" w:color="auto" w:fill="FFFFFF"/>
        <w:snapToGrid w:val="0"/>
        <w:spacing w:line="360" w:lineRule="auto"/>
        <w:ind w:left="759" w:hanging="759" w:hangingChars="270"/>
        <w:outlineLvl w:val="2"/>
        <w:rPr>
          <w:rFonts w:ascii="黑体" w:hAnsi="黑体" w:eastAsia="黑体"/>
          <w:b/>
          <w:color w:val="auto"/>
          <w:sz w:val="28"/>
          <w:szCs w:val="28"/>
          <w:highlight w:val="none"/>
        </w:rPr>
      </w:pPr>
      <w:bookmarkStart w:id="80" w:name="_Toc180758523"/>
      <w:bookmarkStart w:id="81" w:name="_Toc804"/>
      <w:bookmarkStart w:id="82" w:name="_Toc21787654"/>
      <w:r>
        <w:rPr>
          <w:rFonts w:hint="eastAsia" w:ascii="黑体" w:hAnsi="黑体" w:eastAsia="黑体"/>
          <w:b/>
          <w:color w:val="auto"/>
          <w:sz w:val="28"/>
          <w:szCs w:val="28"/>
          <w:highlight w:val="none"/>
        </w:rPr>
        <w:t>投标文件的加密</w:t>
      </w:r>
      <w:bookmarkEnd w:id="80"/>
      <w:bookmarkEnd w:id="81"/>
      <w:bookmarkEnd w:id="82"/>
    </w:p>
    <w:p w14:paraId="5703A305">
      <w:pPr>
        <w:spacing w:line="360" w:lineRule="auto"/>
        <w:ind w:firstLine="480" w:firstLineChars="200"/>
        <w:rPr>
          <w:rFonts w:ascii="宋体" w:hAnsi="宋体"/>
          <w:color w:val="auto"/>
          <w:sz w:val="24"/>
          <w:szCs w:val="21"/>
          <w:highlight w:val="none"/>
        </w:rPr>
      </w:pPr>
      <w:r>
        <w:rPr>
          <w:rFonts w:hint="eastAsia" w:ascii="宋体" w:hAnsi="宋体"/>
          <w:color w:val="auto"/>
          <w:sz w:val="24"/>
          <w:szCs w:val="21"/>
          <w:highlight w:val="none"/>
        </w:rPr>
        <w:t>4.1.1递交的电子投标文件必须进行加密。按照</w:t>
      </w:r>
      <w:r>
        <w:rPr>
          <w:rFonts w:hint="eastAsia" w:ascii="宋体" w:hAnsi="宋体"/>
          <w:color w:val="auto"/>
          <w:sz w:val="24"/>
          <w:szCs w:val="24"/>
          <w:highlight w:val="none"/>
          <w:u w:val="single"/>
        </w:rPr>
        <w:t>广州交易集团有限公司（广州公共资源交易中心）</w:t>
      </w:r>
      <w:r>
        <w:rPr>
          <w:rFonts w:hint="eastAsia" w:ascii="宋体" w:hAnsi="宋体"/>
          <w:color w:val="auto"/>
          <w:sz w:val="24"/>
          <w:szCs w:val="21"/>
          <w:highlight w:val="none"/>
        </w:rPr>
        <w:t>网站关于全流程电子化项目的相关指南进行操作。</w:t>
      </w:r>
    </w:p>
    <w:p w14:paraId="205FE9B3">
      <w:pPr>
        <w:spacing w:line="360" w:lineRule="auto"/>
        <w:ind w:firstLine="480" w:firstLineChars="200"/>
        <w:rPr>
          <w:rFonts w:ascii="宋体" w:hAnsi="宋体"/>
          <w:color w:val="auto"/>
          <w:sz w:val="24"/>
          <w:szCs w:val="21"/>
          <w:highlight w:val="none"/>
        </w:rPr>
      </w:pPr>
      <w:r>
        <w:rPr>
          <w:rFonts w:hint="eastAsia" w:ascii="宋体" w:hAnsi="宋体"/>
          <w:color w:val="auto"/>
          <w:sz w:val="24"/>
          <w:szCs w:val="21"/>
          <w:highlight w:val="none"/>
        </w:rPr>
        <w:t>4.1.2 未按要求加密的投标文件，</w:t>
      </w:r>
      <w:r>
        <w:rPr>
          <w:rFonts w:hint="eastAsia" w:ascii="宋体" w:hAnsi="宋体"/>
          <w:color w:val="auto"/>
          <w:sz w:val="24"/>
          <w:szCs w:val="24"/>
          <w:highlight w:val="none"/>
          <w:u w:val="single"/>
        </w:rPr>
        <w:t>广州交易集团有限公司（广州公共资源交易中心）网站</w:t>
      </w:r>
      <w:r>
        <w:rPr>
          <w:rFonts w:hint="eastAsia" w:ascii="宋体" w:hAnsi="宋体"/>
          <w:color w:val="auto"/>
          <w:sz w:val="24"/>
          <w:szCs w:val="21"/>
          <w:highlight w:val="none"/>
        </w:rPr>
        <w:t>交易平台将予以拒收。</w:t>
      </w:r>
    </w:p>
    <w:p w14:paraId="4F6F12C8">
      <w:pPr>
        <w:widowControl/>
        <w:numPr>
          <w:ilvl w:val="1"/>
          <w:numId w:val="8"/>
        </w:numPr>
        <w:shd w:val="clear" w:color="auto" w:fill="FFFFFF"/>
        <w:snapToGrid w:val="0"/>
        <w:spacing w:line="360" w:lineRule="auto"/>
        <w:ind w:left="759" w:hanging="759" w:hangingChars="270"/>
        <w:outlineLvl w:val="2"/>
        <w:rPr>
          <w:rFonts w:ascii="黑体" w:hAnsi="黑体" w:eastAsia="黑体"/>
          <w:b/>
          <w:color w:val="auto"/>
          <w:sz w:val="28"/>
          <w:szCs w:val="28"/>
          <w:highlight w:val="none"/>
        </w:rPr>
      </w:pPr>
      <w:bookmarkStart w:id="83" w:name="_Toc180758524"/>
      <w:bookmarkStart w:id="84" w:name="_Toc24853"/>
      <w:bookmarkStart w:id="85" w:name="_Toc21787655"/>
      <w:r>
        <w:rPr>
          <w:rFonts w:hint="eastAsia" w:ascii="黑体" w:hAnsi="黑体" w:eastAsia="黑体"/>
          <w:b/>
          <w:color w:val="auto"/>
          <w:sz w:val="28"/>
          <w:szCs w:val="28"/>
          <w:highlight w:val="none"/>
        </w:rPr>
        <w:t>投标文件的递交和接收</w:t>
      </w:r>
      <w:bookmarkEnd w:id="83"/>
      <w:bookmarkEnd w:id="84"/>
      <w:bookmarkEnd w:id="85"/>
    </w:p>
    <w:p w14:paraId="72CFF47D">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4.2.1投标人通过</w:t>
      </w:r>
      <w:r>
        <w:rPr>
          <w:rFonts w:hint="eastAsia" w:ascii="宋体" w:hAnsi="宋体"/>
          <w:color w:val="auto"/>
          <w:sz w:val="24"/>
          <w:szCs w:val="24"/>
          <w:highlight w:val="none"/>
          <w:u w:val="single"/>
        </w:rPr>
        <w:t>广州交易集团有限公司（广州公共资源交易中心）网站</w:t>
      </w:r>
      <w:r>
        <w:rPr>
          <w:rFonts w:hint="eastAsia" w:ascii="宋体" w:hAnsi="宋体"/>
          <w:color w:val="auto"/>
          <w:sz w:val="24"/>
          <w:szCs w:val="24"/>
          <w:highlight w:val="none"/>
        </w:rPr>
        <w:t>交易平台递交电子投标文件。</w:t>
      </w:r>
    </w:p>
    <w:p w14:paraId="31C762D0">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4.2.2投标人完成电子投标文件上传后，</w:t>
      </w:r>
      <w:r>
        <w:rPr>
          <w:rFonts w:hint="eastAsia" w:ascii="宋体" w:hAnsi="宋体"/>
          <w:color w:val="auto"/>
          <w:sz w:val="24"/>
          <w:szCs w:val="24"/>
          <w:highlight w:val="none"/>
          <w:u w:val="single"/>
        </w:rPr>
        <w:t>广州交易集团有限公司（广州公共资源交易中心）网站</w:t>
      </w:r>
      <w:r>
        <w:rPr>
          <w:rFonts w:hint="eastAsia" w:ascii="宋体" w:hAnsi="宋体"/>
          <w:color w:val="auto"/>
          <w:sz w:val="24"/>
          <w:szCs w:val="24"/>
          <w:highlight w:val="none"/>
        </w:rPr>
        <w:t>交易平台即时向投标人发出递交回执通知。递交时间以递交回执通知载明的传输完成时间为</w:t>
      </w:r>
      <w:bookmarkStart w:id="86" w:name="_Toc101777615"/>
      <w:bookmarkStart w:id="87" w:name="_Toc262229166"/>
      <w:r>
        <w:rPr>
          <w:rFonts w:hint="eastAsia" w:ascii="宋体" w:hAnsi="宋体"/>
          <w:color w:val="auto"/>
          <w:sz w:val="24"/>
          <w:szCs w:val="24"/>
          <w:highlight w:val="none"/>
        </w:rPr>
        <w:t>准。</w:t>
      </w:r>
    </w:p>
    <w:p w14:paraId="0B01351C">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4.2.3逾期</w:t>
      </w:r>
      <w:bookmarkEnd w:id="86"/>
      <w:bookmarkEnd w:id="87"/>
      <w:r>
        <w:rPr>
          <w:rFonts w:hint="eastAsia" w:ascii="宋体" w:hAnsi="宋体"/>
          <w:color w:val="auto"/>
          <w:sz w:val="24"/>
          <w:szCs w:val="24"/>
          <w:highlight w:val="none"/>
        </w:rPr>
        <w:t>送达的电子投标文件，</w:t>
      </w:r>
      <w:r>
        <w:rPr>
          <w:rFonts w:hint="eastAsia" w:ascii="宋体" w:hAnsi="宋体"/>
          <w:color w:val="auto"/>
          <w:sz w:val="24"/>
          <w:szCs w:val="24"/>
          <w:highlight w:val="none"/>
          <w:u w:val="single"/>
        </w:rPr>
        <w:t>广州交易集团有限公司（广州公共资源交易中心）网站</w:t>
      </w:r>
      <w:r>
        <w:rPr>
          <w:rFonts w:hint="eastAsia" w:ascii="宋体" w:hAnsi="宋体"/>
          <w:color w:val="auto"/>
          <w:sz w:val="24"/>
          <w:szCs w:val="24"/>
          <w:highlight w:val="none"/>
        </w:rPr>
        <w:t>交易平台将予以拒收。</w:t>
      </w:r>
    </w:p>
    <w:p w14:paraId="2EC702ED">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w:t>
      </w:r>
      <w:r>
        <w:rPr>
          <w:rFonts w:hint="eastAsia" w:ascii="宋体" w:hAnsi="宋体"/>
          <w:color w:val="auto"/>
          <w:sz w:val="24"/>
          <w:highlight w:val="none"/>
        </w:rPr>
        <w:t xml:space="preserve">.4 </w:t>
      </w:r>
      <w:r>
        <w:rPr>
          <w:rFonts w:hint="eastAsia" w:ascii="宋体" w:hAnsi="宋体"/>
          <w:color w:val="auto"/>
          <w:sz w:val="24"/>
          <w:szCs w:val="24"/>
          <w:highlight w:val="none"/>
        </w:rPr>
        <w:t>投标截止前，招标人拒绝接收符合条件的投标文件，投标人可向招标监督机构投诉。</w:t>
      </w:r>
    </w:p>
    <w:p w14:paraId="7578D555">
      <w:pPr>
        <w:widowControl/>
        <w:numPr>
          <w:ilvl w:val="1"/>
          <w:numId w:val="8"/>
        </w:numPr>
        <w:shd w:val="clear" w:color="auto" w:fill="FFFFFF"/>
        <w:snapToGrid w:val="0"/>
        <w:spacing w:line="360" w:lineRule="auto"/>
        <w:ind w:left="759" w:hanging="759" w:hangingChars="270"/>
        <w:outlineLvl w:val="2"/>
        <w:rPr>
          <w:rFonts w:ascii="黑体" w:hAnsi="黑体" w:eastAsia="黑体"/>
          <w:b/>
          <w:color w:val="auto"/>
          <w:sz w:val="28"/>
          <w:szCs w:val="28"/>
          <w:highlight w:val="none"/>
        </w:rPr>
      </w:pPr>
      <w:bookmarkStart w:id="88" w:name="_Toc180758525"/>
      <w:bookmarkStart w:id="89" w:name="_Toc21787656"/>
      <w:bookmarkStart w:id="90" w:name="_Toc32069"/>
      <w:r>
        <w:rPr>
          <w:rFonts w:hint="eastAsia" w:ascii="黑体" w:hAnsi="黑体" w:eastAsia="黑体"/>
          <w:b/>
          <w:color w:val="auto"/>
          <w:sz w:val="28"/>
          <w:szCs w:val="28"/>
          <w:highlight w:val="none"/>
        </w:rPr>
        <w:t>投标文件递交的截止时间</w:t>
      </w:r>
      <w:bookmarkEnd w:id="88"/>
      <w:bookmarkEnd w:id="89"/>
      <w:bookmarkEnd w:id="90"/>
    </w:p>
    <w:p w14:paraId="705D2F73">
      <w:pPr>
        <w:spacing w:line="360" w:lineRule="auto"/>
        <w:ind w:firstLine="480" w:firstLineChars="200"/>
        <w:rPr>
          <w:rFonts w:ascii="宋体" w:hAnsi="宋体"/>
          <w:b/>
          <w:bCs/>
          <w:color w:val="auto"/>
          <w:sz w:val="24"/>
          <w:highlight w:val="none"/>
        </w:rPr>
      </w:pPr>
      <w:r>
        <w:rPr>
          <w:rFonts w:hint="eastAsia" w:ascii="宋体" w:hAnsi="宋体"/>
          <w:color w:val="auto"/>
          <w:sz w:val="24"/>
          <w:szCs w:val="24"/>
          <w:highlight w:val="none"/>
        </w:rPr>
        <w:t>4.3</w:t>
      </w:r>
      <w:r>
        <w:rPr>
          <w:rFonts w:hint="eastAsia" w:ascii="宋体" w:hAnsi="宋体"/>
          <w:color w:val="auto"/>
          <w:sz w:val="24"/>
          <w:highlight w:val="none"/>
        </w:rPr>
        <w:t>.1投标人应在《投标人须知前附表》所述的投标截止时间前提交投标文件。</w:t>
      </w:r>
    </w:p>
    <w:p w14:paraId="7F4D042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4.3</w:t>
      </w:r>
      <w:r>
        <w:rPr>
          <w:rFonts w:hint="eastAsia" w:ascii="宋体" w:hAnsi="宋体"/>
          <w:color w:val="auto"/>
          <w:sz w:val="24"/>
          <w:highlight w:val="none"/>
        </w:rPr>
        <w:t>.2招标人可按本须知第2.3条规定以招标文件修改的方式，酌情延长递交投标文件的截止时间。在此情况下，投标的所有权利和义务以及投标人受制约的截止时间，均以延长后新的投标截止时间为准。</w:t>
      </w:r>
    </w:p>
    <w:p w14:paraId="70F3D7D8">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4.3</w:t>
      </w:r>
      <w:r>
        <w:rPr>
          <w:rFonts w:hint="eastAsia" w:ascii="宋体" w:hAnsi="宋体"/>
          <w:color w:val="auto"/>
          <w:sz w:val="24"/>
          <w:highlight w:val="none"/>
        </w:rPr>
        <w:t>.3 到投标截止时间止，招标人收到的投标文件少于3家的，招标人将重新组织招标</w:t>
      </w:r>
      <w:r>
        <w:rPr>
          <w:rFonts w:hint="eastAsia" w:ascii="宋体" w:hAnsi="宋体"/>
          <w:strike/>
          <w:color w:val="auto"/>
          <w:sz w:val="24"/>
          <w:highlight w:val="none"/>
        </w:rPr>
        <w:t>（当N个标段同时招标且不允许兼中时，若有效投标人不足N+2家，则重新组织招标）</w:t>
      </w:r>
      <w:r>
        <w:rPr>
          <w:rFonts w:hint="eastAsia" w:ascii="宋体" w:hAnsi="宋体"/>
          <w:color w:val="auto"/>
          <w:sz w:val="24"/>
          <w:highlight w:val="none"/>
        </w:rPr>
        <w:t>。</w:t>
      </w:r>
    </w:p>
    <w:p w14:paraId="14F45171">
      <w:pPr>
        <w:widowControl/>
        <w:numPr>
          <w:ilvl w:val="1"/>
          <w:numId w:val="8"/>
        </w:numPr>
        <w:shd w:val="clear" w:color="auto" w:fill="FFFFFF"/>
        <w:snapToGrid w:val="0"/>
        <w:spacing w:line="360" w:lineRule="auto"/>
        <w:ind w:left="759" w:hanging="759" w:hangingChars="270"/>
        <w:outlineLvl w:val="2"/>
        <w:rPr>
          <w:rFonts w:ascii="黑体" w:hAnsi="黑体" w:eastAsia="黑体"/>
          <w:b/>
          <w:color w:val="auto"/>
          <w:sz w:val="28"/>
          <w:szCs w:val="28"/>
          <w:highlight w:val="none"/>
        </w:rPr>
      </w:pPr>
      <w:bookmarkStart w:id="91" w:name="_Toc180758526"/>
      <w:bookmarkStart w:id="92" w:name="_Toc21787657"/>
      <w:bookmarkStart w:id="93" w:name="_Toc27865"/>
      <w:r>
        <w:rPr>
          <w:rFonts w:hint="eastAsia" w:ascii="黑体" w:hAnsi="黑体" w:eastAsia="黑体"/>
          <w:b/>
          <w:color w:val="auto"/>
          <w:sz w:val="28"/>
          <w:szCs w:val="28"/>
          <w:highlight w:val="none"/>
        </w:rPr>
        <w:t>迟交的投标文件</w:t>
      </w:r>
      <w:bookmarkEnd w:id="91"/>
      <w:bookmarkEnd w:id="92"/>
      <w:bookmarkEnd w:id="93"/>
    </w:p>
    <w:p w14:paraId="68D620B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本须知前附表第4.3.1项规定的投标截止时间后送达的电子投标文件，</w:t>
      </w:r>
      <w:r>
        <w:rPr>
          <w:rFonts w:hint="eastAsia" w:ascii="宋体" w:hAnsi="宋体"/>
          <w:color w:val="auto"/>
          <w:sz w:val="24"/>
          <w:szCs w:val="24"/>
          <w:highlight w:val="none"/>
          <w:u w:val="single"/>
        </w:rPr>
        <w:t>广州交易集团有限公司（广州公共资源交易中心）网站</w:t>
      </w:r>
      <w:r>
        <w:rPr>
          <w:rFonts w:hint="eastAsia" w:ascii="宋体" w:hAnsi="宋体"/>
          <w:color w:val="auto"/>
          <w:sz w:val="24"/>
          <w:highlight w:val="none"/>
        </w:rPr>
        <w:t>交易平台将予以拒收。</w:t>
      </w:r>
    </w:p>
    <w:p w14:paraId="34BDA9BB">
      <w:pPr>
        <w:widowControl/>
        <w:numPr>
          <w:ilvl w:val="1"/>
          <w:numId w:val="8"/>
        </w:numPr>
        <w:shd w:val="clear" w:color="auto" w:fill="FFFFFF"/>
        <w:snapToGrid w:val="0"/>
        <w:spacing w:line="360" w:lineRule="auto"/>
        <w:ind w:left="759" w:hanging="759" w:hangingChars="270"/>
        <w:outlineLvl w:val="2"/>
        <w:rPr>
          <w:rFonts w:ascii="黑体" w:hAnsi="黑体" w:eastAsia="黑体"/>
          <w:b/>
          <w:color w:val="auto"/>
          <w:sz w:val="28"/>
          <w:szCs w:val="28"/>
          <w:highlight w:val="none"/>
        </w:rPr>
      </w:pPr>
      <w:bookmarkStart w:id="94" w:name="_Toc180758527"/>
      <w:bookmarkStart w:id="95" w:name="_Toc21787658"/>
      <w:bookmarkStart w:id="96" w:name="_Toc24351"/>
      <w:r>
        <w:rPr>
          <w:rFonts w:hint="eastAsia" w:ascii="黑体" w:hAnsi="黑体" w:eastAsia="黑体"/>
          <w:b/>
          <w:color w:val="auto"/>
          <w:sz w:val="28"/>
          <w:szCs w:val="28"/>
          <w:highlight w:val="none"/>
        </w:rPr>
        <w:t>投标文件的补充、修改与撤回</w:t>
      </w:r>
      <w:bookmarkEnd w:id="94"/>
      <w:bookmarkEnd w:id="95"/>
      <w:bookmarkEnd w:id="96"/>
    </w:p>
    <w:p w14:paraId="24C28450">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4.5</w:t>
      </w:r>
      <w:r>
        <w:rPr>
          <w:rFonts w:hint="eastAsia" w:ascii="宋体" w:hAnsi="宋体"/>
          <w:color w:val="auto"/>
          <w:sz w:val="24"/>
          <w:highlight w:val="none"/>
        </w:rPr>
        <w:t>.1 投标人在递交投标文件以后，在规定的投标截止时间之前，可以修改或撤回已递交的投标文件。</w:t>
      </w:r>
    </w:p>
    <w:p w14:paraId="003E8CDD">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4.5</w:t>
      </w:r>
      <w:r>
        <w:rPr>
          <w:rFonts w:hint="eastAsia" w:ascii="宋体" w:hAnsi="宋体"/>
          <w:color w:val="auto"/>
          <w:sz w:val="24"/>
          <w:highlight w:val="none"/>
        </w:rPr>
        <w:t>.2 在投标截止时间之后，投标人不得补充、修改和更换投标文件。</w:t>
      </w:r>
    </w:p>
    <w:p w14:paraId="71A8E567">
      <w:pPr>
        <w:snapToGrid w:val="0"/>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4.5</w:t>
      </w:r>
      <w:r>
        <w:rPr>
          <w:rFonts w:hint="eastAsia" w:ascii="宋体" w:hAnsi="宋体"/>
          <w:color w:val="auto"/>
          <w:sz w:val="24"/>
          <w:highlight w:val="none"/>
        </w:rPr>
        <w:t>.3在投标文件递交截止时间后，至投标文件格式中规定的有效期终止日前，投标人不能撤销投标文件，否则其投标保证金将被没收，且招标人有权就其撤销行为报告行政主管部门载入不良信用记录。</w:t>
      </w:r>
    </w:p>
    <w:p w14:paraId="18D43BEA">
      <w:pPr>
        <w:widowControl/>
        <w:numPr>
          <w:ilvl w:val="1"/>
          <w:numId w:val="8"/>
        </w:numPr>
        <w:shd w:val="clear" w:color="auto" w:fill="FFFFFF"/>
        <w:snapToGrid w:val="0"/>
        <w:spacing w:line="360" w:lineRule="auto"/>
        <w:ind w:left="759" w:hanging="759" w:hangingChars="270"/>
        <w:outlineLvl w:val="2"/>
        <w:rPr>
          <w:rFonts w:ascii="黑体" w:hAnsi="黑体" w:eastAsia="黑体"/>
          <w:b/>
          <w:color w:val="auto"/>
          <w:sz w:val="28"/>
          <w:szCs w:val="28"/>
          <w:highlight w:val="none"/>
        </w:rPr>
      </w:pPr>
      <w:bookmarkStart w:id="97" w:name="_Toc23799"/>
      <w:bookmarkStart w:id="98" w:name="_Toc180758528"/>
      <w:bookmarkStart w:id="99" w:name="_Toc21787659"/>
      <w:r>
        <w:rPr>
          <w:rFonts w:hint="eastAsia" w:ascii="黑体" w:hAnsi="黑体" w:eastAsia="黑体"/>
          <w:b/>
          <w:color w:val="auto"/>
          <w:sz w:val="28"/>
          <w:szCs w:val="28"/>
          <w:highlight w:val="none"/>
        </w:rPr>
        <w:t>投标文件解密</w:t>
      </w:r>
      <w:bookmarkEnd w:id="97"/>
      <w:bookmarkEnd w:id="98"/>
      <w:bookmarkEnd w:id="99"/>
    </w:p>
    <w:p w14:paraId="5831A4DB">
      <w:pPr>
        <w:tabs>
          <w:tab w:val="left" w:pos="105"/>
        </w:tabs>
        <w:spacing w:line="360" w:lineRule="auto"/>
        <w:ind w:firstLine="480" w:firstLineChars="200"/>
        <w:rPr>
          <w:rFonts w:ascii="宋体" w:hAnsi="宋体"/>
          <w:color w:val="auto"/>
          <w:sz w:val="24"/>
          <w:highlight w:val="none"/>
        </w:rPr>
      </w:pPr>
      <w:r>
        <w:rPr>
          <w:rFonts w:hint="eastAsia" w:ascii="宋体" w:hAnsi="宋体"/>
          <w:color w:val="auto"/>
          <w:sz w:val="24"/>
          <w:highlight w:val="none"/>
        </w:rPr>
        <w:t>4.6.1</w:t>
      </w:r>
      <w:r>
        <w:rPr>
          <w:rFonts w:hint="eastAsia"/>
          <w:color w:val="auto"/>
          <w:sz w:val="24"/>
          <w:highlight w:val="none"/>
        </w:rPr>
        <w:t>投标人必须在《投标人须知前附表》规定的时间内对</w:t>
      </w:r>
      <w:r>
        <w:rPr>
          <w:rFonts w:hint="eastAsia" w:ascii="宋体" w:hAnsi="宋体"/>
          <w:color w:val="auto"/>
          <w:sz w:val="24"/>
          <w:highlight w:val="none"/>
        </w:rPr>
        <w:t>投标文件进行解密。</w:t>
      </w:r>
      <w:r>
        <w:rPr>
          <w:rFonts w:hint="eastAsia" w:ascii="宋体" w:hAnsi="宋体" w:cs="仿宋_GB2312"/>
          <w:color w:val="auto"/>
          <w:sz w:val="24"/>
          <w:szCs w:val="24"/>
          <w:highlight w:val="none"/>
        </w:rPr>
        <w:t>因投标人原因造成投标文件未解密或未在规定的时间内解密的，视为撤销其投标文件。</w:t>
      </w:r>
    </w:p>
    <w:p w14:paraId="5A05BC51">
      <w:pPr>
        <w:spacing w:line="360" w:lineRule="auto"/>
        <w:ind w:firstLine="480" w:firstLineChars="200"/>
        <w:jc w:val="left"/>
        <w:rPr>
          <w:color w:val="auto"/>
          <w:highlight w:val="none"/>
        </w:rPr>
      </w:pPr>
      <w:r>
        <w:rPr>
          <w:rFonts w:hint="eastAsia" w:ascii="宋体" w:hAnsi="宋体"/>
          <w:color w:val="auto"/>
          <w:sz w:val="24"/>
          <w:highlight w:val="none"/>
        </w:rPr>
        <w:t>4.6.2电子投标文件解密</w:t>
      </w:r>
      <w:r>
        <w:rPr>
          <w:rFonts w:hint="eastAsia" w:ascii="宋体" w:hAnsi="宋体" w:cs="宋体"/>
          <w:color w:val="auto"/>
          <w:kern w:val="0"/>
          <w:sz w:val="24"/>
          <w:szCs w:val="24"/>
          <w:highlight w:val="none"/>
        </w:rPr>
        <w:t>应按照</w:t>
      </w:r>
      <w:r>
        <w:rPr>
          <w:rFonts w:hint="eastAsia" w:ascii="宋体" w:hAnsi="宋体"/>
          <w:color w:val="auto"/>
          <w:sz w:val="24"/>
          <w:szCs w:val="24"/>
          <w:highlight w:val="none"/>
        </w:rPr>
        <w:t>广州交易集团有限公司（广州公共资源交易中心）</w:t>
      </w:r>
      <w:r>
        <w:rPr>
          <w:rFonts w:hint="eastAsia" w:ascii="宋体" w:hAnsi="宋体" w:cs="宋体"/>
          <w:color w:val="auto"/>
          <w:kern w:val="0"/>
          <w:sz w:val="24"/>
          <w:szCs w:val="24"/>
          <w:highlight w:val="none"/>
        </w:rPr>
        <w:t>网站关于全流程电子化项目的相关指南进行操作。</w:t>
      </w:r>
    </w:p>
    <w:p w14:paraId="067A0416">
      <w:pPr>
        <w:pStyle w:val="3"/>
        <w:rPr>
          <w:color w:val="auto"/>
          <w:highlight w:val="none"/>
        </w:rPr>
      </w:pPr>
      <w:bookmarkStart w:id="100" w:name="_Toc24162"/>
      <w:bookmarkStart w:id="101" w:name="_Toc180758529"/>
      <w:bookmarkStart w:id="102" w:name="_Toc21787660"/>
      <w:r>
        <w:rPr>
          <w:rFonts w:hint="eastAsia"/>
          <w:color w:val="auto"/>
          <w:highlight w:val="none"/>
        </w:rPr>
        <w:t>开标</w:t>
      </w:r>
      <w:bookmarkEnd w:id="100"/>
      <w:bookmarkEnd w:id="101"/>
      <w:bookmarkEnd w:id="102"/>
    </w:p>
    <w:p w14:paraId="59654302">
      <w:pPr>
        <w:numPr>
          <w:ilvl w:val="1"/>
          <w:numId w:val="14"/>
        </w:numPr>
        <w:spacing w:line="360" w:lineRule="auto"/>
        <w:jc w:val="left"/>
        <w:outlineLvl w:val="2"/>
        <w:rPr>
          <w:rFonts w:ascii="黑体" w:hAnsi="黑体" w:eastAsia="黑体"/>
          <w:b/>
          <w:color w:val="auto"/>
          <w:sz w:val="28"/>
          <w:szCs w:val="28"/>
          <w:highlight w:val="none"/>
        </w:rPr>
      </w:pPr>
      <w:bookmarkStart w:id="103" w:name="_Toc15991"/>
      <w:bookmarkStart w:id="104" w:name="_Toc21787661"/>
      <w:bookmarkStart w:id="105" w:name="_Toc180758530"/>
      <w:r>
        <w:rPr>
          <w:rFonts w:hint="eastAsia" w:ascii="黑体" w:hAnsi="黑体" w:eastAsia="黑体"/>
          <w:b/>
          <w:color w:val="auto"/>
          <w:sz w:val="28"/>
          <w:szCs w:val="28"/>
          <w:highlight w:val="none"/>
        </w:rPr>
        <w:t>开标时间和地点</w:t>
      </w:r>
      <w:bookmarkEnd w:id="103"/>
      <w:bookmarkEnd w:id="104"/>
      <w:bookmarkEnd w:id="105"/>
    </w:p>
    <w:p w14:paraId="409CF3D4">
      <w:pPr>
        <w:spacing w:line="360" w:lineRule="auto"/>
        <w:ind w:firstLine="480" w:firstLineChars="200"/>
        <w:jc w:val="left"/>
        <w:rPr>
          <w:rFonts w:hint="eastAsia"/>
          <w:color w:val="auto"/>
          <w:sz w:val="24"/>
          <w:highlight w:val="none"/>
        </w:rPr>
      </w:pPr>
      <w:r>
        <w:rPr>
          <w:rFonts w:hint="eastAsia"/>
          <w:color w:val="auto"/>
          <w:sz w:val="24"/>
          <w:highlight w:val="none"/>
        </w:rPr>
        <w:t>5.1.1招标人按《投标人须知前附表》规定的时间和地点公开开标，并邀请所有投标人参加。投标人也可选择参加在线开标，具体按照交易平台相关指南进行操作。投标人不派代表参加开标会，则视其为放弃参与开标的权利，认可开标结果。</w:t>
      </w:r>
    </w:p>
    <w:p w14:paraId="7DCAE5BB">
      <w:pPr>
        <w:spacing w:line="360" w:lineRule="auto"/>
        <w:ind w:firstLine="480" w:firstLineChars="200"/>
        <w:jc w:val="left"/>
        <w:rPr>
          <w:color w:val="auto"/>
          <w:sz w:val="24"/>
          <w:highlight w:val="none"/>
        </w:rPr>
      </w:pPr>
      <w:r>
        <w:rPr>
          <w:rFonts w:hint="eastAsia"/>
          <w:color w:val="auto"/>
          <w:sz w:val="24"/>
          <w:highlight w:val="none"/>
        </w:rPr>
        <w:t>截标后，开标开始时间因故推迟的，相关评标信息仍以原定的开标开始时间的信息为准。</w:t>
      </w:r>
    </w:p>
    <w:p w14:paraId="133AA5FA">
      <w:pPr>
        <w:spacing w:line="360" w:lineRule="auto"/>
        <w:ind w:firstLine="480" w:firstLineChars="200"/>
        <w:jc w:val="left"/>
        <w:rPr>
          <w:color w:val="auto"/>
          <w:sz w:val="24"/>
          <w:highlight w:val="none"/>
        </w:rPr>
      </w:pPr>
      <w:r>
        <w:rPr>
          <w:rFonts w:hint="eastAsia"/>
          <w:color w:val="auto"/>
          <w:sz w:val="24"/>
          <w:highlight w:val="none"/>
        </w:rPr>
        <w:t>5.1.2招标人在招标文件要求提交投标文件的截止时间前收到的投标文件，开标时都当众予以解密、公布。</w:t>
      </w:r>
    </w:p>
    <w:p w14:paraId="543F582C">
      <w:pPr>
        <w:numPr>
          <w:ilvl w:val="1"/>
          <w:numId w:val="14"/>
        </w:numPr>
        <w:spacing w:line="360" w:lineRule="auto"/>
        <w:jc w:val="left"/>
        <w:outlineLvl w:val="2"/>
        <w:rPr>
          <w:rFonts w:ascii="黑体" w:hAnsi="黑体" w:eastAsia="黑体"/>
          <w:b/>
          <w:color w:val="auto"/>
          <w:sz w:val="28"/>
          <w:szCs w:val="28"/>
          <w:highlight w:val="none"/>
        </w:rPr>
      </w:pPr>
      <w:bookmarkStart w:id="106" w:name="_Toc180758531"/>
      <w:bookmarkStart w:id="107" w:name="_Toc21787662"/>
      <w:bookmarkStart w:id="108" w:name="_Toc12714"/>
      <w:r>
        <w:rPr>
          <w:rFonts w:hint="eastAsia" w:ascii="黑体" w:hAnsi="黑体" w:eastAsia="黑体"/>
          <w:b/>
          <w:color w:val="auto"/>
          <w:sz w:val="28"/>
          <w:szCs w:val="28"/>
          <w:highlight w:val="none"/>
        </w:rPr>
        <w:t>开标程序</w:t>
      </w:r>
      <w:bookmarkEnd w:id="106"/>
      <w:bookmarkEnd w:id="107"/>
      <w:bookmarkEnd w:id="108"/>
    </w:p>
    <w:p w14:paraId="105BDC74">
      <w:pPr>
        <w:spacing w:line="360" w:lineRule="auto"/>
        <w:ind w:firstLine="480" w:firstLineChars="200"/>
        <w:jc w:val="left"/>
        <w:rPr>
          <w:color w:val="auto"/>
          <w:sz w:val="24"/>
          <w:highlight w:val="none"/>
        </w:rPr>
      </w:pPr>
      <w:r>
        <w:rPr>
          <w:rFonts w:hint="eastAsia"/>
          <w:color w:val="auto"/>
          <w:sz w:val="24"/>
          <w:highlight w:val="none"/>
        </w:rPr>
        <w:t>主持人按下列程序进行开标：</w:t>
      </w:r>
    </w:p>
    <w:p w14:paraId="61471013">
      <w:pPr>
        <w:tabs>
          <w:tab w:val="left" w:pos="105"/>
        </w:tabs>
        <w:spacing w:line="360" w:lineRule="auto"/>
        <w:ind w:firstLine="480" w:firstLineChars="200"/>
        <w:jc w:val="left"/>
        <w:rPr>
          <w:color w:val="auto"/>
          <w:sz w:val="24"/>
          <w:highlight w:val="none"/>
        </w:rPr>
      </w:pPr>
      <w:r>
        <w:rPr>
          <w:rFonts w:hint="eastAsia"/>
          <w:color w:val="auto"/>
          <w:sz w:val="24"/>
          <w:highlight w:val="none"/>
        </w:rPr>
        <w:t>5.2.1</w:t>
      </w:r>
      <w:r>
        <w:rPr>
          <w:rFonts w:hint="eastAsia" w:ascii="宋体" w:hAnsi="宋体" w:cs="仿宋_GB2312"/>
          <w:color w:val="auto"/>
          <w:sz w:val="24"/>
          <w:szCs w:val="24"/>
          <w:highlight w:val="none"/>
        </w:rPr>
        <w:t>在投标截止时间后半小时内，投标人通过广州交易集团有限公司（广州公共资源交易中心）网站交易平台对已递交的电子投标文件进行解密。投标人完成解密后，再由招标人进行解密。解密完成后，公布招标项目名称、投标人名称及其他内容。</w:t>
      </w:r>
    </w:p>
    <w:p w14:paraId="27C42D4B">
      <w:pPr>
        <w:spacing w:line="360" w:lineRule="auto"/>
        <w:ind w:firstLine="480" w:firstLineChars="200"/>
        <w:jc w:val="left"/>
        <w:rPr>
          <w:rFonts w:hint="eastAsia"/>
          <w:color w:val="auto"/>
          <w:sz w:val="24"/>
          <w:highlight w:val="none"/>
        </w:rPr>
      </w:pPr>
      <w:r>
        <w:rPr>
          <w:rFonts w:hint="eastAsia"/>
          <w:color w:val="auto"/>
          <w:sz w:val="24"/>
          <w:highlight w:val="none"/>
        </w:rPr>
        <w:t xml:space="preserve">5.2.2公开摇取评标基准价下浮率。下浮率从2%、2.5%、3%、3.5%、4%、4.5%、5%中通过摇珠机随机抽取。（适用于采用综合评估法一、综合评估法二） </w:t>
      </w:r>
    </w:p>
    <w:p w14:paraId="733E4880">
      <w:pPr>
        <w:tabs>
          <w:tab w:val="left" w:pos="105"/>
        </w:tabs>
        <w:spacing w:line="360" w:lineRule="auto"/>
        <w:ind w:firstLine="480" w:firstLineChars="200"/>
        <w:rPr>
          <w:rFonts w:hint="eastAsia" w:ascii="宋体" w:hAnsi="宋体" w:cs="仿宋_GB2312"/>
          <w:color w:val="auto"/>
          <w:sz w:val="24"/>
          <w:szCs w:val="24"/>
          <w:highlight w:val="none"/>
        </w:rPr>
      </w:pPr>
      <w:r>
        <w:rPr>
          <w:rFonts w:hint="eastAsia"/>
          <w:color w:val="auto"/>
          <w:sz w:val="24"/>
          <w:highlight w:val="none"/>
        </w:rPr>
        <w:t>5.2.3</w:t>
      </w:r>
      <w:r>
        <w:rPr>
          <w:rFonts w:hint="eastAsia" w:ascii="宋体" w:hAnsi="宋体" w:cs="仿宋_GB2312"/>
          <w:color w:val="auto"/>
          <w:sz w:val="24"/>
          <w:szCs w:val="24"/>
          <w:highlight w:val="none"/>
        </w:rPr>
        <w:t>按开标记录表规定的内容进行唱标。</w:t>
      </w:r>
    </w:p>
    <w:p w14:paraId="14DACF74">
      <w:pPr>
        <w:spacing w:line="360" w:lineRule="auto"/>
        <w:ind w:firstLine="480" w:firstLineChars="200"/>
        <w:jc w:val="left"/>
        <w:rPr>
          <w:color w:val="auto"/>
          <w:sz w:val="24"/>
          <w:highlight w:val="none"/>
        </w:rPr>
      </w:pPr>
      <w:r>
        <w:rPr>
          <w:rFonts w:hint="eastAsia"/>
          <w:color w:val="auto"/>
          <w:sz w:val="24"/>
          <w:highlight w:val="none"/>
        </w:rPr>
        <w:t>5.2.4投标人代表、招标人代表、监标人、记录人等有关人员在开标记录上签字确认；若有关人员不签字的，不影响开标程序。</w:t>
      </w:r>
    </w:p>
    <w:p w14:paraId="6529C775">
      <w:pPr>
        <w:spacing w:line="360" w:lineRule="auto"/>
        <w:ind w:firstLine="480" w:firstLineChars="200"/>
        <w:jc w:val="left"/>
        <w:rPr>
          <w:rFonts w:hint="eastAsia"/>
          <w:color w:val="auto"/>
          <w:sz w:val="24"/>
          <w:highlight w:val="none"/>
        </w:rPr>
      </w:pPr>
      <w:r>
        <w:rPr>
          <w:rFonts w:hint="eastAsia"/>
          <w:color w:val="auto"/>
          <w:sz w:val="24"/>
          <w:highlight w:val="none"/>
        </w:rPr>
        <w:t>5.2.5开标结束。</w:t>
      </w:r>
    </w:p>
    <w:p w14:paraId="7C3007D6">
      <w:pPr>
        <w:tabs>
          <w:tab w:val="left" w:pos="105"/>
        </w:tabs>
        <w:spacing w:line="360" w:lineRule="auto"/>
        <w:ind w:firstLine="480" w:firstLineChars="200"/>
        <w:rPr>
          <w:rFonts w:hint="eastAsia" w:ascii="宋体" w:hAnsi="宋体" w:cs="仿宋_GB2312"/>
          <w:color w:val="auto"/>
          <w:sz w:val="24"/>
          <w:szCs w:val="24"/>
          <w:highlight w:val="none"/>
        </w:rPr>
      </w:pPr>
      <w:r>
        <w:rPr>
          <w:rFonts w:hint="eastAsia" w:ascii="宋体" w:hAnsi="宋体" w:cs="仿宋_GB2312"/>
          <w:color w:val="auto"/>
          <w:sz w:val="24"/>
          <w:szCs w:val="24"/>
          <w:highlight w:val="none"/>
        </w:rPr>
        <w:t>5.2.6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4583EF90">
      <w:pPr>
        <w:tabs>
          <w:tab w:val="left" w:pos="105"/>
        </w:tabs>
        <w:spacing w:line="360" w:lineRule="auto"/>
        <w:ind w:firstLine="480" w:firstLineChars="200"/>
        <w:rPr>
          <w:rFonts w:ascii="宋体" w:hAnsi="宋体" w:cs="仿宋_GB2312"/>
          <w:color w:val="auto"/>
          <w:sz w:val="24"/>
          <w:szCs w:val="24"/>
          <w:highlight w:val="none"/>
        </w:rPr>
      </w:pPr>
      <w:r>
        <w:rPr>
          <w:rFonts w:hint="eastAsia" w:ascii="宋体" w:hAnsi="宋体" w:cs="仿宋_GB2312"/>
          <w:color w:val="auto"/>
          <w:sz w:val="24"/>
          <w:szCs w:val="24"/>
          <w:highlight w:val="none"/>
        </w:rPr>
        <w:t>5.2.7开标时，两个（含两个）以上的投标人加密打包投标文件电脑机器特征码一致的，不参与下一程序，并由评标委员会否决其投标。</w:t>
      </w:r>
    </w:p>
    <w:p w14:paraId="11454F0F">
      <w:pPr>
        <w:spacing w:line="360" w:lineRule="auto"/>
        <w:ind w:firstLine="480" w:firstLineChars="200"/>
        <w:jc w:val="left"/>
        <w:rPr>
          <w:rFonts w:hint="eastAsia"/>
          <w:color w:val="auto"/>
          <w:sz w:val="24"/>
          <w:highlight w:val="none"/>
        </w:rPr>
      </w:pPr>
    </w:p>
    <w:p w14:paraId="2EB5341A">
      <w:pPr>
        <w:numPr>
          <w:ilvl w:val="1"/>
          <w:numId w:val="14"/>
        </w:numPr>
        <w:spacing w:line="360" w:lineRule="auto"/>
        <w:jc w:val="left"/>
        <w:outlineLvl w:val="2"/>
        <w:rPr>
          <w:rFonts w:ascii="黑体" w:hAnsi="黑体" w:eastAsia="黑体"/>
          <w:b/>
          <w:color w:val="auto"/>
          <w:sz w:val="28"/>
          <w:szCs w:val="28"/>
          <w:highlight w:val="none"/>
        </w:rPr>
      </w:pPr>
      <w:bookmarkStart w:id="109" w:name="_Toc21787663"/>
      <w:bookmarkStart w:id="110" w:name="_Toc7281"/>
      <w:bookmarkStart w:id="111" w:name="_Toc180758532"/>
      <w:r>
        <w:rPr>
          <w:rFonts w:hint="eastAsia" w:ascii="黑体" w:hAnsi="黑体" w:eastAsia="黑体"/>
          <w:b/>
          <w:color w:val="auto"/>
          <w:sz w:val="28"/>
          <w:szCs w:val="28"/>
          <w:highlight w:val="none"/>
        </w:rPr>
        <w:t>开标异议</w:t>
      </w:r>
      <w:bookmarkEnd w:id="109"/>
      <w:bookmarkEnd w:id="110"/>
      <w:bookmarkEnd w:id="111"/>
    </w:p>
    <w:p w14:paraId="3D00E403">
      <w:pPr>
        <w:spacing w:line="360" w:lineRule="auto"/>
        <w:ind w:firstLine="480" w:firstLineChars="200"/>
        <w:jc w:val="left"/>
        <w:rPr>
          <w:rFonts w:hint="eastAsia"/>
          <w:color w:val="auto"/>
          <w:sz w:val="24"/>
          <w:highlight w:val="none"/>
        </w:rPr>
      </w:pPr>
      <w:r>
        <w:rPr>
          <w:rFonts w:hint="eastAsia"/>
          <w:color w:val="auto"/>
          <w:sz w:val="24"/>
          <w:highlight w:val="none"/>
        </w:rPr>
        <w:t>5.3.1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14:paraId="2D3ACBFD">
      <w:pPr>
        <w:spacing w:line="360" w:lineRule="auto"/>
        <w:ind w:firstLine="480" w:firstLineChars="200"/>
        <w:jc w:val="left"/>
        <w:rPr>
          <w:rFonts w:hint="eastAsia"/>
          <w:color w:val="auto"/>
          <w:sz w:val="24"/>
          <w:highlight w:val="none"/>
        </w:rPr>
      </w:pPr>
      <w:r>
        <w:rPr>
          <w:rFonts w:hint="eastAsia"/>
          <w:color w:val="auto"/>
          <w:sz w:val="24"/>
          <w:highlight w:val="none"/>
        </w:rPr>
        <w:t>5.3.2对开标的异议，招标人应当当场作出答复并予以书面记录，异议成立的，招标人应当及时采取纠正措施，或者提交评标委员会评审确认；异议不成立的，招标人应当当场给予解释说明。投标人未参加开标或在规定的时间内未提出异议的，视为对开标无异议。</w:t>
      </w:r>
    </w:p>
    <w:p w14:paraId="2AE99FEC">
      <w:pPr>
        <w:spacing w:line="360" w:lineRule="auto"/>
        <w:ind w:firstLine="480" w:firstLineChars="200"/>
        <w:jc w:val="left"/>
        <w:rPr>
          <w:color w:val="auto"/>
          <w:sz w:val="24"/>
          <w:highlight w:val="none"/>
        </w:rPr>
      </w:pPr>
      <w:r>
        <w:rPr>
          <w:rFonts w:hint="eastAsia"/>
          <w:color w:val="auto"/>
          <w:sz w:val="24"/>
          <w:highlight w:val="none"/>
        </w:rPr>
        <w:t>5.3.3招标人应当按照同一异议提起人一份记录的方式，对异议事项的处理应逐条进行书面记录，其中异议事项由异议提起人签名确认，作出的答复由招标人签名确认。书面记录含义应清晰而明确，包括但不限于纠正的措施、解释说明的内容、相关依据等。</w:t>
      </w:r>
    </w:p>
    <w:p w14:paraId="1B6FAA64">
      <w:pPr>
        <w:numPr>
          <w:ilvl w:val="1"/>
          <w:numId w:val="14"/>
        </w:numPr>
        <w:spacing w:line="360" w:lineRule="auto"/>
        <w:jc w:val="left"/>
        <w:outlineLvl w:val="2"/>
        <w:rPr>
          <w:rFonts w:ascii="黑体" w:hAnsi="黑体" w:eastAsia="黑体"/>
          <w:b/>
          <w:color w:val="auto"/>
          <w:sz w:val="28"/>
          <w:szCs w:val="28"/>
          <w:highlight w:val="none"/>
        </w:rPr>
      </w:pPr>
      <w:bookmarkStart w:id="112" w:name="_Toc21225"/>
      <w:bookmarkStart w:id="113" w:name="_Toc180758533"/>
      <w:bookmarkStart w:id="114" w:name="_Toc21787664"/>
      <w:r>
        <w:rPr>
          <w:rFonts w:hint="eastAsia" w:ascii="黑体" w:hAnsi="黑体" w:eastAsia="黑体"/>
          <w:b/>
          <w:color w:val="auto"/>
          <w:sz w:val="28"/>
          <w:szCs w:val="28"/>
          <w:highlight w:val="none"/>
        </w:rPr>
        <w:t>开标时重新招标情形</w:t>
      </w:r>
      <w:bookmarkEnd w:id="112"/>
      <w:bookmarkEnd w:id="113"/>
      <w:bookmarkEnd w:id="114"/>
    </w:p>
    <w:p w14:paraId="1332E104">
      <w:pPr>
        <w:spacing w:line="360" w:lineRule="auto"/>
        <w:ind w:firstLine="480" w:firstLineChars="200"/>
        <w:jc w:val="left"/>
        <w:rPr>
          <w:color w:val="auto"/>
          <w:sz w:val="24"/>
          <w:highlight w:val="none"/>
        </w:rPr>
      </w:pPr>
      <w:r>
        <w:rPr>
          <w:rFonts w:hint="eastAsia"/>
          <w:color w:val="auto"/>
          <w:sz w:val="24"/>
          <w:highlight w:val="none"/>
        </w:rPr>
        <w:t>5.4.1若递交投标文件的投标人不足3家，则重新组织招标。（当N个标段同时招标且不允许兼中时，若有效投标人不足N+2家，则重新组织招标）</w:t>
      </w:r>
    </w:p>
    <w:p w14:paraId="4087FACF">
      <w:pPr>
        <w:pStyle w:val="3"/>
        <w:rPr>
          <w:color w:val="auto"/>
          <w:highlight w:val="none"/>
        </w:rPr>
      </w:pPr>
      <w:bookmarkStart w:id="115" w:name="_Toc17471903"/>
      <w:bookmarkEnd w:id="115"/>
      <w:bookmarkStart w:id="116" w:name="_Toc17471904"/>
      <w:bookmarkEnd w:id="116"/>
      <w:bookmarkStart w:id="117" w:name="_Toc180758534"/>
      <w:bookmarkStart w:id="118" w:name="_Toc21787665"/>
      <w:bookmarkStart w:id="119" w:name="_Toc16197"/>
      <w:r>
        <w:rPr>
          <w:rFonts w:hint="eastAsia"/>
          <w:color w:val="auto"/>
          <w:highlight w:val="none"/>
        </w:rPr>
        <w:t>评标</w:t>
      </w:r>
      <w:bookmarkEnd w:id="117"/>
      <w:bookmarkEnd w:id="118"/>
      <w:bookmarkEnd w:id="119"/>
    </w:p>
    <w:p w14:paraId="4BAA4432">
      <w:pPr>
        <w:numPr>
          <w:ilvl w:val="1"/>
          <w:numId w:val="15"/>
        </w:numPr>
        <w:spacing w:line="360" w:lineRule="auto"/>
        <w:jc w:val="left"/>
        <w:outlineLvl w:val="2"/>
        <w:rPr>
          <w:rFonts w:ascii="黑体" w:hAnsi="黑体" w:eastAsia="黑体"/>
          <w:b/>
          <w:color w:val="auto"/>
          <w:sz w:val="28"/>
          <w:szCs w:val="28"/>
          <w:highlight w:val="none"/>
        </w:rPr>
      </w:pPr>
      <w:bookmarkStart w:id="120" w:name="_Toc21787666"/>
      <w:bookmarkStart w:id="121" w:name="_Toc180758535"/>
      <w:bookmarkStart w:id="122" w:name="_Toc11867"/>
      <w:r>
        <w:rPr>
          <w:rFonts w:hint="eastAsia" w:ascii="黑体" w:hAnsi="黑体" w:eastAsia="黑体"/>
          <w:b/>
          <w:color w:val="auto"/>
          <w:sz w:val="28"/>
          <w:szCs w:val="28"/>
          <w:highlight w:val="none"/>
        </w:rPr>
        <w:t>评标委员会</w:t>
      </w:r>
      <w:bookmarkEnd w:id="120"/>
      <w:bookmarkEnd w:id="121"/>
      <w:bookmarkEnd w:id="122"/>
    </w:p>
    <w:p w14:paraId="72370861">
      <w:pPr>
        <w:spacing w:line="360" w:lineRule="auto"/>
        <w:ind w:firstLine="480" w:firstLineChars="200"/>
        <w:jc w:val="left"/>
        <w:rPr>
          <w:color w:val="auto"/>
          <w:sz w:val="24"/>
          <w:highlight w:val="none"/>
        </w:rPr>
      </w:pPr>
      <w:r>
        <w:rPr>
          <w:rFonts w:hint="eastAsia"/>
          <w:color w:val="auto"/>
          <w:sz w:val="24"/>
          <w:highlight w:val="none"/>
        </w:rPr>
        <w:t>6.1.1评标由招标人依法组建的评标委员会负责。评标委员会由有关技术、经济等方面的专家和招标人代表组成，专家从广东省综合评标评审专家库中抽取。评标委员会成员人数以及技术、经济等方面专家的确定方式见《投标人须知前附表》。</w:t>
      </w:r>
    </w:p>
    <w:p w14:paraId="18F5ADBB">
      <w:pPr>
        <w:spacing w:line="360" w:lineRule="auto"/>
        <w:ind w:firstLine="480" w:firstLineChars="200"/>
        <w:jc w:val="left"/>
        <w:rPr>
          <w:color w:val="auto"/>
          <w:sz w:val="24"/>
          <w:highlight w:val="none"/>
        </w:rPr>
      </w:pPr>
      <w:r>
        <w:rPr>
          <w:rFonts w:hint="eastAsia"/>
          <w:color w:val="auto"/>
          <w:sz w:val="24"/>
          <w:highlight w:val="none"/>
        </w:rPr>
        <w:t>6.1.2 评标委员会成员有下列情形之一的，应当回避：</w:t>
      </w:r>
    </w:p>
    <w:p w14:paraId="475CEEF2">
      <w:pPr>
        <w:spacing w:line="360" w:lineRule="auto"/>
        <w:ind w:firstLine="480" w:firstLineChars="200"/>
        <w:jc w:val="left"/>
        <w:rPr>
          <w:color w:val="auto"/>
          <w:sz w:val="24"/>
          <w:highlight w:val="none"/>
        </w:rPr>
      </w:pPr>
      <w:r>
        <w:rPr>
          <w:rFonts w:hint="eastAsia"/>
          <w:color w:val="auto"/>
          <w:sz w:val="24"/>
          <w:highlight w:val="none"/>
        </w:rPr>
        <w:t>（1）招标人或投标人的主要负责人的近亲属；</w:t>
      </w:r>
    </w:p>
    <w:p w14:paraId="752039EC">
      <w:pPr>
        <w:spacing w:line="360" w:lineRule="auto"/>
        <w:ind w:firstLine="480" w:firstLineChars="200"/>
        <w:jc w:val="left"/>
        <w:rPr>
          <w:color w:val="auto"/>
          <w:sz w:val="24"/>
          <w:highlight w:val="none"/>
        </w:rPr>
      </w:pPr>
      <w:r>
        <w:rPr>
          <w:rFonts w:hint="eastAsia"/>
          <w:color w:val="auto"/>
          <w:sz w:val="24"/>
          <w:highlight w:val="none"/>
        </w:rPr>
        <w:t>（2）项目主管部门或者行政监督部门的人员；</w:t>
      </w:r>
    </w:p>
    <w:p w14:paraId="325B9555">
      <w:pPr>
        <w:spacing w:line="360" w:lineRule="auto"/>
        <w:ind w:firstLine="480" w:firstLineChars="200"/>
        <w:jc w:val="left"/>
        <w:rPr>
          <w:rFonts w:hint="eastAsia"/>
          <w:color w:val="auto"/>
          <w:sz w:val="24"/>
          <w:highlight w:val="none"/>
        </w:rPr>
      </w:pPr>
      <w:r>
        <w:rPr>
          <w:rFonts w:hint="eastAsia"/>
          <w:color w:val="auto"/>
          <w:sz w:val="24"/>
          <w:highlight w:val="none"/>
        </w:rPr>
        <w:t>（3）招标人或投标人的工作人员、退休或离职未满3年的人员；</w:t>
      </w:r>
    </w:p>
    <w:p w14:paraId="55B4EBAB">
      <w:pPr>
        <w:spacing w:line="360" w:lineRule="auto"/>
        <w:ind w:firstLine="480" w:firstLineChars="200"/>
        <w:jc w:val="left"/>
        <w:rPr>
          <w:color w:val="auto"/>
          <w:sz w:val="24"/>
          <w:highlight w:val="none"/>
        </w:rPr>
      </w:pPr>
      <w:r>
        <w:rPr>
          <w:rFonts w:hint="eastAsia"/>
          <w:color w:val="auto"/>
          <w:sz w:val="24"/>
          <w:highlight w:val="none"/>
        </w:rPr>
        <w:t>（4）与投标人有经济利益关系，可能影响对投标公正评审的；</w:t>
      </w:r>
    </w:p>
    <w:p w14:paraId="3E52855A">
      <w:pPr>
        <w:spacing w:line="360" w:lineRule="auto"/>
        <w:ind w:firstLine="480" w:firstLineChars="200"/>
        <w:jc w:val="left"/>
        <w:rPr>
          <w:color w:val="auto"/>
          <w:sz w:val="24"/>
          <w:highlight w:val="none"/>
        </w:rPr>
      </w:pPr>
      <w:r>
        <w:rPr>
          <w:rFonts w:hint="eastAsia"/>
          <w:color w:val="auto"/>
          <w:sz w:val="24"/>
          <w:highlight w:val="none"/>
        </w:rPr>
        <w:t>（5）曾因在招标、评标以及其他与招标投标有关活动中从事违法行为而受过行政处罚或刑事处罚的。</w:t>
      </w:r>
    </w:p>
    <w:p w14:paraId="4B5BC6C5">
      <w:pPr>
        <w:spacing w:line="360" w:lineRule="auto"/>
        <w:ind w:firstLine="480" w:firstLineChars="200"/>
        <w:jc w:val="left"/>
        <w:rPr>
          <w:color w:val="auto"/>
          <w:sz w:val="24"/>
          <w:highlight w:val="none"/>
        </w:rPr>
      </w:pPr>
      <w:r>
        <w:rPr>
          <w:rFonts w:hint="eastAsia"/>
          <w:color w:val="auto"/>
          <w:sz w:val="24"/>
          <w:highlight w:val="none"/>
        </w:rPr>
        <w:t>（6）与投标人有其他利害关系。</w:t>
      </w:r>
    </w:p>
    <w:p w14:paraId="1A2C90BF">
      <w:pPr>
        <w:numPr>
          <w:ilvl w:val="1"/>
          <w:numId w:val="15"/>
        </w:numPr>
        <w:spacing w:line="360" w:lineRule="auto"/>
        <w:jc w:val="left"/>
        <w:outlineLvl w:val="2"/>
        <w:rPr>
          <w:rFonts w:ascii="黑体" w:hAnsi="黑体" w:eastAsia="黑体"/>
          <w:b/>
          <w:color w:val="auto"/>
          <w:sz w:val="28"/>
          <w:szCs w:val="28"/>
          <w:highlight w:val="none"/>
        </w:rPr>
      </w:pPr>
      <w:bookmarkStart w:id="123" w:name="_Toc180758536"/>
      <w:bookmarkStart w:id="124" w:name="_Toc21787667"/>
      <w:bookmarkStart w:id="125" w:name="_Toc23115"/>
      <w:r>
        <w:rPr>
          <w:rFonts w:hint="eastAsia" w:ascii="黑体" w:hAnsi="黑体" w:eastAsia="黑体"/>
          <w:b/>
          <w:color w:val="auto"/>
          <w:sz w:val="28"/>
          <w:szCs w:val="28"/>
          <w:highlight w:val="none"/>
        </w:rPr>
        <w:t>评标原则</w:t>
      </w:r>
      <w:bookmarkEnd w:id="123"/>
      <w:bookmarkEnd w:id="124"/>
      <w:bookmarkEnd w:id="125"/>
      <w:r>
        <w:rPr>
          <w:rFonts w:hint="eastAsia" w:ascii="黑体" w:hAnsi="黑体" w:eastAsia="黑体"/>
          <w:b/>
          <w:color w:val="auto"/>
          <w:sz w:val="28"/>
          <w:szCs w:val="28"/>
          <w:highlight w:val="none"/>
        </w:rPr>
        <w:tab/>
      </w:r>
    </w:p>
    <w:p w14:paraId="295E258A">
      <w:pPr>
        <w:spacing w:line="360" w:lineRule="auto"/>
        <w:ind w:firstLine="480" w:firstLineChars="200"/>
        <w:jc w:val="left"/>
        <w:rPr>
          <w:color w:val="auto"/>
          <w:sz w:val="24"/>
          <w:highlight w:val="none"/>
        </w:rPr>
      </w:pPr>
      <w:r>
        <w:rPr>
          <w:rFonts w:hint="eastAsia"/>
          <w:color w:val="auto"/>
          <w:sz w:val="24"/>
          <w:highlight w:val="none"/>
        </w:rPr>
        <w:t>评标活动遵循公平、公正、科学和择优的原则。</w:t>
      </w:r>
    </w:p>
    <w:p w14:paraId="6B9715BC">
      <w:pPr>
        <w:numPr>
          <w:ilvl w:val="1"/>
          <w:numId w:val="15"/>
        </w:numPr>
        <w:spacing w:line="360" w:lineRule="auto"/>
        <w:jc w:val="left"/>
        <w:outlineLvl w:val="2"/>
        <w:rPr>
          <w:rFonts w:ascii="黑体" w:hAnsi="黑体" w:eastAsia="黑体"/>
          <w:b/>
          <w:color w:val="auto"/>
          <w:sz w:val="28"/>
          <w:szCs w:val="28"/>
          <w:highlight w:val="none"/>
        </w:rPr>
      </w:pPr>
      <w:bookmarkStart w:id="126" w:name="_Toc21787668"/>
      <w:bookmarkStart w:id="127" w:name="_Toc180758537"/>
      <w:bookmarkStart w:id="128" w:name="_Toc27090"/>
      <w:r>
        <w:rPr>
          <w:rFonts w:hint="eastAsia" w:ascii="黑体" w:hAnsi="黑体" w:eastAsia="黑体"/>
          <w:b/>
          <w:color w:val="auto"/>
          <w:sz w:val="28"/>
          <w:szCs w:val="28"/>
          <w:highlight w:val="none"/>
        </w:rPr>
        <w:t>评审</w:t>
      </w:r>
      <w:bookmarkEnd w:id="126"/>
      <w:bookmarkEnd w:id="127"/>
      <w:bookmarkEnd w:id="128"/>
    </w:p>
    <w:p w14:paraId="79F08B6B">
      <w:pPr>
        <w:spacing w:line="360" w:lineRule="auto"/>
        <w:ind w:firstLine="480" w:firstLineChars="200"/>
        <w:jc w:val="left"/>
        <w:rPr>
          <w:color w:val="auto"/>
          <w:sz w:val="24"/>
          <w:highlight w:val="none"/>
        </w:rPr>
      </w:pPr>
      <w:r>
        <w:rPr>
          <w:rFonts w:hint="eastAsia"/>
          <w:color w:val="auto"/>
          <w:sz w:val="24"/>
          <w:highlight w:val="none"/>
        </w:rPr>
        <w:t>评标委员会按照第三章“评标办法”规定的方法、评审因素、标准和程序对投标文件进行评审。第三章“评标办法”没有规定的方法、评审因素和标准，不作为评标依据。</w:t>
      </w:r>
    </w:p>
    <w:p w14:paraId="42A94FA0">
      <w:pPr>
        <w:numPr>
          <w:ilvl w:val="1"/>
          <w:numId w:val="15"/>
        </w:numPr>
        <w:spacing w:line="360" w:lineRule="auto"/>
        <w:jc w:val="left"/>
        <w:outlineLvl w:val="2"/>
        <w:rPr>
          <w:rFonts w:ascii="黑体" w:hAnsi="黑体" w:eastAsia="黑体"/>
          <w:b/>
          <w:color w:val="auto"/>
          <w:sz w:val="28"/>
          <w:szCs w:val="28"/>
          <w:highlight w:val="none"/>
        </w:rPr>
      </w:pPr>
      <w:bookmarkStart w:id="129" w:name="_Toc21787669"/>
      <w:bookmarkStart w:id="130" w:name="_Toc17511"/>
      <w:bookmarkStart w:id="131" w:name="_Toc180758538"/>
      <w:r>
        <w:rPr>
          <w:rFonts w:hint="eastAsia" w:ascii="黑体" w:hAnsi="黑体" w:eastAsia="黑体"/>
          <w:b/>
          <w:color w:val="auto"/>
          <w:sz w:val="28"/>
          <w:szCs w:val="28"/>
          <w:highlight w:val="none"/>
        </w:rPr>
        <w:t>评标过程的保密</w:t>
      </w:r>
      <w:bookmarkEnd w:id="129"/>
      <w:bookmarkEnd w:id="130"/>
      <w:bookmarkEnd w:id="131"/>
    </w:p>
    <w:p w14:paraId="2B3FE929">
      <w:pPr>
        <w:spacing w:line="360" w:lineRule="auto"/>
        <w:ind w:firstLine="480" w:firstLineChars="200"/>
        <w:jc w:val="left"/>
        <w:rPr>
          <w:color w:val="auto"/>
          <w:sz w:val="24"/>
          <w:highlight w:val="none"/>
        </w:rPr>
      </w:pPr>
      <w:r>
        <w:rPr>
          <w:rFonts w:hint="eastAsia"/>
          <w:color w:val="auto"/>
          <w:sz w:val="24"/>
          <w:highlight w:val="none"/>
        </w:rPr>
        <w:t>6.4.1 开标后，直至中标公示为止，凡属于对投标文件的审查、澄清、评价和比较有关的资料以及中标候选人的推荐情况，与评标有关的其他任何情况均严格保密。</w:t>
      </w:r>
    </w:p>
    <w:p w14:paraId="0D1F5558">
      <w:pPr>
        <w:spacing w:line="360" w:lineRule="auto"/>
        <w:ind w:firstLine="480" w:firstLineChars="200"/>
        <w:jc w:val="left"/>
        <w:rPr>
          <w:color w:val="auto"/>
          <w:sz w:val="24"/>
          <w:highlight w:val="none"/>
        </w:rPr>
      </w:pPr>
      <w:r>
        <w:rPr>
          <w:rFonts w:hint="eastAsia"/>
          <w:color w:val="auto"/>
          <w:sz w:val="24"/>
          <w:highlight w:val="none"/>
        </w:rPr>
        <w:t>6.4.2 在投标文件的评审和比较、中标候选人推荐以及授予合同的过程中，投标人向招标人和评标委员会施加不公正影响的任何行为，都将会导致其投标被拒绝。</w:t>
      </w:r>
    </w:p>
    <w:p w14:paraId="56B8F288">
      <w:pPr>
        <w:pStyle w:val="3"/>
        <w:rPr>
          <w:color w:val="auto"/>
          <w:sz w:val="24"/>
          <w:highlight w:val="none"/>
        </w:rPr>
      </w:pPr>
      <w:bookmarkStart w:id="132" w:name="_Toc180758539"/>
      <w:bookmarkStart w:id="133" w:name="_Toc3991"/>
      <w:bookmarkStart w:id="134" w:name="_Toc21787670"/>
      <w:r>
        <w:rPr>
          <w:rFonts w:hint="eastAsia"/>
          <w:color w:val="auto"/>
          <w:highlight w:val="none"/>
        </w:rPr>
        <w:t>合同授予</w:t>
      </w:r>
      <w:bookmarkEnd w:id="132"/>
      <w:bookmarkEnd w:id="133"/>
      <w:bookmarkEnd w:id="134"/>
    </w:p>
    <w:p w14:paraId="34BF02E8">
      <w:pPr>
        <w:numPr>
          <w:ilvl w:val="1"/>
          <w:numId w:val="16"/>
        </w:numPr>
        <w:spacing w:line="360" w:lineRule="auto"/>
        <w:ind w:left="1322"/>
        <w:jc w:val="left"/>
        <w:outlineLvl w:val="2"/>
        <w:rPr>
          <w:rFonts w:ascii="黑体" w:hAnsi="黑体" w:eastAsia="黑体"/>
          <w:b/>
          <w:color w:val="auto"/>
          <w:sz w:val="28"/>
          <w:szCs w:val="28"/>
          <w:highlight w:val="none"/>
        </w:rPr>
      </w:pPr>
      <w:bookmarkStart w:id="135" w:name="_Toc31210"/>
      <w:bookmarkStart w:id="136" w:name="_Toc21787671"/>
      <w:bookmarkStart w:id="137" w:name="_Toc180758540"/>
      <w:r>
        <w:rPr>
          <w:rFonts w:hint="eastAsia" w:ascii="黑体" w:hAnsi="黑体" w:eastAsia="黑体"/>
          <w:b/>
          <w:color w:val="auto"/>
          <w:sz w:val="28"/>
          <w:szCs w:val="28"/>
          <w:highlight w:val="none"/>
        </w:rPr>
        <w:t>中标候选人公示</w:t>
      </w:r>
      <w:bookmarkEnd w:id="135"/>
      <w:bookmarkEnd w:id="136"/>
      <w:bookmarkEnd w:id="137"/>
    </w:p>
    <w:p w14:paraId="63C634DB">
      <w:pPr>
        <w:spacing w:line="360" w:lineRule="auto"/>
        <w:ind w:firstLine="480" w:firstLineChars="200"/>
        <w:jc w:val="left"/>
        <w:rPr>
          <w:rFonts w:hint="eastAsia"/>
          <w:color w:val="auto"/>
          <w:sz w:val="24"/>
          <w:highlight w:val="none"/>
          <w:u w:val="single"/>
        </w:rPr>
      </w:pPr>
      <w:r>
        <w:rPr>
          <w:rFonts w:hint="eastAsia"/>
          <w:color w:val="auto"/>
          <w:sz w:val="24"/>
          <w:highlight w:val="none"/>
          <w:u w:val="single"/>
        </w:rPr>
        <w:t>7.1.1招标人在《投标人须知前附表》规定的媒介公示中标候选人，公示期为三天，最后一天应为工作日。</w:t>
      </w:r>
    </w:p>
    <w:p w14:paraId="64EBCACC">
      <w:pPr>
        <w:spacing w:line="360" w:lineRule="auto"/>
        <w:ind w:firstLine="480" w:firstLineChars="200"/>
        <w:jc w:val="left"/>
        <w:rPr>
          <w:rFonts w:hint="eastAsia"/>
          <w:color w:val="auto"/>
          <w:sz w:val="24"/>
          <w:highlight w:val="none"/>
          <w:u w:val="single"/>
        </w:rPr>
      </w:pPr>
      <w:r>
        <w:rPr>
          <w:rFonts w:hint="eastAsia"/>
          <w:color w:val="auto"/>
          <w:sz w:val="24"/>
          <w:highlight w:val="none"/>
          <w:u w:val="single"/>
        </w:rPr>
        <w:t>注：投标人或其他利害关系人对评标结果有异议的，应当在中标候选人公示期间提出，可以通过线下或线上的形式提出异议。线上提交的，应通过广交易建设工程电子交易系统进行，招标人也应通过广交易建设工程电子交易系统答复线上提交的异议。作出答复前，应当暂停招标投标活动。</w:t>
      </w:r>
    </w:p>
    <w:p w14:paraId="5D6DAD48">
      <w:pPr>
        <w:spacing w:line="360" w:lineRule="auto"/>
        <w:ind w:firstLine="480" w:firstLineChars="200"/>
        <w:jc w:val="left"/>
        <w:rPr>
          <w:rFonts w:hint="eastAsia"/>
          <w:color w:val="auto"/>
          <w:sz w:val="24"/>
          <w:highlight w:val="none"/>
          <w:u w:val="single"/>
        </w:rPr>
      </w:pPr>
      <w:r>
        <w:rPr>
          <w:rFonts w:hint="eastAsia"/>
          <w:color w:val="auto"/>
          <w:sz w:val="24"/>
          <w:highlight w:val="none"/>
          <w:u w:val="single"/>
        </w:rPr>
        <w:t>1.具体操作详见“广州交易集团有限公司（广州公共资源交易中心）门户网站首页-&gt;服务指南-&gt;系统帮助-&gt;操作手册-&gt;发起及受理异议操作指引”。</w:t>
      </w:r>
    </w:p>
    <w:p w14:paraId="17214521">
      <w:pPr>
        <w:spacing w:line="360" w:lineRule="auto"/>
        <w:ind w:firstLine="480" w:firstLineChars="200"/>
        <w:jc w:val="left"/>
        <w:rPr>
          <w:color w:val="auto"/>
          <w:sz w:val="24"/>
          <w:highlight w:val="none"/>
          <w:u w:val="single"/>
        </w:rPr>
      </w:pPr>
      <w:r>
        <w:rPr>
          <w:rFonts w:hint="eastAsia"/>
          <w:color w:val="auto"/>
          <w:sz w:val="24"/>
          <w:highlight w:val="none"/>
          <w:u w:val="single"/>
        </w:rPr>
        <w:t>2.投标人可登录交易平台网站向招标人提出异议申请，招标人在线处理完异议后，提出异议的投标人可以在线查询处理结果。异议处理结果仅对提出异议的投标人开放查询。投标人登录广交易平台进入“我是投标人”-选择“新建设工程交易平台”-“异议管理”-点击“新增异议”-选择要发起异议的项目。</w:t>
      </w:r>
    </w:p>
    <w:p w14:paraId="5AD4290A">
      <w:pPr>
        <w:spacing w:line="360" w:lineRule="auto"/>
        <w:ind w:firstLine="480" w:firstLineChars="200"/>
        <w:jc w:val="left"/>
        <w:rPr>
          <w:color w:val="auto"/>
          <w:sz w:val="24"/>
          <w:highlight w:val="none"/>
        </w:rPr>
      </w:pPr>
      <w:r>
        <w:rPr>
          <w:rFonts w:hint="eastAsia"/>
          <w:color w:val="auto"/>
          <w:sz w:val="24"/>
          <w:highlight w:val="none"/>
        </w:rPr>
        <w:t>7.1.2在产生中标候选人后，招标人将中标候选人的投标文件商务部分文件的所有内容（包括人员、业绩、奖项等资料）在</w:t>
      </w:r>
      <w:r>
        <w:rPr>
          <w:rFonts w:hint="eastAsia" w:ascii="宋体" w:hAnsi="宋体"/>
          <w:color w:val="auto"/>
          <w:sz w:val="24"/>
          <w:szCs w:val="24"/>
          <w:highlight w:val="none"/>
        </w:rPr>
        <w:t>广州交易集团有限公司（广州公共资源交易中心）</w:t>
      </w:r>
      <w:r>
        <w:rPr>
          <w:rFonts w:hint="eastAsia"/>
          <w:color w:val="auto"/>
          <w:sz w:val="24"/>
          <w:highlight w:val="none"/>
        </w:rPr>
        <w:t>网和广东省招标投标监管网公开。</w:t>
      </w:r>
    </w:p>
    <w:p w14:paraId="6490C1CF">
      <w:pPr>
        <w:numPr>
          <w:ilvl w:val="1"/>
          <w:numId w:val="16"/>
        </w:numPr>
        <w:spacing w:line="360" w:lineRule="auto"/>
        <w:ind w:left="1322"/>
        <w:jc w:val="left"/>
        <w:outlineLvl w:val="2"/>
        <w:rPr>
          <w:rFonts w:ascii="黑体" w:hAnsi="黑体" w:eastAsia="黑体"/>
          <w:b/>
          <w:color w:val="auto"/>
          <w:sz w:val="28"/>
          <w:szCs w:val="28"/>
          <w:highlight w:val="none"/>
        </w:rPr>
      </w:pPr>
      <w:bookmarkStart w:id="138" w:name="_Toc21787672"/>
      <w:bookmarkStart w:id="139" w:name="_Toc180758541"/>
      <w:bookmarkStart w:id="140" w:name="_Toc317"/>
      <w:r>
        <w:rPr>
          <w:rFonts w:hint="eastAsia" w:ascii="黑体" w:hAnsi="黑体" w:eastAsia="黑体"/>
          <w:b/>
          <w:color w:val="auto"/>
          <w:sz w:val="28"/>
          <w:szCs w:val="28"/>
          <w:highlight w:val="none"/>
        </w:rPr>
        <w:t>定标方式</w:t>
      </w:r>
      <w:bookmarkEnd w:id="138"/>
      <w:bookmarkEnd w:id="139"/>
      <w:bookmarkEnd w:id="140"/>
    </w:p>
    <w:p w14:paraId="307B4927">
      <w:pPr>
        <w:spacing w:line="360" w:lineRule="auto"/>
        <w:ind w:firstLine="480" w:firstLineChars="200"/>
        <w:jc w:val="left"/>
        <w:rPr>
          <w:color w:val="auto"/>
          <w:sz w:val="24"/>
          <w:highlight w:val="none"/>
        </w:rPr>
      </w:pPr>
      <w:r>
        <w:rPr>
          <w:rFonts w:hint="eastAsia"/>
          <w:color w:val="auto"/>
          <w:sz w:val="24"/>
          <w:highlight w:val="none"/>
        </w:rPr>
        <w:t>7.2.1除投标人须知前附表规定评标委员会直接确定中标人外，招标人依据评标委员会推荐的中标候选人确定中标人，评标委员会推荐中标候选人的人数见投标人须知前附表。</w:t>
      </w:r>
    </w:p>
    <w:p w14:paraId="6B3D119D">
      <w:pPr>
        <w:spacing w:line="360" w:lineRule="auto"/>
        <w:ind w:firstLine="480" w:firstLineChars="200"/>
        <w:jc w:val="left"/>
        <w:rPr>
          <w:color w:val="auto"/>
          <w:sz w:val="24"/>
          <w:highlight w:val="none"/>
        </w:rPr>
      </w:pPr>
      <w:r>
        <w:rPr>
          <w:rFonts w:hint="eastAsia"/>
          <w:color w:val="auto"/>
          <w:sz w:val="24"/>
          <w:highlight w:val="none"/>
        </w:rPr>
        <w:t>7.2.2 依法必须进行公开招标的项目，招标人应当确定排名第一的中标候选人为中标人。</w:t>
      </w:r>
    </w:p>
    <w:p w14:paraId="73919525">
      <w:pPr>
        <w:spacing w:line="360" w:lineRule="auto"/>
        <w:ind w:firstLine="480" w:firstLineChars="200"/>
        <w:jc w:val="left"/>
        <w:rPr>
          <w:color w:val="auto"/>
          <w:sz w:val="24"/>
          <w:highlight w:val="none"/>
        </w:rPr>
      </w:pPr>
      <w:r>
        <w:rPr>
          <w:rFonts w:hint="eastAsia"/>
          <w:color w:val="auto"/>
          <w:sz w:val="24"/>
          <w:highlight w:val="none"/>
        </w:rPr>
        <w:t>7.2.3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18C0E4A3">
      <w:pPr>
        <w:spacing w:line="360" w:lineRule="auto"/>
        <w:ind w:firstLine="480" w:firstLineChars="200"/>
        <w:jc w:val="left"/>
        <w:rPr>
          <w:color w:val="auto"/>
          <w:sz w:val="24"/>
          <w:highlight w:val="none"/>
        </w:rPr>
      </w:pPr>
      <w:r>
        <w:rPr>
          <w:rFonts w:hint="eastAsia"/>
          <w:color w:val="auto"/>
          <w:sz w:val="24"/>
          <w:highlight w:val="none"/>
        </w:rPr>
        <w:t>7.2.4 重新评标的，评标信息（含业绩、奖项等）仍以投标截止时投标人的信息为准。出现特殊情况需要延长投标有效期的，招标人以书面形式通知所有投标人延长投标有效期。投标人同意延长的</w:t>
      </w:r>
      <w:r>
        <w:rPr>
          <w:rFonts w:hint="eastAsia"/>
          <w:strike/>
          <w:color w:val="auto"/>
          <w:sz w:val="24"/>
          <w:highlight w:val="none"/>
        </w:rPr>
        <w:t>，应相应延长其投标保证金的有效期，</w:t>
      </w:r>
      <w:r>
        <w:rPr>
          <w:rFonts w:hint="eastAsia"/>
          <w:color w:val="auto"/>
          <w:sz w:val="24"/>
          <w:highlight w:val="none"/>
          <w:u w:val="single"/>
        </w:rPr>
        <w:t>但</w:t>
      </w:r>
      <w:r>
        <w:rPr>
          <w:rFonts w:hint="eastAsia"/>
          <w:color w:val="auto"/>
          <w:sz w:val="24"/>
          <w:highlight w:val="none"/>
        </w:rPr>
        <w:t>不得要求或被允许修改或撤销其投标文件；投标人拒绝延长的，其投标失效，</w:t>
      </w:r>
      <w:r>
        <w:rPr>
          <w:rFonts w:hint="eastAsia"/>
          <w:strike/>
          <w:color w:val="auto"/>
          <w:sz w:val="24"/>
          <w:highlight w:val="none"/>
        </w:rPr>
        <w:t>但投标人有权收回其投标保证金。</w:t>
      </w:r>
    </w:p>
    <w:p w14:paraId="25F96407">
      <w:pPr>
        <w:numPr>
          <w:ilvl w:val="1"/>
          <w:numId w:val="16"/>
        </w:numPr>
        <w:spacing w:line="360" w:lineRule="auto"/>
        <w:ind w:left="1322"/>
        <w:jc w:val="left"/>
        <w:outlineLvl w:val="2"/>
        <w:rPr>
          <w:rFonts w:ascii="黑体" w:hAnsi="黑体" w:eastAsia="黑体"/>
          <w:b/>
          <w:color w:val="auto"/>
          <w:sz w:val="28"/>
          <w:szCs w:val="28"/>
          <w:highlight w:val="none"/>
        </w:rPr>
      </w:pPr>
      <w:bookmarkStart w:id="141" w:name="_Toc180758542"/>
      <w:bookmarkStart w:id="142" w:name="_Toc21787673"/>
      <w:bookmarkStart w:id="143" w:name="_Toc23187"/>
      <w:r>
        <w:rPr>
          <w:rFonts w:hint="eastAsia" w:ascii="黑体" w:hAnsi="黑体" w:eastAsia="黑体"/>
          <w:b/>
          <w:color w:val="auto"/>
          <w:sz w:val="28"/>
          <w:szCs w:val="28"/>
          <w:highlight w:val="none"/>
        </w:rPr>
        <w:t>中标通知</w:t>
      </w:r>
      <w:bookmarkEnd w:id="141"/>
      <w:bookmarkEnd w:id="142"/>
      <w:bookmarkEnd w:id="143"/>
    </w:p>
    <w:p w14:paraId="5B7C70D7">
      <w:pPr>
        <w:snapToGrid w:val="0"/>
        <w:spacing w:line="360" w:lineRule="auto"/>
        <w:ind w:firstLine="480" w:firstLineChars="200"/>
        <w:rPr>
          <w:rFonts w:hint="eastAsia"/>
          <w:color w:val="auto"/>
          <w:sz w:val="24"/>
          <w:szCs w:val="24"/>
          <w:highlight w:val="none"/>
        </w:rPr>
      </w:pPr>
      <w:r>
        <w:rPr>
          <w:rFonts w:hint="eastAsia"/>
          <w:color w:val="auto"/>
          <w:sz w:val="24"/>
          <w:highlight w:val="none"/>
        </w:rPr>
        <w:t>7.3.1</w:t>
      </w:r>
      <w:r>
        <w:rPr>
          <w:rFonts w:hint="eastAsia" w:ascii="宋体" w:hAnsi="宋体"/>
          <w:color w:val="auto"/>
          <w:sz w:val="24"/>
          <w:highlight w:val="none"/>
        </w:rPr>
        <w:t>在法规规定的时间内，招标人以书面形式向中标人发出中标通知书。</w:t>
      </w:r>
      <w:r>
        <w:rPr>
          <w:rFonts w:hint="eastAsia"/>
          <w:color w:val="auto"/>
          <w:sz w:val="24"/>
          <w:highlight w:val="none"/>
        </w:rPr>
        <w:t>在</w:t>
      </w:r>
      <w:r>
        <w:rPr>
          <w:rFonts w:hint="eastAsia" w:ascii="宋体" w:hAnsi="宋体"/>
          <w:color w:val="auto"/>
          <w:sz w:val="24"/>
          <w:szCs w:val="24"/>
          <w:highlight w:val="none"/>
        </w:rPr>
        <w:t>广州交易集团有限公司（广州公共资源交易中心）网</w:t>
      </w:r>
      <w:r>
        <w:rPr>
          <w:rFonts w:hint="eastAsia" w:ascii="宋体" w:hAnsi="宋体" w:cs="宋体"/>
          <w:color w:val="auto"/>
          <w:sz w:val="24"/>
          <w:szCs w:val="24"/>
          <w:highlight w:val="none"/>
        </w:rPr>
        <w:t>和广东省招标投标监管网、</w:t>
      </w:r>
      <w:r>
        <w:rPr>
          <w:rFonts w:hint="eastAsia" w:ascii="宋体" w:hAnsi="宋体"/>
          <w:bCs/>
          <w:color w:val="auto"/>
          <w:sz w:val="24"/>
          <w:highlight w:val="none"/>
        </w:rPr>
        <w:t>中国招标投标公共服务平台（网址：http://www.cebpubservice.com/）、广州市增城区人民政府门户网站发布中标</w:t>
      </w:r>
      <w:r>
        <w:rPr>
          <w:rFonts w:hint="eastAsia"/>
          <w:color w:val="auto"/>
          <w:sz w:val="24"/>
          <w:highlight w:val="none"/>
        </w:rPr>
        <w:t>信息，视同将中标结果通知未中标的投标人。</w:t>
      </w:r>
    </w:p>
    <w:p w14:paraId="7CD8E517">
      <w:pPr>
        <w:spacing w:line="360" w:lineRule="auto"/>
        <w:ind w:firstLine="480" w:firstLineChars="200"/>
        <w:jc w:val="left"/>
        <w:rPr>
          <w:color w:val="auto"/>
          <w:sz w:val="24"/>
          <w:szCs w:val="24"/>
          <w:highlight w:val="none"/>
        </w:rPr>
      </w:pPr>
      <w:r>
        <w:rPr>
          <w:rFonts w:hint="eastAsia"/>
          <w:color w:val="auto"/>
          <w:sz w:val="24"/>
          <w:szCs w:val="24"/>
          <w:highlight w:val="none"/>
        </w:rPr>
        <w:t>7.3.2</w:t>
      </w:r>
      <w:r>
        <w:rPr>
          <w:rFonts w:hint="eastAsia" w:ascii="宋体" w:hAnsi="宋体" w:cs="宋体"/>
          <w:color w:val="auto"/>
          <w:sz w:val="24"/>
          <w:szCs w:val="24"/>
          <w:highlight w:val="none"/>
        </w:rPr>
        <w:t>中标通知书发出前，中标人应未被纳入失信联合惩戒名单，否则招标人将取消其中标资格。失信联合惩戒名单以“信用广州”网站公布的“黑名单”为准。</w:t>
      </w:r>
    </w:p>
    <w:p w14:paraId="1E25D051">
      <w:pPr>
        <w:numPr>
          <w:ilvl w:val="1"/>
          <w:numId w:val="16"/>
        </w:numPr>
        <w:spacing w:line="360" w:lineRule="auto"/>
        <w:ind w:left="1322"/>
        <w:jc w:val="left"/>
        <w:outlineLvl w:val="2"/>
        <w:rPr>
          <w:rFonts w:ascii="黑体" w:hAnsi="黑体" w:eastAsia="黑体"/>
          <w:b/>
          <w:color w:val="auto"/>
          <w:sz w:val="28"/>
          <w:szCs w:val="28"/>
          <w:highlight w:val="none"/>
        </w:rPr>
      </w:pPr>
      <w:bookmarkStart w:id="144" w:name="_Toc21787674"/>
      <w:bookmarkStart w:id="145" w:name="_Toc180758543"/>
      <w:bookmarkStart w:id="146" w:name="_Toc31248"/>
      <w:r>
        <w:rPr>
          <w:rFonts w:hint="eastAsia" w:ascii="黑体" w:hAnsi="黑体" w:eastAsia="黑体"/>
          <w:b/>
          <w:color w:val="auto"/>
          <w:sz w:val="28"/>
          <w:szCs w:val="28"/>
          <w:highlight w:val="none"/>
        </w:rPr>
        <w:t>履约担保</w:t>
      </w:r>
      <w:bookmarkEnd w:id="144"/>
      <w:bookmarkEnd w:id="145"/>
      <w:bookmarkEnd w:id="146"/>
    </w:p>
    <w:p w14:paraId="27633C81">
      <w:pPr>
        <w:spacing w:line="360" w:lineRule="auto"/>
        <w:ind w:firstLine="480" w:firstLineChars="200"/>
        <w:jc w:val="left"/>
        <w:rPr>
          <w:color w:val="auto"/>
          <w:sz w:val="24"/>
          <w:highlight w:val="none"/>
        </w:rPr>
      </w:pPr>
      <w:r>
        <w:rPr>
          <w:rFonts w:hint="eastAsia" w:ascii="宋体" w:hAnsi="宋体"/>
          <w:color w:val="auto"/>
          <w:sz w:val="24"/>
          <w:szCs w:val="24"/>
          <w:highlight w:val="none"/>
          <w:u w:val="single"/>
        </w:rPr>
        <w:t>在签订正式合同前，中标人必须按“第四章合同条款”规定或者事先经过招标人书面认可的履约担保格式向招标人提交履约担保，否则视为放弃中标资格，给招标人造成的损失的，中标人应予以赔偿</w:t>
      </w:r>
      <w:r>
        <w:rPr>
          <w:rFonts w:hint="eastAsia" w:ascii="宋体" w:hAnsi="宋体"/>
          <w:color w:val="auto"/>
          <w:sz w:val="24"/>
          <w:highlight w:val="none"/>
        </w:rPr>
        <w:t>。</w:t>
      </w:r>
    </w:p>
    <w:p w14:paraId="6DC1010E">
      <w:pPr>
        <w:numPr>
          <w:ilvl w:val="1"/>
          <w:numId w:val="16"/>
        </w:numPr>
        <w:spacing w:line="360" w:lineRule="auto"/>
        <w:ind w:left="1322"/>
        <w:jc w:val="left"/>
        <w:outlineLvl w:val="2"/>
        <w:rPr>
          <w:rFonts w:ascii="黑体" w:hAnsi="黑体" w:eastAsia="黑体"/>
          <w:b/>
          <w:color w:val="auto"/>
          <w:sz w:val="28"/>
          <w:szCs w:val="28"/>
          <w:highlight w:val="none"/>
        </w:rPr>
      </w:pPr>
      <w:bookmarkStart w:id="147" w:name="_Toc21787675"/>
      <w:bookmarkStart w:id="148" w:name="_Toc27846"/>
      <w:bookmarkStart w:id="149" w:name="_Toc180758544"/>
      <w:r>
        <w:rPr>
          <w:rFonts w:hint="eastAsia" w:ascii="黑体" w:hAnsi="黑体" w:eastAsia="黑体"/>
          <w:b/>
          <w:color w:val="auto"/>
          <w:sz w:val="28"/>
          <w:szCs w:val="28"/>
          <w:highlight w:val="none"/>
        </w:rPr>
        <w:t>签订合同</w:t>
      </w:r>
      <w:bookmarkEnd w:id="147"/>
      <w:bookmarkEnd w:id="148"/>
      <w:bookmarkEnd w:id="149"/>
    </w:p>
    <w:p w14:paraId="7266488D">
      <w:pPr>
        <w:spacing w:line="360" w:lineRule="auto"/>
        <w:ind w:firstLine="480" w:firstLineChars="200"/>
        <w:jc w:val="left"/>
        <w:rPr>
          <w:rFonts w:hint="eastAsia"/>
          <w:color w:val="auto"/>
          <w:sz w:val="24"/>
          <w:highlight w:val="none"/>
        </w:rPr>
      </w:pPr>
      <w:r>
        <w:rPr>
          <w:rFonts w:hint="eastAsia"/>
          <w:color w:val="auto"/>
          <w:sz w:val="24"/>
          <w:highlight w:val="none"/>
        </w:rPr>
        <w:t>7.5.1招标人和中标人应当自中标通知书发出之日起30天内，根据招标文件和中标人的投标文件订立书面合同，并通过电子交易系统与中标人在线签订合同。中标人无正当理由拒签合同的，招标人取消其中标资格，</w:t>
      </w:r>
      <w:r>
        <w:rPr>
          <w:rFonts w:hint="eastAsia"/>
          <w:strike/>
          <w:color w:val="auto"/>
          <w:sz w:val="24"/>
          <w:highlight w:val="none"/>
        </w:rPr>
        <w:t>其投标保证金不予退还</w:t>
      </w:r>
      <w:r>
        <w:rPr>
          <w:rFonts w:hint="eastAsia"/>
          <w:color w:val="auto"/>
          <w:sz w:val="24"/>
          <w:highlight w:val="none"/>
        </w:rPr>
        <w:t>；给招标人造成的损失</w:t>
      </w:r>
      <w:r>
        <w:rPr>
          <w:rFonts w:hint="eastAsia"/>
          <w:strike/>
          <w:color w:val="auto"/>
          <w:sz w:val="24"/>
          <w:highlight w:val="none"/>
        </w:rPr>
        <w:t>超过投标保证金数额</w:t>
      </w:r>
      <w:r>
        <w:rPr>
          <w:rFonts w:hint="eastAsia"/>
          <w:color w:val="auto"/>
          <w:sz w:val="24"/>
          <w:highlight w:val="none"/>
        </w:rPr>
        <w:t>的，中标人还应</w:t>
      </w:r>
      <w:r>
        <w:rPr>
          <w:rFonts w:hint="eastAsia"/>
          <w:strike/>
          <w:color w:val="auto"/>
          <w:sz w:val="24"/>
          <w:highlight w:val="none"/>
        </w:rPr>
        <w:t>当对超过部分</w:t>
      </w:r>
      <w:r>
        <w:rPr>
          <w:rFonts w:hint="eastAsia"/>
          <w:color w:val="auto"/>
          <w:sz w:val="24"/>
          <w:highlight w:val="none"/>
        </w:rPr>
        <w:t>予以赔偿。</w:t>
      </w:r>
    </w:p>
    <w:p w14:paraId="2C4FB32E">
      <w:pPr>
        <w:spacing w:line="360" w:lineRule="auto"/>
        <w:ind w:firstLine="480" w:firstLineChars="200"/>
        <w:jc w:val="left"/>
        <w:rPr>
          <w:rFonts w:ascii="宋体" w:hAnsi="宋体"/>
          <w:color w:val="auto"/>
          <w:sz w:val="24"/>
          <w:highlight w:val="none"/>
        </w:rPr>
      </w:pPr>
      <w:r>
        <w:rPr>
          <w:rFonts w:hint="eastAsia"/>
          <w:color w:val="auto"/>
          <w:sz w:val="24"/>
          <w:highlight w:val="none"/>
        </w:rPr>
        <w:t>7.5.2 发出中标通知书后，招标人无正当理由拒签合同</w:t>
      </w:r>
      <w:r>
        <w:rPr>
          <w:rFonts w:hint="eastAsia"/>
          <w:strike/>
          <w:color w:val="auto"/>
          <w:sz w:val="24"/>
          <w:highlight w:val="none"/>
        </w:rPr>
        <w:t>的，招标人向中标人退还投标保证金；给</w:t>
      </w:r>
      <w:r>
        <w:rPr>
          <w:rFonts w:hint="eastAsia"/>
          <w:color w:val="auto"/>
          <w:sz w:val="24"/>
          <w:highlight w:val="none"/>
        </w:rPr>
        <w:t>中标人造成损失的，还应当赔偿损失。</w:t>
      </w:r>
      <w:bookmarkStart w:id="150" w:name="_Toc17362594"/>
      <w:bookmarkEnd w:id="150"/>
    </w:p>
    <w:p w14:paraId="385A1E6D">
      <w:pPr>
        <w:pStyle w:val="3"/>
        <w:rPr>
          <w:color w:val="auto"/>
          <w:highlight w:val="none"/>
        </w:rPr>
      </w:pPr>
      <w:bookmarkStart w:id="151" w:name="_Toc26128"/>
      <w:bookmarkStart w:id="152" w:name="_Toc180758545"/>
      <w:bookmarkStart w:id="153" w:name="_Toc21787676"/>
      <w:r>
        <w:rPr>
          <w:rFonts w:hint="eastAsia"/>
          <w:color w:val="auto"/>
          <w:highlight w:val="none"/>
        </w:rPr>
        <w:t>纪律和监督</w:t>
      </w:r>
      <w:bookmarkEnd w:id="151"/>
      <w:bookmarkEnd w:id="152"/>
      <w:bookmarkEnd w:id="153"/>
    </w:p>
    <w:p w14:paraId="675D14AD">
      <w:pPr>
        <w:numPr>
          <w:ilvl w:val="1"/>
          <w:numId w:val="17"/>
        </w:numPr>
        <w:spacing w:line="360" w:lineRule="auto"/>
        <w:jc w:val="left"/>
        <w:outlineLvl w:val="2"/>
        <w:rPr>
          <w:rFonts w:ascii="黑体" w:hAnsi="黑体" w:eastAsia="黑体"/>
          <w:b/>
          <w:color w:val="auto"/>
          <w:sz w:val="28"/>
          <w:szCs w:val="28"/>
          <w:highlight w:val="none"/>
        </w:rPr>
      </w:pPr>
      <w:bookmarkStart w:id="154" w:name="_Toc180758546"/>
      <w:bookmarkStart w:id="155" w:name="_Toc30497"/>
      <w:bookmarkStart w:id="156" w:name="_Toc21787677"/>
      <w:r>
        <w:rPr>
          <w:rFonts w:hint="eastAsia" w:ascii="黑体" w:hAnsi="黑体" w:eastAsia="黑体"/>
          <w:b/>
          <w:color w:val="auto"/>
          <w:sz w:val="28"/>
          <w:szCs w:val="28"/>
          <w:highlight w:val="none"/>
        </w:rPr>
        <w:t>对招标人的纪律要求</w:t>
      </w:r>
      <w:bookmarkEnd w:id="154"/>
      <w:bookmarkEnd w:id="155"/>
      <w:bookmarkEnd w:id="156"/>
    </w:p>
    <w:p w14:paraId="387C5696">
      <w:pPr>
        <w:spacing w:line="360" w:lineRule="auto"/>
        <w:ind w:firstLine="480" w:firstLineChars="200"/>
        <w:jc w:val="left"/>
        <w:rPr>
          <w:color w:val="auto"/>
          <w:sz w:val="24"/>
          <w:highlight w:val="none"/>
        </w:rPr>
      </w:pPr>
      <w:r>
        <w:rPr>
          <w:rFonts w:hint="eastAsia"/>
          <w:color w:val="auto"/>
          <w:sz w:val="24"/>
          <w:highlight w:val="none"/>
        </w:rPr>
        <w:t>招标人不得泄漏招标投标活动中应当保密的情况和资料，不得与投标人串通损害国家利益、社会公共利益或者他人合法权益。</w:t>
      </w:r>
    </w:p>
    <w:p w14:paraId="76E46F25">
      <w:pPr>
        <w:numPr>
          <w:ilvl w:val="1"/>
          <w:numId w:val="17"/>
        </w:numPr>
        <w:spacing w:line="360" w:lineRule="auto"/>
        <w:jc w:val="left"/>
        <w:outlineLvl w:val="2"/>
        <w:rPr>
          <w:rFonts w:ascii="黑体" w:hAnsi="黑体" w:eastAsia="黑体"/>
          <w:b/>
          <w:color w:val="auto"/>
          <w:sz w:val="28"/>
          <w:szCs w:val="28"/>
          <w:highlight w:val="none"/>
        </w:rPr>
      </w:pPr>
      <w:bookmarkStart w:id="157" w:name="_Toc21787678"/>
      <w:bookmarkStart w:id="158" w:name="_Toc14733"/>
      <w:bookmarkStart w:id="159" w:name="_Toc180758547"/>
      <w:r>
        <w:rPr>
          <w:rFonts w:hint="eastAsia" w:ascii="黑体" w:hAnsi="黑体" w:eastAsia="黑体"/>
          <w:b/>
          <w:color w:val="auto"/>
          <w:sz w:val="28"/>
          <w:szCs w:val="28"/>
          <w:highlight w:val="none"/>
        </w:rPr>
        <w:t>对投标人的纪律要求</w:t>
      </w:r>
      <w:bookmarkEnd w:id="157"/>
      <w:bookmarkEnd w:id="158"/>
      <w:bookmarkEnd w:id="159"/>
    </w:p>
    <w:p w14:paraId="2F4B5074">
      <w:pPr>
        <w:spacing w:line="360" w:lineRule="auto"/>
        <w:ind w:firstLine="480" w:firstLineChars="200"/>
        <w:jc w:val="left"/>
        <w:rPr>
          <w:color w:val="auto"/>
          <w:sz w:val="24"/>
          <w:highlight w:val="none"/>
        </w:rPr>
      </w:pPr>
      <w:r>
        <w:rPr>
          <w:rFonts w:hint="eastAsia"/>
          <w:color w:val="auto"/>
          <w:sz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68BCC592">
      <w:pPr>
        <w:numPr>
          <w:ilvl w:val="1"/>
          <w:numId w:val="17"/>
        </w:numPr>
        <w:spacing w:line="360" w:lineRule="auto"/>
        <w:jc w:val="left"/>
        <w:outlineLvl w:val="2"/>
        <w:rPr>
          <w:rFonts w:ascii="黑体" w:hAnsi="黑体" w:eastAsia="黑体"/>
          <w:b/>
          <w:color w:val="auto"/>
          <w:sz w:val="28"/>
          <w:szCs w:val="28"/>
          <w:highlight w:val="none"/>
        </w:rPr>
      </w:pPr>
      <w:bookmarkStart w:id="160" w:name="_Toc180758548"/>
      <w:bookmarkStart w:id="161" w:name="_Toc21787679"/>
      <w:bookmarkStart w:id="162" w:name="_Toc3102"/>
      <w:r>
        <w:rPr>
          <w:rFonts w:hint="eastAsia" w:ascii="黑体" w:hAnsi="黑体" w:eastAsia="黑体"/>
          <w:b/>
          <w:color w:val="auto"/>
          <w:sz w:val="28"/>
          <w:szCs w:val="28"/>
          <w:highlight w:val="none"/>
        </w:rPr>
        <w:t>对评标委员会成员的纪律要求</w:t>
      </w:r>
      <w:bookmarkEnd w:id="160"/>
      <w:bookmarkEnd w:id="161"/>
      <w:bookmarkEnd w:id="162"/>
    </w:p>
    <w:p w14:paraId="42905C80">
      <w:pPr>
        <w:spacing w:line="360" w:lineRule="auto"/>
        <w:ind w:firstLine="480" w:firstLineChars="200"/>
        <w:jc w:val="left"/>
        <w:rPr>
          <w:color w:val="auto"/>
          <w:sz w:val="24"/>
          <w:highlight w:val="none"/>
        </w:rPr>
      </w:pPr>
      <w:r>
        <w:rPr>
          <w:rFonts w:hint="eastAsia"/>
          <w:color w:val="auto"/>
          <w:sz w:val="24"/>
          <w:highlight w:val="none"/>
        </w:rPr>
        <w:t>评标委员会成员不得收受他人的财物或者其他好处，不得向他人透</w:t>
      </w:r>
      <w:r>
        <w:rPr>
          <w:rFonts w:hint="eastAsia"/>
          <w:color w:val="auto"/>
          <w:sz w:val="24"/>
          <w:highlight w:val="none"/>
          <w:lang w:val="en-US" w:eastAsia="zh-CN"/>
        </w:rPr>
        <w:t>露</w:t>
      </w:r>
      <w:r>
        <w:rPr>
          <w:rFonts w:hint="eastAsia"/>
          <w:color w:val="auto"/>
          <w:sz w:val="24"/>
          <w:highlight w:val="none"/>
        </w:rPr>
        <w:t>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1752E6C8">
      <w:pPr>
        <w:numPr>
          <w:ilvl w:val="1"/>
          <w:numId w:val="17"/>
        </w:numPr>
        <w:spacing w:line="360" w:lineRule="auto"/>
        <w:jc w:val="left"/>
        <w:outlineLvl w:val="2"/>
        <w:rPr>
          <w:rFonts w:ascii="黑体" w:hAnsi="黑体" w:eastAsia="黑体"/>
          <w:b/>
          <w:color w:val="auto"/>
          <w:sz w:val="28"/>
          <w:szCs w:val="28"/>
          <w:highlight w:val="none"/>
        </w:rPr>
      </w:pPr>
      <w:bookmarkStart w:id="163" w:name="_Toc180758549"/>
      <w:bookmarkStart w:id="164" w:name="_Toc21787680"/>
      <w:bookmarkStart w:id="165" w:name="_Toc5858"/>
      <w:r>
        <w:rPr>
          <w:rFonts w:hint="eastAsia" w:ascii="黑体" w:hAnsi="黑体" w:eastAsia="黑体"/>
          <w:b/>
          <w:color w:val="auto"/>
          <w:sz w:val="28"/>
          <w:szCs w:val="28"/>
          <w:highlight w:val="none"/>
        </w:rPr>
        <w:t>对与评标活动有关的工作人员的纪律要求</w:t>
      </w:r>
      <w:bookmarkEnd w:id="163"/>
      <w:bookmarkEnd w:id="164"/>
      <w:bookmarkEnd w:id="165"/>
    </w:p>
    <w:p w14:paraId="7AC1312F">
      <w:pPr>
        <w:spacing w:line="360" w:lineRule="auto"/>
        <w:ind w:firstLine="480" w:firstLineChars="200"/>
        <w:jc w:val="left"/>
        <w:rPr>
          <w:color w:val="auto"/>
          <w:sz w:val="24"/>
          <w:highlight w:val="none"/>
        </w:rPr>
      </w:pPr>
      <w:r>
        <w:rPr>
          <w:rFonts w:hint="eastAsia"/>
          <w:color w:val="auto"/>
          <w:sz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2D649054">
      <w:pPr>
        <w:numPr>
          <w:ilvl w:val="1"/>
          <w:numId w:val="17"/>
        </w:numPr>
        <w:spacing w:line="360" w:lineRule="auto"/>
        <w:jc w:val="left"/>
        <w:outlineLvl w:val="2"/>
        <w:rPr>
          <w:rFonts w:ascii="黑体" w:hAnsi="黑体" w:eastAsia="黑体"/>
          <w:b/>
          <w:color w:val="auto"/>
          <w:sz w:val="28"/>
          <w:szCs w:val="28"/>
          <w:highlight w:val="none"/>
        </w:rPr>
      </w:pPr>
      <w:bookmarkStart w:id="166" w:name="_Toc21787681"/>
      <w:bookmarkStart w:id="167" w:name="_Toc180758550"/>
      <w:bookmarkStart w:id="168" w:name="_Toc16226"/>
      <w:r>
        <w:rPr>
          <w:rFonts w:hint="eastAsia" w:ascii="黑体" w:hAnsi="黑体" w:eastAsia="黑体"/>
          <w:b/>
          <w:color w:val="auto"/>
          <w:sz w:val="28"/>
          <w:szCs w:val="28"/>
          <w:highlight w:val="none"/>
        </w:rPr>
        <w:t>投诉处理</w:t>
      </w:r>
      <w:bookmarkEnd w:id="166"/>
      <w:bookmarkEnd w:id="167"/>
      <w:bookmarkEnd w:id="168"/>
    </w:p>
    <w:p w14:paraId="03EC4779">
      <w:pPr>
        <w:spacing w:line="360" w:lineRule="auto"/>
        <w:ind w:firstLine="480" w:firstLineChars="200"/>
        <w:jc w:val="left"/>
        <w:rPr>
          <w:color w:val="auto"/>
          <w:sz w:val="24"/>
          <w:highlight w:val="none"/>
        </w:rPr>
      </w:pPr>
      <w:r>
        <w:rPr>
          <w:rFonts w:hint="eastAsia"/>
          <w:color w:val="auto"/>
          <w:sz w:val="24"/>
          <w:highlight w:val="none"/>
        </w:rPr>
        <w:t>投标人和其他利害关系人认为本次招标活动违反法律、法规和规章规定的，有权向投标人须知前附表规定的行政监督部门投诉。就招标文件、开标、评标结果进行投诉的，投标人和其他利害关系人应当先向招标人提出异议。</w:t>
      </w:r>
    </w:p>
    <w:p w14:paraId="70CFA0FF">
      <w:pPr>
        <w:spacing w:line="360" w:lineRule="auto"/>
        <w:ind w:firstLine="480" w:firstLineChars="200"/>
        <w:jc w:val="left"/>
        <w:rPr>
          <w:color w:val="auto"/>
          <w:sz w:val="24"/>
          <w:highlight w:val="none"/>
        </w:rPr>
      </w:pPr>
      <w:r>
        <w:rPr>
          <w:rFonts w:hint="eastAsia"/>
          <w:color w:val="auto"/>
          <w:sz w:val="24"/>
          <w:highlight w:val="none"/>
        </w:rPr>
        <w:t>8.5.1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14:paraId="3476CBBC">
      <w:pPr>
        <w:spacing w:line="360" w:lineRule="auto"/>
        <w:ind w:firstLine="480" w:firstLineChars="200"/>
        <w:jc w:val="left"/>
        <w:rPr>
          <w:color w:val="auto"/>
          <w:sz w:val="24"/>
          <w:highlight w:val="none"/>
        </w:rPr>
      </w:pPr>
      <w:r>
        <w:rPr>
          <w:rFonts w:hint="eastAsia"/>
          <w:color w:val="auto"/>
          <w:sz w:val="24"/>
          <w:highlight w:val="none"/>
        </w:rPr>
        <w:t>8.5.2在招投标过程中，投标人（含中标候选人）被投诉且经查实存在招标投标活动中列明被禁止行为的，招标人将提请行政主管部门，并按《中华人民共和国招标投标法实施条例》、《工程建设项目招标投标活动投诉处理办法》</w:t>
      </w:r>
      <w:r>
        <w:rPr>
          <w:rFonts w:hint="eastAsia"/>
          <w:color w:val="auto"/>
          <w:sz w:val="24"/>
          <w:szCs w:val="24"/>
          <w:highlight w:val="none"/>
        </w:rPr>
        <w:t>和</w:t>
      </w:r>
      <w:r>
        <w:rPr>
          <w:rFonts w:hint="eastAsia" w:ascii="宋体" w:hAnsi="宋体" w:cs="宋体"/>
          <w:color w:val="auto"/>
          <w:sz w:val="24"/>
          <w:szCs w:val="24"/>
          <w:highlight w:val="none"/>
        </w:rPr>
        <w:t>《广州市水务局关于进一步加强水务工程项目招标投标活动监督管理工作的通知》（穗水建管〔2023〕78号）</w:t>
      </w:r>
      <w:r>
        <w:rPr>
          <w:rFonts w:hint="eastAsia"/>
          <w:color w:val="auto"/>
          <w:sz w:val="24"/>
          <w:highlight w:val="none"/>
        </w:rPr>
        <w:t>等进行处理，同时将记录到市水务工程企业信息库及诚信评价管理系统。</w:t>
      </w:r>
    </w:p>
    <w:p w14:paraId="388EDD2B">
      <w:pPr>
        <w:spacing w:line="360" w:lineRule="auto"/>
        <w:ind w:firstLine="480" w:firstLineChars="200"/>
        <w:jc w:val="left"/>
        <w:rPr>
          <w:color w:val="auto"/>
          <w:sz w:val="24"/>
          <w:highlight w:val="none"/>
        </w:rPr>
      </w:pPr>
      <w:r>
        <w:rPr>
          <w:rFonts w:hint="eastAsia"/>
          <w:color w:val="auto"/>
          <w:sz w:val="24"/>
          <w:highlight w:val="none"/>
        </w:rPr>
        <w:t>在招投标过程中，投诉人投诉事项经查实不属实的恶意投诉，招标人将提请行政主管部门，并按《中华人民共和国招标投标法实施条例》、《工程建设项目招标投标活动投诉处理办法》</w:t>
      </w:r>
      <w:r>
        <w:rPr>
          <w:rFonts w:hint="eastAsia"/>
          <w:color w:val="auto"/>
          <w:sz w:val="24"/>
          <w:szCs w:val="24"/>
          <w:highlight w:val="none"/>
        </w:rPr>
        <w:t>和</w:t>
      </w:r>
      <w:r>
        <w:rPr>
          <w:rFonts w:hint="eastAsia" w:ascii="宋体" w:hAnsi="宋体" w:cs="宋体"/>
          <w:color w:val="auto"/>
          <w:sz w:val="24"/>
          <w:szCs w:val="24"/>
          <w:highlight w:val="none"/>
        </w:rPr>
        <w:t>《广州市水务局关于进一步加强水务工程项目招标投标活动监督管理工作的通知》（穗水建管〔2023〕78号）</w:t>
      </w:r>
      <w:r>
        <w:rPr>
          <w:rFonts w:hint="eastAsia"/>
          <w:color w:val="auto"/>
          <w:sz w:val="24"/>
          <w:highlight w:val="none"/>
        </w:rPr>
        <w:t>等进行处理，同时将记录到市水务工程企业信息库及诚信评价管理系统。</w:t>
      </w:r>
    </w:p>
    <w:p w14:paraId="5C8E5308">
      <w:pPr>
        <w:pStyle w:val="3"/>
        <w:rPr>
          <w:color w:val="auto"/>
          <w:highlight w:val="none"/>
        </w:rPr>
      </w:pPr>
      <w:bookmarkStart w:id="169" w:name="_Toc21787682"/>
      <w:bookmarkStart w:id="170" w:name="_Toc15082"/>
      <w:bookmarkStart w:id="171" w:name="_Toc180758551"/>
      <w:r>
        <w:rPr>
          <w:rFonts w:hint="eastAsia"/>
          <w:color w:val="auto"/>
          <w:highlight w:val="none"/>
        </w:rPr>
        <w:t>需要补充的其他内容</w:t>
      </w:r>
      <w:bookmarkEnd w:id="169"/>
      <w:bookmarkEnd w:id="170"/>
      <w:bookmarkEnd w:id="171"/>
    </w:p>
    <w:p w14:paraId="40B113B2">
      <w:pPr>
        <w:spacing w:line="360" w:lineRule="auto"/>
        <w:ind w:firstLine="480" w:firstLineChars="200"/>
        <w:jc w:val="left"/>
        <w:rPr>
          <w:color w:val="auto"/>
          <w:sz w:val="24"/>
          <w:highlight w:val="none"/>
        </w:rPr>
      </w:pPr>
      <w:r>
        <w:rPr>
          <w:rFonts w:hint="eastAsia"/>
          <w:color w:val="auto"/>
          <w:sz w:val="24"/>
          <w:highlight w:val="none"/>
        </w:rPr>
        <w:t>需要补充的其他内容：见投标人须知前附表。</w:t>
      </w:r>
    </w:p>
    <w:p w14:paraId="48DE5D1C">
      <w:pPr>
        <w:spacing w:line="360" w:lineRule="auto"/>
        <w:jc w:val="left"/>
        <w:outlineLvl w:val="2"/>
        <w:rPr>
          <w:color w:val="auto"/>
          <w:sz w:val="24"/>
          <w:highlight w:val="none"/>
        </w:rPr>
        <w:sectPr>
          <w:footerReference r:id="rId3" w:type="default"/>
          <w:pgSz w:w="11906" w:h="16838"/>
          <w:pgMar w:top="1440" w:right="1800" w:bottom="1440" w:left="1800" w:header="851" w:footer="992" w:gutter="0"/>
          <w:pgNumType w:start="1"/>
          <w:cols w:space="720" w:num="1"/>
          <w:docGrid w:type="lines" w:linePitch="312" w:charSpace="0"/>
        </w:sectPr>
      </w:pPr>
    </w:p>
    <w:p w14:paraId="076A21FC">
      <w:pPr>
        <w:spacing w:line="360" w:lineRule="auto"/>
        <w:jc w:val="left"/>
        <w:outlineLvl w:val="2"/>
        <w:rPr>
          <w:rFonts w:ascii="黑体" w:hAnsi="黑体" w:eastAsia="黑体"/>
          <w:color w:val="auto"/>
          <w:sz w:val="28"/>
          <w:szCs w:val="27"/>
          <w:highlight w:val="none"/>
        </w:rPr>
      </w:pPr>
      <w:bookmarkStart w:id="172" w:name="_Toc21787683"/>
      <w:bookmarkStart w:id="173" w:name="_Toc180758552"/>
      <w:bookmarkStart w:id="174" w:name="_Toc11800"/>
      <w:r>
        <w:rPr>
          <w:rFonts w:hint="eastAsia" w:ascii="黑体" w:hAnsi="黑体" w:eastAsia="黑体"/>
          <w:color w:val="auto"/>
          <w:sz w:val="28"/>
          <w:szCs w:val="27"/>
          <w:highlight w:val="none"/>
        </w:rPr>
        <w:t>附件1：开标记录表</w:t>
      </w:r>
      <w:bookmarkEnd w:id="172"/>
      <w:bookmarkEnd w:id="173"/>
      <w:bookmarkEnd w:id="174"/>
    </w:p>
    <w:p w14:paraId="456F56CF">
      <w:pPr>
        <w:spacing w:line="400" w:lineRule="exact"/>
        <w:jc w:val="center"/>
        <w:rPr>
          <w:rFonts w:ascii="宋体" w:hAnsi="宋体"/>
          <w:b/>
          <w:color w:val="auto"/>
          <w:sz w:val="28"/>
          <w:szCs w:val="28"/>
          <w:highlight w:val="none"/>
        </w:rPr>
      </w:pPr>
      <w:r>
        <w:rPr>
          <w:rFonts w:hint="eastAsia" w:ascii="宋体" w:hAnsi="宋体"/>
          <w:b/>
          <w:color w:val="auto"/>
          <w:sz w:val="28"/>
          <w:szCs w:val="28"/>
          <w:highlight w:val="none"/>
        </w:rPr>
        <w:t>（项目名称）开标记录表</w:t>
      </w:r>
    </w:p>
    <w:p w14:paraId="45228256">
      <w:pPr>
        <w:spacing w:line="500" w:lineRule="exact"/>
        <w:rPr>
          <w:rFonts w:ascii="宋体" w:hAnsi="宋体"/>
          <w:color w:val="auto"/>
          <w:highlight w:val="none"/>
        </w:rPr>
      </w:pPr>
      <w:r>
        <w:rPr>
          <w:rFonts w:hint="eastAsia" w:ascii="宋体" w:hAnsi="宋体"/>
          <w:color w:val="auto"/>
          <w:szCs w:val="21"/>
          <w:highlight w:val="none"/>
        </w:rPr>
        <w:t>评标基准价下浮率：                开标时间：  年   月   日    时    分</w:t>
      </w:r>
    </w:p>
    <w:tbl>
      <w:tblPr>
        <w:tblStyle w:val="42"/>
        <w:tblW w:w="0" w:type="auto"/>
        <w:tblInd w:w="0" w:type="dxa"/>
        <w:tblLayout w:type="fixed"/>
        <w:tblCellMar>
          <w:top w:w="0" w:type="dxa"/>
          <w:left w:w="108" w:type="dxa"/>
          <w:bottom w:w="0" w:type="dxa"/>
          <w:right w:w="108" w:type="dxa"/>
        </w:tblCellMar>
      </w:tblPr>
      <w:tblGrid>
        <w:gridCol w:w="392"/>
        <w:gridCol w:w="2126"/>
        <w:gridCol w:w="851"/>
        <w:gridCol w:w="1134"/>
        <w:gridCol w:w="1278"/>
        <w:gridCol w:w="1418"/>
        <w:gridCol w:w="991"/>
        <w:gridCol w:w="1134"/>
        <w:gridCol w:w="1132"/>
        <w:gridCol w:w="1132"/>
        <w:gridCol w:w="1172"/>
        <w:gridCol w:w="1564"/>
      </w:tblGrid>
      <w:tr w14:paraId="6CA0F2BA">
        <w:tblPrEx>
          <w:tblCellMar>
            <w:top w:w="0" w:type="dxa"/>
            <w:left w:w="108" w:type="dxa"/>
            <w:bottom w:w="0" w:type="dxa"/>
            <w:right w:w="108" w:type="dxa"/>
          </w:tblCellMar>
        </w:tblPrEx>
        <w:trPr>
          <w:trHeight w:val="1988" w:hRule="atLeast"/>
        </w:trPr>
        <w:tc>
          <w:tcPr>
            <w:tcW w:w="392" w:type="dxa"/>
            <w:tcBorders>
              <w:top w:val="single" w:color="auto" w:sz="4" w:space="0"/>
              <w:left w:val="single" w:color="auto" w:sz="4" w:space="0"/>
              <w:right w:val="single" w:color="auto" w:sz="4" w:space="0"/>
            </w:tcBorders>
            <w:noWrap w:val="0"/>
            <w:vAlign w:val="center"/>
          </w:tcPr>
          <w:p w14:paraId="164A907B">
            <w:pPr>
              <w:spacing w:line="500" w:lineRule="exact"/>
              <w:jc w:val="center"/>
              <w:rPr>
                <w:rFonts w:ascii="宋体" w:hAnsi="宋体"/>
                <w:color w:val="auto"/>
                <w:szCs w:val="21"/>
                <w:highlight w:val="none"/>
              </w:rPr>
            </w:pPr>
            <w:r>
              <w:rPr>
                <w:rFonts w:ascii="宋体" w:hAnsi="宋体"/>
                <w:color w:val="auto"/>
                <w:szCs w:val="21"/>
                <w:highlight w:val="none"/>
              </w:rPr>
              <w:t>序号</w:t>
            </w:r>
          </w:p>
        </w:tc>
        <w:tc>
          <w:tcPr>
            <w:tcW w:w="2126" w:type="dxa"/>
            <w:tcBorders>
              <w:top w:val="single" w:color="auto" w:sz="4" w:space="0"/>
              <w:left w:val="single" w:color="auto" w:sz="4" w:space="0"/>
              <w:right w:val="single" w:color="auto" w:sz="4" w:space="0"/>
            </w:tcBorders>
            <w:noWrap w:val="0"/>
            <w:vAlign w:val="center"/>
          </w:tcPr>
          <w:p w14:paraId="09E11759">
            <w:pPr>
              <w:spacing w:line="500" w:lineRule="exact"/>
              <w:jc w:val="center"/>
              <w:rPr>
                <w:rFonts w:ascii="宋体" w:hAnsi="宋体"/>
                <w:color w:val="auto"/>
                <w:szCs w:val="21"/>
                <w:highlight w:val="none"/>
              </w:rPr>
            </w:pPr>
            <w:r>
              <w:rPr>
                <w:rFonts w:ascii="宋体" w:hAnsi="宋体"/>
                <w:color w:val="auto"/>
                <w:szCs w:val="21"/>
                <w:highlight w:val="none"/>
              </w:rPr>
              <w:t>投标人</w:t>
            </w:r>
          </w:p>
        </w:tc>
        <w:tc>
          <w:tcPr>
            <w:tcW w:w="851" w:type="dxa"/>
            <w:tcBorders>
              <w:top w:val="single" w:color="auto" w:sz="4" w:space="0"/>
              <w:left w:val="single" w:color="auto" w:sz="4" w:space="0"/>
              <w:right w:val="single" w:color="auto" w:sz="4" w:space="0"/>
            </w:tcBorders>
            <w:noWrap w:val="0"/>
            <w:vAlign w:val="center"/>
          </w:tcPr>
          <w:p w14:paraId="209F78E5">
            <w:pPr>
              <w:spacing w:line="500" w:lineRule="exact"/>
              <w:jc w:val="center"/>
              <w:rPr>
                <w:rFonts w:ascii="宋体" w:hAnsi="宋体"/>
                <w:color w:val="auto"/>
                <w:szCs w:val="21"/>
                <w:highlight w:val="none"/>
              </w:rPr>
            </w:pPr>
            <w:r>
              <w:rPr>
                <w:rFonts w:hint="eastAsia" w:ascii="宋体" w:hAnsi="宋体"/>
                <w:color w:val="auto"/>
                <w:szCs w:val="21"/>
                <w:highlight w:val="none"/>
              </w:rPr>
              <w:t>解密情况</w:t>
            </w:r>
          </w:p>
        </w:tc>
        <w:tc>
          <w:tcPr>
            <w:tcW w:w="1134" w:type="dxa"/>
            <w:tcBorders>
              <w:top w:val="single" w:color="auto" w:sz="4" w:space="0"/>
              <w:left w:val="single" w:color="auto" w:sz="4" w:space="0"/>
              <w:right w:val="single" w:color="auto" w:sz="4" w:space="0"/>
            </w:tcBorders>
            <w:noWrap w:val="0"/>
            <w:vAlign w:val="center"/>
          </w:tcPr>
          <w:p w14:paraId="42C58990">
            <w:pPr>
              <w:spacing w:line="500" w:lineRule="exact"/>
              <w:jc w:val="center"/>
              <w:rPr>
                <w:rFonts w:ascii="宋体" w:hAnsi="宋体"/>
                <w:strike/>
                <w:color w:val="auto"/>
                <w:szCs w:val="21"/>
                <w:highlight w:val="none"/>
              </w:rPr>
            </w:pPr>
            <w:r>
              <w:rPr>
                <w:rFonts w:ascii="宋体" w:hAnsi="宋体"/>
                <w:strike/>
                <w:color w:val="auto"/>
                <w:szCs w:val="21"/>
                <w:highlight w:val="none"/>
              </w:rPr>
              <w:t>投标保证金</w:t>
            </w:r>
          </w:p>
        </w:tc>
        <w:tc>
          <w:tcPr>
            <w:tcW w:w="1278" w:type="dxa"/>
            <w:tcBorders>
              <w:top w:val="single" w:color="auto" w:sz="4" w:space="0"/>
              <w:left w:val="single" w:color="auto" w:sz="4" w:space="0"/>
              <w:right w:val="single" w:color="auto" w:sz="4" w:space="0"/>
            </w:tcBorders>
            <w:noWrap w:val="0"/>
            <w:vAlign w:val="center"/>
          </w:tcPr>
          <w:p w14:paraId="6F735CFB">
            <w:pPr>
              <w:spacing w:line="500" w:lineRule="exact"/>
              <w:jc w:val="center"/>
              <w:rPr>
                <w:rFonts w:ascii="宋体" w:hAnsi="宋体"/>
                <w:color w:val="auto"/>
                <w:szCs w:val="21"/>
                <w:highlight w:val="none"/>
              </w:rPr>
            </w:pPr>
            <w:r>
              <w:rPr>
                <w:rFonts w:ascii="宋体" w:hAnsi="宋体"/>
                <w:color w:val="auto"/>
                <w:szCs w:val="21"/>
                <w:highlight w:val="none"/>
              </w:rPr>
              <w:t>投标报价（元）</w:t>
            </w:r>
          </w:p>
        </w:tc>
        <w:tc>
          <w:tcPr>
            <w:tcW w:w="1418" w:type="dxa"/>
            <w:tcBorders>
              <w:top w:val="single" w:color="auto" w:sz="4" w:space="0"/>
              <w:left w:val="single" w:color="auto" w:sz="4" w:space="0"/>
              <w:right w:val="single" w:color="auto" w:sz="4" w:space="0"/>
            </w:tcBorders>
            <w:noWrap w:val="0"/>
            <w:vAlign w:val="center"/>
          </w:tcPr>
          <w:p w14:paraId="1482738B">
            <w:pPr>
              <w:spacing w:line="500" w:lineRule="exact"/>
              <w:jc w:val="center"/>
              <w:rPr>
                <w:rFonts w:ascii="宋体" w:hAnsi="宋体"/>
                <w:color w:val="auto"/>
                <w:szCs w:val="21"/>
                <w:highlight w:val="none"/>
              </w:rPr>
            </w:pPr>
            <w:r>
              <w:rPr>
                <w:rFonts w:ascii="宋体" w:hAnsi="宋体"/>
                <w:color w:val="auto"/>
                <w:szCs w:val="21"/>
                <w:highlight w:val="none"/>
              </w:rPr>
              <w:t>质量</w:t>
            </w:r>
            <w:r>
              <w:rPr>
                <w:rFonts w:hint="eastAsia" w:ascii="宋体" w:hAnsi="宋体"/>
                <w:color w:val="auto"/>
                <w:szCs w:val="21"/>
                <w:highlight w:val="none"/>
              </w:rPr>
              <w:t>标准</w:t>
            </w:r>
          </w:p>
        </w:tc>
        <w:tc>
          <w:tcPr>
            <w:tcW w:w="991" w:type="dxa"/>
            <w:tcBorders>
              <w:top w:val="single" w:color="auto" w:sz="4" w:space="0"/>
              <w:left w:val="single" w:color="auto" w:sz="4" w:space="0"/>
              <w:right w:val="single" w:color="auto" w:sz="4" w:space="0"/>
            </w:tcBorders>
            <w:noWrap w:val="0"/>
            <w:vAlign w:val="center"/>
          </w:tcPr>
          <w:p w14:paraId="3C08786A">
            <w:pPr>
              <w:spacing w:line="500" w:lineRule="exact"/>
              <w:jc w:val="center"/>
              <w:rPr>
                <w:rFonts w:ascii="宋体" w:hAnsi="宋体"/>
                <w:color w:val="auto"/>
                <w:szCs w:val="21"/>
                <w:highlight w:val="none"/>
              </w:rPr>
            </w:pPr>
            <w:r>
              <w:rPr>
                <w:rFonts w:ascii="宋体" w:hAnsi="宋体"/>
                <w:color w:val="auto"/>
                <w:szCs w:val="21"/>
                <w:highlight w:val="none"/>
              </w:rPr>
              <w:t>工期</w:t>
            </w:r>
            <w:r>
              <w:rPr>
                <w:rFonts w:hint="eastAsia" w:ascii="宋体" w:hAnsi="宋体"/>
                <w:color w:val="auto"/>
                <w:szCs w:val="21"/>
                <w:highlight w:val="none"/>
              </w:rPr>
              <w:t>（天）</w:t>
            </w:r>
          </w:p>
        </w:tc>
        <w:tc>
          <w:tcPr>
            <w:tcW w:w="1134" w:type="dxa"/>
            <w:tcBorders>
              <w:top w:val="single" w:color="auto" w:sz="4" w:space="0"/>
              <w:left w:val="single" w:color="auto" w:sz="4" w:space="0"/>
              <w:right w:val="single" w:color="auto" w:sz="4" w:space="0"/>
            </w:tcBorders>
            <w:noWrap w:val="0"/>
            <w:vAlign w:val="center"/>
          </w:tcPr>
          <w:p w14:paraId="76183FF0">
            <w:pPr>
              <w:spacing w:line="500" w:lineRule="exact"/>
              <w:jc w:val="center"/>
              <w:rPr>
                <w:rFonts w:ascii="宋体" w:hAnsi="宋体"/>
                <w:color w:val="auto"/>
                <w:szCs w:val="21"/>
                <w:highlight w:val="none"/>
              </w:rPr>
            </w:pPr>
            <w:r>
              <w:rPr>
                <w:rFonts w:hint="eastAsia" w:ascii="宋体" w:hAnsi="宋体"/>
                <w:color w:val="auto"/>
                <w:szCs w:val="21"/>
                <w:highlight w:val="none"/>
              </w:rPr>
              <w:t>项目负责人投报登记时</w:t>
            </w:r>
          </w:p>
        </w:tc>
        <w:tc>
          <w:tcPr>
            <w:tcW w:w="1132" w:type="dxa"/>
            <w:tcBorders>
              <w:top w:val="single" w:color="auto" w:sz="4" w:space="0"/>
              <w:left w:val="single" w:color="auto" w:sz="4" w:space="0"/>
              <w:right w:val="single" w:color="auto" w:sz="4" w:space="0"/>
            </w:tcBorders>
            <w:noWrap w:val="0"/>
            <w:vAlign w:val="center"/>
          </w:tcPr>
          <w:p w14:paraId="795C1E7B">
            <w:pPr>
              <w:spacing w:line="500" w:lineRule="exact"/>
              <w:jc w:val="center"/>
              <w:rPr>
                <w:rFonts w:ascii="宋体" w:hAnsi="宋体"/>
                <w:color w:val="auto"/>
                <w:szCs w:val="21"/>
                <w:highlight w:val="none"/>
              </w:rPr>
            </w:pPr>
            <w:r>
              <w:rPr>
                <w:rFonts w:hint="eastAsia" w:ascii="宋体" w:hAnsi="宋体"/>
                <w:color w:val="auto"/>
                <w:szCs w:val="21"/>
                <w:highlight w:val="none"/>
              </w:rPr>
              <w:t>项目负责人投标时</w:t>
            </w:r>
          </w:p>
        </w:tc>
        <w:tc>
          <w:tcPr>
            <w:tcW w:w="1132" w:type="dxa"/>
            <w:tcBorders>
              <w:top w:val="single" w:color="auto" w:sz="4" w:space="0"/>
              <w:left w:val="single" w:color="auto" w:sz="4" w:space="0"/>
              <w:right w:val="single" w:color="auto" w:sz="4" w:space="0"/>
            </w:tcBorders>
            <w:noWrap w:val="0"/>
            <w:vAlign w:val="center"/>
          </w:tcPr>
          <w:p w14:paraId="47583FFA">
            <w:pPr>
              <w:spacing w:line="500" w:lineRule="exact"/>
              <w:jc w:val="center"/>
              <w:rPr>
                <w:rFonts w:ascii="宋体" w:hAnsi="宋体"/>
                <w:color w:val="auto"/>
                <w:szCs w:val="21"/>
                <w:highlight w:val="none"/>
              </w:rPr>
            </w:pPr>
            <w:r>
              <w:rPr>
                <w:rFonts w:hint="eastAsia" w:ascii="宋体" w:hAnsi="宋体"/>
                <w:color w:val="auto"/>
                <w:szCs w:val="21"/>
                <w:highlight w:val="none"/>
              </w:rPr>
              <w:t>专职安全员投报登记时</w:t>
            </w:r>
          </w:p>
        </w:tc>
        <w:tc>
          <w:tcPr>
            <w:tcW w:w="1172" w:type="dxa"/>
            <w:tcBorders>
              <w:top w:val="single" w:color="auto" w:sz="4" w:space="0"/>
              <w:left w:val="single" w:color="auto" w:sz="4" w:space="0"/>
              <w:right w:val="single" w:color="auto" w:sz="4" w:space="0"/>
            </w:tcBorders>
            <w:noWrap w:val="0"/>
            <w:vAlign w:val="center"/>
          </w:tcPr>
          <w:p w14:paraId="39B93E43">
            <w:pPr>
              <w:spacing w:line="500" w:lineRule="exact"/>
              <w:jc w:val="center"/>
              <w:rPr>
                <w:rFonts w:ascii="宋体" w:hAnsi="宋体"/>
                <w:color w:val="auto"/>
                <w:szCs w:val="21"/>
                <w:highlight w:val="none"/>
              </w:rPr>
            </w:pPr>
            <w:r>
              <w:rPr>
                <w:rFonts w:hint="eastAsia" w:ascii="宋体" w:hAnsi="宋体"/>
                <w:color w:val="auto"/>
                <w:szCs w:val="21"/>
                <w:highlight w:val="none"/>
              </w:rPr>
              <w:t>专职安全员投标时</w:t>
            </w:r>
          </w:p>
        </w:tc>
        <w:tc>
          <w:tcPr>
            <w:tcW w:w="1564" w:type="dxa"/>
            <w:tcBorders>
              <w:top w:val="single" w:color="auto" w:sz="4" w:space="0"/>
              <w:left w:val="single" w:color="auto" w:sz="4" w:space="0"/>
              <w:right w:val="single" w:color="auto" w:sz="4" w:space="0"/>
            </w:tcBorders>
            <w:noWrap w:val="0"/>
            <w:vAlign w:val="center"/>
          </w:tcPr>
          <w:p w14:paraId="05D1ECC9">
            <w:pPr>
              <w:spacing w:line="500" w:lineRule="exact"/>
              <w:jc w:val="center"/>
              <w:rPr>
                <w:rFonts w:ascii="宋体" w:hAnsi="宋体"/>
                <w:color w:val="auto"/>
                <w:szCs w:val="21"/>
                <w:highlight w:val="none"/>
              </w:rPr>
            </w:pPr>
            <w:r>
              <w:rPr>
                <w:rFonts w:hint="eastAsia" w:ascii="宋体" w:hAnsi="宋体"/>
                <w:color w:val="auto"/>
                <w:szCs w:val="21"/>
                <w:highlight w:val="none"/>
              </w:rPr>
              <w:t>备注</w:t>
            </w:r>
          </w:p>
        </w:tc>
      </w:tr>
      <w:tr w14:paraId="5B914998">
        <w:tblPrEx>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noWrap w:val="0"/>
            <w:vAlign w:val="top"/>
          </w:tcPr>
          <w:p w14:paraId="5C579026">
            <w:pPr>
              <w:spacing w:line="500" w:lineRule="exact"/>
              <w:jc w:val="left"/>
              <w:rPr>
                <w:rFonts w:ascii="宋体" w:hAnsi="宋体"/>
                <w:color w:val="auto"/>
                <w:szCs w:val="21"/>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top"/>
          </w:tcPr>
          <w:p w14:paraId="35C5DC71">
            <w:pPr>
              <w:spacing w:line="500" w:lineRule="exact"/>
              <w:jc w:val="left"/>
              <w:rPr>
                <w:rFonts w:ascii="宋体" w:hAnsi="宋体"/>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14:paraId="05D7A41D">
            <w:pPr>
              <w:spacing w:line="50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C5C022A">
            <w:pPr>
              <w:spacing w:line="500" w:lineRule="exact"/>
              <w:jc w:val="left"/>
              <w:rPr>
                <w:rFonts w:ascii="宋体" w:hAnsi="宋体"/>
                <w:strike/>
                <w:color w:val="auto"/>
                <w:szCs w:val="21"/>
                <w:highlight w:val="none"/>
              </w:rPr>
            </w:pPr>
          </w:p>
        </w:tc>
        <w:tc>
          <w:tcPr>
            <w:tcW w:w="1278" w:type="dxa"/>
            <w:tcBorders>
              <w:top w:val="single" w:color="auto" w:sz="4" w:space="0"/>
              <w:left w:val="single" w:color="auto" w:sz="4" w:space="0"/>
              <w:bottom w:val="single" w:color="auto" w:sz="4" w:space="0"/>
              <w:right w:val="single" w:color="auto" w:sz="4" w:space="0"/>
            </w:tcBorders>
            <w:noWrap w:val="0"/>
            <w:vAlign w:val="top"/>
          </w:tcPr>
          <w:p w14:paraId="45ADEDDF">
            <w:pPr>
              <w:spacing w:line="500" w:lineRule="exact"/>
              <w:jc w:val="left"/>
              <w:rPr>
                <w:rFonts w:ascii="宋体" w:hAnsi="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4F755B54">
            <w:pPr>
              <w:spacing w:line="500" w:lineRule="exact"/>
              <w:jc w:val="left"/>
              <w:rPr>
                <w:rFonts w:ascii="宋体" w:hAnsi="宋体"/>
                <w:color w:val="auto"/>
                <w:szCs w:val="21"/>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top"/>
          </w:tcPr>
          <w:p w14:paraId="5F9E1FD6">
            <w:pPr>
              <w:spacing w:line="50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3147C39">
            <w:pPr>
              <w:spacing w:line="500" w:lineRule="exact"/>
              <w:jc w:val="left"/>
              <w:rPr>
                <w:rFonts w:ascii="宋体" w:hAnsi="宋体"/>
                <w:color w:val="auto"/>
                <w:szCs w:val="21"/>
                <w:highlight w:val="none"/>
              </w:rPr>
            </w:pPr>
          </w:p>
        </w:tc>
        <w:tc>
          <w:tcPr>
            <w:tcW w:w="1132" w:type="dxa"/>
            <w:tcBorders>
              <w:top w:val="single" w:color="auto" w:sz="4" w:space="0"/>
              <w:left w:val="single" w:color="auto" w:sz="4" w:space="0"/>
              <w:bottom w:val="single" w:color="auto" w:sz="4" w:space="0"/>
              <w:right w:val="single" w:color="auto" w:sz="4" w:space="0"/>
            </w:tcBorders>
            <w:noWrap w:val="0"/>
            <w:vAlign w:val="top"/>
          </w:tcPr>
          <w:p w14:paraId="28858259">
            <w:pPr>
              <w:spacing w:line="500" w:lineRule="exact"/>
              <w:jc w:val="left"/>
              <w:rPr>
                <w:rFonts w:ascii="宋体" w:hAnsi="宋体"/>
                <w:color w:val="auto"/>
                <w:szCs w:val="21"/>
                <w:highlight w:val="none"/>
              </w:rPr>
            </w:pPr>
          </w:p>
        </w:tc>
        <w:tc>
          <w:tcPr>
            <w:tcW w:w="1132" w:type="dxa"/>
            <w:tcBorders>
              <w:top w:val="single" w:color="auto" w:sz="4" w:space="0"/>
              <w:left w:val="single" w:color="auto" w:sz="4" w:space="0"/>
              <w:bottom w:val="single" w:color="auto" w:sz="4" w:space="0"/>
              <w:right w:val="single" w:color="auto" w:sz="4" w:space="0"/>
            </w:tcBorders>
            <w:noWrap w:val="0"/>
            <w:vAlign w:val="top"/>
          </w:tcPr>
          <w:p w14:paraId="668FA03B">
            <w:pPr>
              <w:spacing w:line="500" w:lineRule="exact"/>
              <w:jc w:val="left"/>
              <w:rPr>
                <w:rFonts w:ascii="宋体" w:hAnsi="宋体"/>
                <w:color w:val="auto"/>
                <w:szCs w:val="21"/>
                <w:highlight w:val="none"/>
              </w:rPr>
            </w:pPr>
          </w:p>
        </w:tc>
        <w:tc>
          <w:tcPr>
            <w:tcW w:w="1172" w:type="dxa"/>
            <w:tcBorders>
              <w:top w:val="single" w:color="auto" w:sz="4" w:space="0"/>
              <w:left w:val="single" w:color="auto" w:sz="4" w:space="0"/>
              <w:bottom w:val="single" w:color="auto" w:sz="4" w:space="0"/>
              <w:right w:val="single" w:color="auto" w:sz="4" w:space="0"/>
            </w:tcBorders>
            <w:noWrap w:val="0"/>
            <w:vAlign w:val="top"/>
          </w:tcPr>
          <w:p w14:paraId="4D1CEEF7">
            <w:pPr>
              <w:spacing w:line="500" w:lineRule="exact"/>
              <w:jc w:val="left"/>
              <w:rPr>
                <w:rFonts w:ascii="宋体" w:hAnsi="宋体"/>
                <w:color w:val="auto"/>
                <w:szCs w:val="21"/>
                <w:highlight w:val="none"/>
              </w:rPr>
            </w:pPr>
          </w:p>
        </w:tc>
        <w:tc>
          <w:tcPr>
            <w:tcW w:w="1564" w:type="dxa"/>
            <w:tcBorders>
              <w:top w:val="single" w:color="auto" w:sz="4" w:space="0"/>
              <w:left w:val="single" w:color="auto" w:sz="4" w:space="0"/>
              <w:bottom w:val="single" w:color="auto" w:sz="4" w:space="0"/>
              <w:right w:val="single" w:color="auto" w:sz="4" w:space="0"/>
            </w:tcBorders>
            <w:noWrap w:val="0"/>
            <w:vAlign w:val="top"/>
          </w:tcPr>
          <w:p w14:paraId="5563152A">
            <w:pPr>
              <w:spacing w:line="500" w:lineRule="exact"/>
              <w:jc w:val="left"/>
              <w:rPr>
                <w:rFonts w:ascii="宋体" w:hAnsi="宋体"/>
                <w:color w:val="auto"/>
                <w:szCs w:val="21"/>
                <w:highlight w:val="none"/>
              </w:rPr>
            </w:pPr>
          </w:p>
        </w:tc>
      </w:tr>
      <w:tr w14:paraId="64B7DCC4">
        <w:tblPrEx>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noWrap w:val="0"/>
            <w:vAlign w:val="top"/>
          </w:tcPr>
          <w:p w14:paraId="33930E33">
            <w:pPr>
              <w:spacing w:line="500" w:lineRule="exact"/>
              <w:jc w:val="left"/>
              <w:rPr>
                <w:rFonts w:ascii="宋体" w:hAnsi="宋体"/>
                <w:color w:val="auto"/>
                <w:szCs w:val="21"/>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top"/>
          </w:tcPr>
          <w:p w14:paraId="0107BCA7">
            <w:pPr>
              <w:spacing w:line="500" w:lineRule="exact"/>
              <w:jc w:val="left"/>
              <w:rPr>
                <w:rFonts w:ascii="宋体" w:hAnsi="宋体"/>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14:paraId="05C478FE">
            <w:pPr>
              <w:spacing w:line="50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2112729">
            <w:pPr>
              <w:spacing w:line="500" w:lineRule="exact"/>
              <w:jc w:val="left"/>
              <w:rPr>
                <w:rFonts w:ascii="宋体" w:hAnsi="宋体"/>
                <w:strike/>
                <w:color w:val="auto"/>
                <w:szCs w:val="21"/>
                <w:highlight w:val="none"/>
              </w:rPr>
            </w:pPr>
          </w:p>
        </w:tc>
        <w:tc>
          <w:tcPr>
            <w:tcW w:w="1278" w:type="dxa"/>
            <w:tcBorders>
              <w:top w:val="single" w:color="auto" w:sz="4" w:space="0"/>
              <w:left w:val="single" w:color="auto" w:sz="4" w:space="0"/>
              <w:bottom w:val="single" w:color="auto" w:sz="4" w:space="0"/>
              <w:right w:val="single" w:color="auto" w:sz="4" w:space="0"/>
            </w:tcBorders>
            <w:noWrap w:val="0"/>
            <w:vAlign w:val="top"/>
          </w:tcPr>
          <w:p w14:paraId="4662DA96">
            <w:pPr>
              <w:spacing w:line="500" w:lineRule="exact"/>
              <w:jc w:val="left"/>
              <w:rPr>
                <w:rFonts w:ascii="宋体" w:hAnsi="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171F15F7">
            <w:pPr>
              <w:spacing w:line="500" w:lineRule="exact"/>
              <w:jc w:val="left"/>
              <w:rPr>
                <w:rFonts w:ascii="宋体" w:hAnsi="宋体"/>
                <w:color w:val="auto"/>
                <w:szCs w:val="21"/>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top"/>
          </w:tcPr>
          <w:p w14:paraId="64F8EFCE">
            <w:pPr>
              <w:spacing w:line="50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896D50C">
            <w:pPr>
              <w:spacing w:line="500" w:lineRule="exact"/>
              <w:jc w:val="left"/>
              <w:rPr>
                <w:rFonts w:ascii="宋体" w:hAnsi="宋体"/>
                <w:color w:val="auto"/>
                <w:szCs w:val="21"/>
                <w:highlight w:val="none"/>
              </w:rPr>
            </w:pPr>
          </w:p>
        </w:tc>
        <w:tc>
          <w:tcPr>
            <w:tcW w:w="1132" w:type="dxa"/>
            <w:tcBorders>
              <w:top w:val="single" w:color="auto" w:sz="4" w:space="0"/>
              <w:left w:val="single" w:color="auto" w:sz="4" w:space="0"/>
              <w:bottom w:val="single" w:color="auto" w:sz="4" w:space="0"/>
              <w:right w:val="single" w:color="auto" w:sz="4" w:space="0"/>
            </w:tcBorders>
            <w:noWrap w:val="0"/>
            <w:vAlign w:val="top"/>
          </w:tcPr>
          <w:p w14:paraId="12FD32A5">
            <w:pPr>
              <w:spacing w:line="500" w:lineRule="exact"/>
              <w:jc w:val="left"/>
              <w:rPr>
                <w:rFonts w:ascii="宋体" w:hAnsi="宋体"/>
                <w:color w:val="auto"/>
                <w:szCs w:val="21"/>
                <w:highlight w:val="none"/>
              </w:rPr>
            </w:pPr>
          </w:p>
        </w:tc>
        <w:tc>
          <w:tcPr>
            <w:tcW w:w="1132" w:type="dxa"/>
            <w:tcBorders>
              <w:top w:val="single" w:color="auto" w:sz="4" w:space="0"/>
              <w:left w:val="single" w:color="auto" w:sz="4" w:space="0"/>
              <w:bottom w:val="single" w:color="auto" w:sz="4" w:space="0"/>
              <w:right w:val="single" w:color="auto" w:sz="4" w:space="0"/>
            </w:tcBorders>
            <w:noWrap w:val="0"/>
            <w:vAlign w:val="top"/>
          </w:tcPr>
          <w:p w14:paraId="26248FA2">
            <w:pPr>
              <w:spacing w:line="500" w:lineRule="exact"/>
              <w:jc w:val="left"/>
              <w:rPr>
                <w:rFonts w:ascii="宋体" w:hAnsi="宋体"/>
                <w:color w:val="auto"/>
                <w:szCs w:val="21"/>
                <w:highlight w:val="none"/>
              </w:rPr>
            </w:pPr>
          </w:p>
        </w:tc>
        <w:tc>
          <w:tcPr>
            <w:tcW w:w="1172" w:type="dxa"/>
            <w:tcBorders>
              <w:top w:val="single" w:color="auto" w:sz="4" w:space="0"/>
              <w:left w:val="single" w:color="auto" w:sz="4" w:space="0"/>
              <w:bottom w:val="single" w:color="auto" w:sz="4" w:space="0"/>
              <w:right w:val="single" w:color="auto" w:sz="4" w:space="0"/>
            </w:tcBorders>
            <w:noWrap w:val="0"/>
            <w:vAlign w:val="top"/>
          </w:tcPr>
          <w:p w14:paraId="21A5A98E">
            <w:pPr>
              <w:spacing w:line="500" w:lineRule="exact"/>
              <w:jc w:val="left"/>
              <w:rPr>
                <w:rFonts w:ascii="宋体" w:hAnsi="宋体"/>
                <w:color w:val="auto"/>
                <w:szCs w:val="21"/>
                <w:highlight w:val="none"/>
              </w:rPr>
            </w:pPr>
          </w:p>
        </w:tc>
        <w:tc>
          <w:tcPr>
            <w:tcW w:w="1564" w:type="dxa"/>
            <w:tcBorders>
              <w:top w:val="single" w:color="auto" w:sz="4" w:space="0"/>
              <w:left w:val="single" w:color="auto" w:sz="4" w:space="0"/>
              <w:bottom w:val="single" w:color="auto" w:sz="4" w:space="0"/>
              <w:right w:val="single" w:color="auto" w:sz="4" w:space="0"/>
            </w:tcBorders>
            <w:noWrap w:val="0"/>
            <w:vAlign w:val="top"/>
          </w:tcPr>
          <w:p w14:paraId="4BC56CE9">
            <w:pPr>
              <w:spacing w:line="500" w:lineRule="exact"/>
              <w:jc w:val="left"/>
              <w:rPr>
                <w:rFonts w:ascii="宋体" w:hAnsi="宋体"/>
                <w:color w:val="auto"/>
                <w:szCs w:val="21"/>
                <w:highlight w:val="none"/>
              </w:rPr>
            </w:pPr>
          </w:p>
        </w:tc>
      </w:tr>
      <w:tr w14:paraId="6CC4A7A9">
        <w:tblPrEx>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noWrap w:val="0"/>
            <w:vAlign w:val="top"/>
          </w:tcPr>
          <w:p w14:paraId="6B9E4072">
            <w:pPr>
              <w:spacing w:line="500" w:lineRule="exact"/>
              <w:jc w:val="left"/>
              <w:rPr>
                <w:rFonts w:ascii="宋体" w:hAnsi="宋体"/>
                <w:color w:val="auto"/>
                <w:szCs w:val="21"/>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top"/>
          </w:tcPr>
          <w:p w14:paraId="0C9A0157">
            <w:pPr>
              <w:spacing w:line="500" w:lineRule="exact"/>
              <w:jc w:val="left"/>
              <w:rPr>
                <w:rFonts w:ascii="宋体" w:hAnsi="宋体"/>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14:paraId="38B6F317">
            <w:pPr>
              <w:spacing w:line="50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8B9BCE9">
            <w:pPr>
              <w:spacing w:line="500" w:lineRule="exact"/>
              <w:jc w:val="left"/>
              <w:rPr>
                <w:rFonts w:ascii="宋体" w:hAnsi="宋体"/>
                <w:strike/>
                <w:color w:val="auto"/>
                <w:szCs w:val="21"/>
                <w:highlight w:val="none"/>
              </w:rPr>
            </w:pPr>
          </w:p>
        </w:tc>
        <w:tc>
          <w:tcPr>
            <w:tcW w:w="1278" w:type="dxa"/>
            <w:tcBorders>
              <w:top w:val="single" w:color="auto" w:sz="4" w:space="0"/>
              <w:left w:val="single" w:color="auto" w:sz="4" w:space="0"/>
              <w:bottom w:val="single" w:color="auto" w:sz="4" w:space="0"/>
              <w:right w:val="single" w:color="auto" w:sz="4" w:space="0"/>
            </w:tcBorders>
            <w:noWrap w:val="0"/>
            <w:vAlign w:val="top"/>
          </w:tcPr>
          <w:p w14:paraId="0D9C7194">
            <w:pPr>
              <w:spacing w:line="500" w:lineRule="exact"/>
              <w:jc w:val="left"/>
              <w:rPr>
                <w:rFonts w:ascii="宋体" w:hAnsi="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70A511D9">
            <w:pPr>
              <w:spacing w:line="500" w:lineRule="exact"/>
              <w:jc w:val="left"/>
              <w:rPr>
                <w:rFonts w:ascii="宋体" w:hAnsi="宋体"/>
                <w:color w:val="auto"/>
                <w:szCs w:val="21"/>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top"/>
          </w:tcPr>
          <w:p w14:paraId="13AE9CFC">
            <w:pPr>
              <w:spacing w:line="50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F666063">
            <w:pPr>
              <w:spacing w:line="500" w:lineRule="exact"/>
              <w:jc w:val="left"/>
              <w:rPr>
                <w:rFonts w:ascii="宋体" w:hAnsi="宋体"/>
                <w:color w:val="auto"/>
                <w:szCs w:val="21"/>
                <w:highlight w:val="none"/>
              </w:rPr>
            </w:pPr>
          </w:p>
        </w:tc>
        <w:tc>
          <w:tcPr>
            <w:tcW w:w="1132" w:type="dxa"/>
            <w:tcBorders>
              <w:top w:val="single" w:color="auto" w:sz="4" w:space="0"/>
              <w:left w:val="single" w:color="auto" w:sz="4" w:space="0"/>
              <w:bottom w:val="single" w:color="auto" w:sz="4" w:space="0"/>
              <w:right w:val="single" w:color="auto" w:sz="4" w:space="0"/>
            </w:tcBorders>
            <w:noWrap w:val="0"/>
            <w:vAlign w:val="top"/>
          </w:tcPr>
          <w:p w14:paraId="5D8106AB">
            <w:pPr>
              <w:spacing w:line="500" w:lineRule="exact"/>
              <w:jc w:val="left"/>
              <w:rPr>
                <w:rFonts w:ascii="宋体" w:hAnsi="宋体"/>
                <w:color w:val="auto"/>
                <w:szCs w:val="21"/>
                <w:highlight w:val="none"/>
              </w:rPr>
            </w:pPr>
          </w:p>
        </w:tc>
        <w:tc>
          <w:tcPr>
            <w:tcW w:w="1132" w:type="dxa"/>
            <w:tcBorders>
              <w:top w:val="single" w:color="auto" w:sz="4" w:space="0"/>
              <w:left w:val="single" w:color="auto" w:sz="4" w:space="0"/>
              <w:bottom w:val="single" w:color="auto" w:sz="4" w:space="0"/>
              <w:right w:val="single" w:color="auto" w:sz="4" w:space="0"/>
            </w:tcBorders>
            <w:noWrap w:val="0"/>
            <w:vAlign w:val="top"/>
          </w:tcPr>
          <w:p w14:paraId="35B08FB8">
            <w:pPr>
              <w:spacing w:line="500" w:lineRule="exact"/>
              <w:jc w:val="left"/>
              <w:rPr>
                <w:rFonts w:ascii="宋体" w:hAnsi="宋体"/>
                <w:color w:val="auto"/>
                <w:szCs w:val="21"/>
                <w:highlight w:val="none"/>
              </w:rPr>
            </w:pPr>
          </w:p>
        </w:tc>
        <w:tc>
          <w:tcPr>
            <w:tcW w:w="1172" w:type="dxa"/>
            <w:tcBorders>
              <w:top w:val="single" w:color="auto" w:sz="4" w:space="0"/>
              <w:left w:val="single" w:color="auto" w:sz="4" w:space="0"/>
              <w:bottom w:val="single" w:color="auto" w:sz="4" w:space="0"/>
              <w:right w:val="single" w:color="auto" w:sz="4" w:space="0"/>
            </w:tcBorders>
            <w:noWrap w:val="0"/>
            <w:vAlign w:val="top"/>
          </w:tcPr>
          <w:p w14:paraId="75348CCF">
            <w:pPr>
              <w:spacing w:line="500" w:lineRule="exact"/>
              <w:jc w:val="left"/>
              <w:rPr>
                <w:rFonts w:ascii="宋体" w:hAnsi="宋体"/>
                <w:color w:val="auto"/>
                <w:szCs w:val="21"/>
                <w:highlight w:val="none"/>
              </w:rPr>
            </w:pPr>
          </w:p>
        </w:tc>
        <w:tc>
          <w:tcPr>
            <w:tcW w:w="1564" w:type="dxa"/>
            <w:tcBorders>
              <w:top w:val="single" w:color="auto" w:sz="4" w:space="0"/>
              <w:left w:val="single" w:color="auto" w:sz="4" w:space="0"/>
              <w:bottom w:val="single" w:color="auto" w:sz="4" w:space="0"/>
              <w:right w:val="single" w:color="auto" w:sz="4" w:space="0"/>
            </w:tcBorders>
            <w:noWrap w:val="0"/>
            <w:vAlign w:val="top"/>
          </w:tcPr>
          <w:p w14:paraId="71D9C6E2">
            <w:pPr>
              <w:spacing w:line="500" w:lineRule="exact"/>
              <w:jc w:val="left"/>
              <w:rPr>
                <w:rFonts w:ascii="宋体" w:hAnsi="宋体"/>
                <w:color w:val="auto"/>
                <w:szCs w:val="21"/>
                <w:highlight w:val="none"/>
              </w:rPr>
            </w:pPr>
          </w:p>
        </w:tc>
      </w:tr>
      <w:tr w14:paraId="78658805">
        <w:tblPrEx>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noWrap w:val="0"/>
            <w:vAlign w:val="top"/>
          </w:tcPr>
          <w:p w14:paraId="295E8C09">
            <w:pPr>
              <w:spacing w:line="500" w:lineRule="exact"/>
              <w:jc w:val="left"/>
              <w:rPr>
                <w:rFonts w:ascii="宋体" w:hAnsi="宋体"/>
                <w:color w:val="auto"/>
                <w:szCs w:val="21"/>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top"/>
          </w:tcPr>
          <w:p w14:paraId="25D7D95B">
            <w:pPr>
              <w:spacing w:line="500" w:lineRule="exact"/>
              <w:jc w:val="left"/>
              <w:rPr>
                <w:rFonts w:ascii="宋体" w:hAnsi="宋体"/>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14:paraId="27286694">
            <w:pPr>
              <w:spacing w:line="50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A5520F6">
            <w:pPr>
              <w:spacing w:line="500" w:lineRule="exact"/>
              <w:jc w:val="left"/>
              <w:rPr>
                <w:rFonts w:ascii="宋体" w:hAnsi="宋体"/>
                <w:strike/>
                <w:color w:val="auto"/>
                <w:szCs w:val="21"/>
                <w:highlight w:val="none"/>
              </w:rPr>
            </w:pPr>
          </w:p>
        </w:tc>
        <w:tc>
          <w:tcPr>
            <w:tcW w:w="1278" w:type="dxa"/>
            <w:tcBorders>
              <w:top w:val="single" w:color="auto" w:sz="4" w:space="0"/>
              <w:left w:val="single" w:color="auto" w:sz="4" w:space="0"/>
              <w:bottom w:val="single" w:color="auto" w:sz="4" w:space="0"/>
              <w:right w:val="single" w:color="auto" w:sz="4" w:space="0"/>
            </w:tcBorders>
            <w:noWrap w:val="0"/>
            <w:vAlign w:val="top"/>
          </w:tcPr>
          <w:p w14:paraId="691A33E5">
            <w:pPr>
              <w:spacing w:line="500" w:lineRule="exact"/>
              <w:jc w:val="left"/>
              <w:rPr>
                <w:rFonts w:ascii="宋体" w:hAnsi="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32ACC053">
            <w:pPr>
              <w:spacing w:line="500" w:lineRule="exact"/>
              <w:jc w:val="left"/>
              <w:rPr>
                <w:rFonts w:ascii="宋体" w:hAnsi="宋体"/>
                <w:color w:val="auto"/>
                <w:szCs w:val="21"/>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top"/>
          </w:tcPr>
          <w:p w14:paraId="3AF6E98F">
            <w:pPr>
              <w:spacing w:line="50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5FA95C0">
            <w:pPr>
              <w:spacing w:line="500" w:lineRule="exact"/>
              <w:jc w:val="left"/>
              <w:rPr>
                <w:rFonts w:ascii="宋体" w:hAnsi="宋体"/>
                <w:color w:val="auto"/>
                <w:szCs w:val="21"/>
                <w:highlight w:val="none"/>
              </w:rPr>
            </w:pPr>
          </w:p>
        </w:tc>
        <w:tc>
          <w:tcPr>
            <w:tcW w:w="1132" w:type="dxa"/>
            <w:tcBorders>
              <w:top w:val="single" w:color="auto" w:sz="4" w:space="0"/>
              <w:left w:val="single" w:color="auto" w:sz="4" w:space="0"/>
              <w:bottom w:val="single" w:color="auto" w:sz="4" w:space="0"/>
              <w:right w:val="single" w:color="auto" w:sz="4" w:space="0"/>
            </w:tcBorders>
            <w:noWrap w:val="0"/>
            <w:vAlign w:val="top"/>
          </w:tcPr>
          <w:p w14:paraId="60786427">
            <w:pPr>
              <w:spacing w:line="500" w:lineRule="exact"/>
              <w:jc w:val="left"/>
              <w:rPr>
                <w:rFonts w:ascii="宋体" w:hAnsi="宋体"/>
                <w:color w:val="auto"/>
                <w:szCs w:val="21"/>
                <w:highlight w:val="none"/>
              </w:rPr>
            </w:pPr>
          </w:p>
        </w:tc>
        <w:tc>
          <w:tcPr>
            <w:tcW w:w="1132" w:type="dxa"/>
            <w:tcBorders>
              <w:top w:val="single" w:color="auto" w:sz="4" w:space="0"/>
              <w:left w:val="single" w:color="auto" w:sz="4" w:space="0"/>
              <w:bottom w:val="single" w:color="auto" w:sz="4" w:space="0"/>
              <w:right w:val="single" w:color="auto" w:sz="4" w:space="0"/>
            </w:tcBorders>
            <w:noWrap w:val="0"/>
            <w:vAlign w:val="top"/>
          </w:tcPr>
          <w:p w14:paraId="29C71E8C">
            <w:pPr>
              <w:spacing w:line="500" w:lineRule="exact"/>
              <w:jc w:val="left"/>
              <w:rPr>
                <w:rFonts w:ascii="宋体" w:hAnsi="宋体"/>
                <w:color w:val="auto"/>
                <w:szCs w:val="21"/>
                <w:highlight w:val="none"/>
              </w:rPr>
            </w:pPr>
          </w:p>
        </w:tc>
        <w:tc>
          <w:tcPr>
            <w:tcW w:w="1172" w:type="dxa"/>
            <w:tcBorders>
              <w:top w:val="single" w:color="auto" w:sz="4" w:space="0"/>
              <w:left w:val="single" w:color="auto" w:sz="4" w:space="0"/>
              <w:bottom w:val="single" w:color="auto" w:sz="4" w:space="0"/>
              <w:right w:val="single" w:color="auto" w:sz="4" w:space="0"/>
            </w:tcBorders>
            <w:noWrap w:val="0"/>
            <w:vAlign w:val="top"/>
          </w:tcPr>
          <w:p w14:paraId="2C1EF4B8">
            <w:pPr>
              <w:spacing w:line="500" w:lineRule="exact"/>
              <w:jc w:val="left"/>
              <w:rPr>
                <w:rFonts w:ascii="宋体" w:hAnsi="宋体"/>
                <w:color w:val="auto"/>
                <w:szCs w:val="21"/>
                <w:highlight w:val="none"/>
              </w:rPr>
            </w:pPr>
          </w:p>
        </w:tc>
        <w:tc>
          <w:tcPr>
            <w:tcW w:w="1564" w:type="dxa"/>
            <w:tcBorders>
              <w:top w:val="single" w:color="auto" w:sz="4" w:space="0"/>
              <w:left w:val="single" w:color="auto" w:sz="4" w:space="0"/>
              <w:bottom w:val="single" w:color="auto" w:sz="4" w:space="0"/>
              <w:right w:val="single" w:color="auto" w:sz="4" w:space="0"/>
            </w:tcBorders>
            <w:noWrap w:val="0"/>
            <w:vAlign w:val="top"/>
          </w:tcPr>
          <w:p w14:paraId="4183A593">
            <w:pPr>
              <w:spacing w:line="500" w:lineRule="exact"/>
              <w:jc w:val="left"/>
              <w:rPr>
                <w:rFonts w:ascii="宋体" w:hAnsi="宋体"/>
                <w:color w:val="auto"/>
                <w:szCs w:val="21"/>
                <w:highlight w:val="none"/>
              </w:rPr>
            </w:pPr>
          </w:p>
        </w:tc>
      </w:tr>
      <w:tr w14:paraId="4ACAFCCB">
        <w:tblPrEx>
          <w:tblCellMar>
            <w:top w:w="0" w:type="dxa"/>
            <w:left w:w="108" w:type="dxa"/>
            <w:bottom w:w="0" w:type="dxa"/>
            <w:right w:w="108" w:type="dxa"/>
          </w:tblCellMar>
        </w:tblPrEx>
        <w:tc>
          <w:tcPr>
            <w:tcW w:w="5781" w:type="dxa"/>
            <w:gridSpan w:val="5"/>
            <w:tcBorders>
              <w:top w:val="single" w:color="auto" w:sz="4" w:space="0"/>
              <w:left w:val="single" w:color="auto" w:sz="4" w:space="0"/>
              <w:bottom w:val="single" w:color="auto" w:sz="4" w:space="0"/>
              <w:right w:val="single" w:color="auto" w:sz="4" w:space="0"/>
            </w:tcBorders>
            <w:noWrap w:val="0"/>
            <w:vAlign w:val="center"/>
          </w:tcPr>
          <w:p w14:paraId="11A5EC0A">
            <w:pPr>
              <w:spacing w:line="500" w:lineRule="exact"/>
              <w:rPr>
                <w:rFonts w:ascii="宋体" w:hAnsi="宋体"/>
                <w:color w:val="auto"/>
                <w:szCs w:val="21"/>
                <w:highlight w:val="none"/>
              </w:rPr>
            </w:pPr>
            <w:r>
              <w:rPr>
                <w:rFonts w:ascii="宋体" w:hAnsi="宋体"/>
                <w:color w:val="auto"/>
                <w:szCs w:val="21"/>
                <w:highlight w:val="none"/>
              </w:rPr>
              <w:t>招标人编制</w:t>
            </w:r>
            <w:r>
              <w:rPr>
                <w:rFonts w:hint="eastAsia" w:ascii="宋体" w:hAnsi="宋体"/>
                <w:color w:val="auto"/>
                <w:szCs w:val="21"/>
                <w:highlight w:val="none"/>
              </w:rPr>
              <w:t>最高投标限价（单位：元）</w:t>
            </w:r>
          </w:p>
        </w:tc>
        <w:tc>
          <w:tcPr>
            <w:tcW w:w="8543" w:type="dxa"/>
            <w:gridSpan w:val="7"/>
            <w:tcBorders>
              <w:top w:val="single" w:color="auto" w:sz="4" w:space="0"/>
              <w:left w:val="single" w:color="auto" w:sz="4" w:space="0"/>
              <w:bottom w:val="single" w:color="auto" w:sz="4" w:space="0"/>
              <w:right w:val="single" w:color="auto" w:sz="4" w:space="0"/>
            </w:tcBorders>
            <w:noWrap w:val="0"/>
            <w:vAlign w:val="top"/>
          </w:tcPr>
          <w:p w14:paraId="22AFA5D3">
            <w:pPr>
              <w:spacing w:line="500" w:lineRule="exact"/>
              <w:jc w:val="left"/>
              <w:rPr>
                <w:rFonts w:ascii="宋体" w:hAnsi="宋体"/>
                <w:color w:val="auto"/>
                <w:szCs w:val="21"/>
                <w:highlight w:val="none"/>
              </w:rPr>
            </w:pPr>
          </w:p>
        </w:tc>
      </w:tr>
    </w:tbl>
    <w:p w14:paraId="47201D3B">
      <w:pPr>
        <w:spacing w:line="440" w:lineRule="exact"/>
        <w:rPr>
          <w:color w:val="auto"/>
          <w:highlight w:val="none"/>
        </w:rPr>
      </w:pPr>
    </w:p>
    <w:p w14:paraId="7BDCBCF9">
      <w:pPr>
        <w:spacing w:line="440" w:lineRule="exact"/>
        <w:rPr>
          <w:color w:val="auto"/>
          <w:highlight w:val="none"/>
          <w:u w:val="single"/>
        </w:rPr>
      </w:pPr>
      <w:r>
        <w:rPr>
          <w:rFonts w:hint="eastAsia"/>
          <w:color w:val="auto"/>
          <w:highlight w:val="none"/>
        </w:rPr>
        <w:t>招标人代表：            记录人：</w:t>
      </w:r>
    </w:p>
    <w:p w14:paraId="71557F4F">
      <w:pPr>
        <w:wordWrap w:val="0"/>
        <w:spacing w:line="440" w:lineRule="exact"/>
        <w:jc w:val="right"/>
        <w:rPr>
          <w:color w:val="auto"/>
          <w:highlight w:val="none"/>
          <w:u w:val="single"/>
        </w:rPr>
      </w:pPr>
      <w:r>
        <w:rPr>
          <w:rFonts w:hint="eastAsia"/>
          <w:color w:val="auto"/>
          <w:highlight w:val="none"/>
        </w:rPr>
        <w:t>年    月    日</w:t>
      </w:r>
    </w:p>
    <w:p w14:paraId="140E485B">
      <w:pPr>
        <w:spacing w:line="360" w:lineRule="auto"/>
        <w:rPr>
          <w:rFonts w:ascii="宋体" w:hAnsi="宋体"/>
          <w:b/>
          <w:color w:val="auto"/>
          <w:sz w:val="32"/>
          <w:szCs w:val="32"/>
          <w:highlight w:val="none"/>
        </w:rPr>
        <w:sectPr>
          <w:pgSz w:w="16838" w:h="11906" w:orient="landscape"/>
          <w:pgMar w:top="1797" w:right="1440" w:bottom="1797" w:left="1440" w:header="851" w:footer="992" w:gutter="0"/>
          <w:cols w:space="720" w:num="1"/>
          <w:docGrid w:type="linesAndChars" w:linePitch="312" w:charSpace="0"/>
        </w:sectPr>
      </w:pPr>
      <w:r>
        <w:rPr>
          <w:rFonts w:hint="eastAsia" w:ascii="宋体" w:hAnsi="宋体" w:cs="宋体"/>
          <w:color w:val="auto"/>
          <w:highlight w:val="none"/>
          <w:u w:val="single"/>
        </w:rPr>
        <w:t>注：本表仅供参考，具体以交易平台开标时的开标记录表为准。</w:t>
      </w:r>
    </w:p>
    <w:p w14:paraId="60A05E39">
      <w:pPr>
        <w:spacing w:line="360" w:lineRule="auto"/>
        <w:jc w:val="center"/>
        <w:rPr>
          <w:rFonts w:ascii="宋体" w:hAnsi="宋体"/>
          <w:b/>
          <w:color w:val="auto"/>
          <w:sz w:val="32"/>
          <w:szCs w:val="32"/>
          <w:highlight w:val="none"/>
        </w:rPr>
      </w:pPr>
      <w:r>
        <w:rPr>
          <w:rFonts w:hint="eastAsia" w:ascii="黑体" w:hAnsi="黑体" w:eastAsia="黑体"/>
          <w:color w:val="auto"/>
          <w:sz w:val="28"/>
          <w:szCs w:val="27"/>
          <w:highlight w:val="none"/>
        </w:rPr>
        <w:t>附件2：抽取评标基准价的下浮率记录表</w:t>
      </w:r>
    </w:p>
    <w:p w14:paraId="3F2FC43B">
      <w:pPr>
        <w:spacing w:line="360" w:lineRule="auto"/>
        <w:rPr>
          <w:rFonts w:ascii="宋体" w:hAnsi="宋体"/>
          <w:b/>
          <w:color w:val="auto"/>
          <w:szCs w:val="21"/>
          <w:highlight w:val="none"/>
        </w:rPr>
      </w:pPr>
    </w:p>
    <w:p w14:paraId="336FBD9F">
      <w:pPr>
        <w:tabs>
          <w:tab w:val="left" w:pos="720"/>
        </w:tabs>
        <w:snapToGrid w:val="0"/>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抽取评标基准价的下浮率记录表</w:t>
      </w:r>
    </w:p>
    <w:p w14:paraId="0108DC6F">
      <w:pPr>
        <w:tabs>
          <w:tab w:val="left" w:pos="720"/>
        </w:tabs>
        <w:snapToGrid w:val="0"/>
        <w:spacing w:line="360" w:lineRule="auto"/>
        <w:jc w:val="left"/>
        <w:rPr>
          <w:rFonts w:ascii="宋体" w:hAnsi="宋体"/>
          <w:color w:val="auto"/>
          <w:sz w:val="24"/>
          <w:highlight w:val="none"/>
        </w:rPr>
      </w:pPr>
      <w:r>
        <w:rPr>
          <w:rFonts w:hint="eastAsia" w:ascii="宋体" w:hAnsi="宋体"/>
          <w:color w:val="auto"/>
          <w:sz w:val="24"/>
          <w:highlight w:val="none"/>
        </w:rPr>
        <w:t>项目名称：</w:t>
      </w:r>
    </w:p>
    <w:p w14:paraId="6AB32CF9">
      <w:pPr>
        <w:tabs>
          <w:tab w:val="left" w:pos="720"/>
        </w:tabs>
        <w:snapToGrid w:val="0"/>
        <w:spacing w:line="360" w:lineRule="auto"/>
        <w:jc w:val="left"/>
        <w:rPr>
          <w:rFonts w:ascii="宋体" w:hAnsi="宋体"/>
          <w:color w:val="auto"/>
          <w:sz w:val="24"/>
          <w:highlight w:val="none"/>
        </w:rPr>
      </w:pPr>
      <w:r>
        <w:rPr>
          <w:rFonts w:hint="eastAsia" w:ascii="宋体" w:hAnsi="宋体"/>
          <w:color w:val="auto"/>
          <w:sz w:val="24"/>
          <w:highlight w:val="none"/>
        </w:rPr>
        <w:t>开标地点：</w:t>
      </w:r>
    </w:p>
    <w:tbl>
      <w:tblPr>
        <w:tblStyle w:val="4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8"/>
        <w:gridCol w:w="1534"/>
        <w:gridCol w:w="1619"/>
        <w:gridCol w:w="4261"/>
      </w:tblGrid>
      <w:tr w14:paraId="099A5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8" w:type="dxa"/>
            <w:noWrap w:val="0"/>
            <w:vAlign w:val="center"/>
          </w:tcPr>
          <w:p w14:paraId="1BF56F55">
            <w:pPr>
              <w:tabs>
                <w:tab w:val="left" w:pos="720"/>
              </w:tabs>
              <w:snapToGrid w:val="0"/>
              <w:jc w:val="center"/>
              <w:rPr>
                <w:rFonts w:ascii="宋体" w:hAnsi="宋体"/>
                <w:color w:val="auto"/>
                <w:sz w:val="24"/>
                <w:highlight w:val="none"/>
              </w:rPr>
            </w:pPr>
            <w:r>
              <w:rPr>
                <w:rFonts w:hint="eastAsia" w:ascii="宋体" w:hAnsi="宋体"/>
                <w:color w:val="auto"/>
                <w:sz w:val="24"/>
                <w:highlight w:val="none"/>
              </w:rPr>
              <w:t>球号</w:t>
            </w:r>
          </w:p>
        </w:tc>
        <w:tc>
          <w:tcPr>
            <w:tcW w:w="1534" w:type="dxa"/>
            <w:noWrap w:val="0"/>
            <w:vAlign w:val="center"/>
          </w:tcPr>
          <w:p w14:paraId="795DFED2">
            <w:pPr>
              <w:tabs>
                <w:tab w:val="left" w:pos="720"/>
              </w:tabs>
              <w:snapToGrid w:val="0"/>
              <w:jc w:val="center"/>
              <w:rPr>
                <w:rFonts w:ascii="宋体" w:hAnsi="宋体"/>
                <w:color w:val="auto"/>
                <w:sz w:val="24"/>
                <w:highlight w:val="none"/>
              </w:rPr>
            </w:pPr>
            <w:r>
              <w:rPr>
                <w:rFonts w:hint="eastAsia" w:ascii="宋体" w:hAnsi="宋体"/>
                <w:color w:val="auto"/>
                <w:sz w:val="24"/>
                <w:highlight w:val="none"/>
              </w:rPr>
              <w:t>代表下浮率（%）</w:t>
            </w:r>
          </w:p>
        </w:tc>
        <w:tc>
          <w:tcPr>
            <w:tcW w:w="1619" w:type="dxa"/>
            <w:noWrap w:val="0"/>
            <w:vAlign w:val="center"/>
          </w:tcPr>
          <w:p w14:paraId="4F199D3F">
            <w:pPr>
              <w:tabs>
                <w:tab w:val="left" w:pos="720"/>
              </w:tabs>
              <w:snapToGrid w:val="0"/>
              <w:jc w:val="center"/>
              <w:rPr>
                <w:rFonts w:ascii="宋体" w:hAnsi="宋体"/>
                <w:color w:val="auto"/>
                <w:sz w:val="24"/>
                <w:highlight w:val="none"/>
              </w:rPr>
            </w:pPr>
            <w:r>
              <w:rPr>
                <w:rFonts w:hint="eastAsia" w:ascii="宋体" w:hAnsi="宋体"/>
                <w:color w:val="auto"/>
                <w:sz w:val="24"/>
                <w:highlight w:val="none"/>
              </w:rPr>
              <w:t>摇出球号</w:t>
            </w:r>
          </w:p>
        </w:tc>
        <w:tc>
          <w:tcPr>
            <w:tcW w:w="4261" w:type="dxa"/>
            <w:noWrap w:val="0"/>
            <w:vAlign w:val="center"/>
          </w:tcPr>
          <w:p w14:paraId="2F2F4171">
            <w:pPr>
              <w:tabs>
                <w:tab w:val="left" w:pos="720"/>
              </w:tabs>
              <w:snapToGrid w:val="0"/>
              <w:jc w:val="center"/>
              <w:rPr>
                <w:rFonts w:ascii="宋体" w:hAnsi="宋体"/>
                <w:color w:val="auto"/>
                <w:sz w:val="24"/>
                <w:highlight w:val="none"/>
              </w:rPr>
            </w:pPr>
            <w:r>
              <w:rPr>
                <w:rFonts w:hint="eastAsia" w:ascii="宋体" w:hAnsi="宋体"/>
                <w:color w:val="auto"/>
                <w:sz w:val="24"/>
                <w:highlight w:val="none"/>
              </w:rPr>
              <w:t>随机抽取的评标基准价的下浮率</w:t>
            </w:r>
          </w:p>
        </w:tc>
      </w:tr>
      <w:tr w14:paraId="7E0BA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8" w:type="dxa"/>
            <w:noWrap w:val="0"/>
            <w:vAlign w:val="top"/>
          </w:tcPr>
          <w:p w14:paraId="2D9A7ADC">
            <w:pPr>
              <w:tabs>
                <w:tab w:val="left" w:pos="720"/>
              </w:tabs>
              <w:snapToGrid w:val="0"/>
              <w:jc w:val="center"/>
              <w:rPr>
                <w:rFonts w:ascii="宋体" w:hAnsi="宋体"/>
                <w:color w:val="auto"/>
                <w:sz w:val="24"/>
                <w:highlight w:val="none"/>
              </w:rPr>
            </w:pPr>
          </w:p>
        </w:tc>
        <w:tc>
          <w:tcPr>
            <w:tcW w:w="1534" w:type="dxa"/>
            <w:noWrap w:val="0"/>
            <w:vAlign w:val="top"/>
          </w:tcPr>
          <w:p w14:paraId="2D0157C2">
            <w:pPr>
              <w:tabs>
                <w:tab w:val="left" w:pos="720"/>
              </w:tabs>
              <w:snapToGrid w:val="0"/>
              <w:jc w:val="center"/>
              <w:rPr>
                <w:rFonts w:ascii="宋体" w:hAnsi="宋体"/>
                <w:color w:val="auto"/>
                <w:sz w:val="24"/>
                <w:highlight w:val="none"/>
              </w:rPr>
            </w:pPr>
            <w:r>
              <w:rPr>
                <w:rFonts w:hint="eastAsia" w:ascii="宋体" w:hAnsi="宋体"/>
                <w:color w:val="auto"/>
                <w:sz w:val="24"/>
                <w:highlight w:val="none"/>
              </w:rPr>
              <w:t>2</w:t>
            </w:r>
          </w:p>
        </w:tc>
        <w:tc>
          <w:tcPr>
            <w:tcW w:w="1619" w:type="dxa"/>
            <w:vMerge w:val="restart"/>
            <w:noWrap w:val="0"/>
            <w:vAlign w:val="top"/>
          </w:tcPr>
          <w:p w14:paraId="39AFBCA1">
            <w:pPr>
              <w:tabs>
                <w:tab w:val="left" w:pos="720"/>
              </w:tabs>
              <w:snapToGrid w:val="0"/>
              <w:jc w:val="center"/>
              <w:rPr>
                <w:rFonts w:ascii="宋体" w:hAnsi="宋体"/>
                <w:color w:val="auto"/>
                <w:sz w:val="24"/>
                <w:highlight w:val="none"/>
              </w:rPr>
            </w:pPr>
          </w:p>
        </w:tc>
        <w:tc>
          <w:tcPr>
            <w:tcW w:w="4261" w:type="dxa"/>
            <w:vMerge w:val="restart"/>
            <w:noWrap w:val="0"/>
            <w:vAlign w:val="top"/>
          </w:tcPr>
          <w:p w14:paraId="28BAE5DF">
            <w:pPr>
              <w:tabs>
                <w:tab w:val="left" w:pos="720"/>
              </w:tabs>
              <w:snapToGrid w:val="0"/>
              <w:jc w:val="center"/>
              <w:rPr>
                <w:rFonts w:ascii="宋体" w:hAnsi="宋体"/>
                <w:color w:val="auto"/>
                <w:sz w:val="24"/>
                <w:highlight w:val="none"/>
              </w:rPr>
            </w:pPr>
          </w:p>
        </w:tc>
      </w:tr>
      <w:tr w14:paraId="75839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8" w:type="dxa"/>
            <w:noWrap w:val="0"/>
            <w:vAlign w:val="top"/>
          </w:tcPr>
          <w:p w14:paraId="37CDB62C">
            <w:pPr>
              <w:tabs>
                <w:tab w:val="left" w:pos="720"/>
              </w:tabs>
              <w:snapToGrid w:val="0"/>
              <w:jc w:val="center"/>
              <w:rPr>
                <w:rFonts w:ascii="宋体" w:hAnsi="宋体"/>
                <w:color w:val="auto"/>
                <w:sz w:val="24"/>
                <w:highlight w:val="none"/>
              </w:rPr>
            </w:pPr>
          </w:p>
        </w:tc>
        <w:tc>
          <w:tcPr>
            <w:tcW w:w="1534" w:type="dxa"/>
            <w:noWrap w:val="0"/>
            <w:vAlign w:val="top"/>
          </w:tcPr>
          <w:p w14:paraId="20830F0A">
            <w:pPr>
              <w:tabs>
                <w:tab w:val="left" w:pos="720"/>
              </w:tabs>
              <w:snapToGrid w:val="0"/>
              <w:jc w:val="center"/>
              <w:rPr>
                <w:rFonts w:ascii="宋体" w:hAnsi="宋体"/>
                <w:color w:val="auto"/>
                <w:sz w:val="24"/>
                <w:highlight w:val="none"/>
              </w:rPr>
            </w:pPr>
            <w:r>
              <w:rPr>
                <w:rFonts w:hint="eastAsia" w:ascii="宋体" w:hAnsi="宋体"/>
                <w:color w:val="auto"/>
                <w:sz w:val="24"/>
                <w:highlight w:val="none"/>
              </w:rPr>
              <w:t>2.5</w:t>
            </w:r>
          </w:p>
        </w:tc>
        <w:tc>
          <w:tcPr>
            <w:tcW w:w="1619" w:type="dxa"/>
            <w:vMerge w:val="continue"/>
            <w:noWrap w:val="0"/>
            <w:vAlign w:val="top"/>
          </w:tcPr>
          <w:p w14:paraId="5539FA42">
            <w:pPr>
              <w:tabs>
                <w:tab w:val="left" w:pos="720"/>
              </w:tabs>
              <w:snapToGrid w:val="0"/>
              <w:jc w:val="center"/>
              <w:rPr>
                <w:rFonts w:ascii="宋体" w:hAnsi="宋体"/>
                <w:color w:val="auto"/>
                <w:sz w:val="24"/>
                <w:highlight w:val="none"/>
              </w:rPr>
            </w:pPr>
          </w:p>
        </w:tc>
        <w:tc>
          <w:tcPr>
            <w:tcW w:w="4261" w:type="dxa"/>
            <w:vMerge w:val="continue"/>
            <w:noWrap w:val="0"/>
            <w:vAlign w:val="top"/>
          </w:tcPr>
          <w:p w14:paraId="4985AAC5">
            <w:pPr>
              <w:tabs>
                <w:tab w:val="left" w:pos="720"/>
              </w:tabs>
              <w:snapToGrid w:val="0"/>
              <w:jc w:val="center"/>
              <w:rPr>
                <w:rFonts w:ascii="宋体" w:hAnsi="宋体"/>
                <w:color w:val="auto"/>
                <w:sz w:val="24"/>
                <w:highlight w:val="none"/>
              </w:rPr>
            </w:pPr>
          </w:p>
        </w:tc>
      </w:tr>
      <w:tr w14:paraId="2C010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8" w:type="dxa"/>
            <w:noWrap w:val="0"/>
            <w:vAlign w:val="top"/>
          </w:tcPr>
          <w:p w14:paraId="67987C9A">
            <w:pPr>
              <w:tabs>
                <w:tab w:val="left" w:pos="720"/>
              </w:tabs>
              <w:snapToGrid w:val="0"/>
              <w:jc w:val="center"/>
              <w:rPr>
                <w:rFonts w:ascii="宋体" w:hAnsi="宋体"/>
                <w:color w:val="auto"/>
                <w:sz w:val="24"/>
                <w:highlight w:val="none"/>
              </w:rPr>
            </w:pPr>
          </w:p>
        </w:tc>
        <w:tc>
          <w:tcPr>
            <w:tcW w:w="1534" w:type="dxa"/>
            <w:noWrap w:val="0"/>
            <w:vAlign w:val="top"/>
          </w:tcPr>
          <w:p w14:paraId="1A60C48C">
            <w:pPr>
              <w:tabs>
                <w:tab w:val="left" w:pos="720"/>
              </w:tabs>
              <w:snapToGrid w:val="0"/>
              <w:jc w:val="center"/>
              <w:rPr>
                <w:rFonts w:ascii="宋体" w:hAnsi="宋体"/>
                <w:color w:val="auto"/>
                <w:sz w:val="24"/>
                <w:highlight w:val="none"/>
              </w:rPr>
            </w:pPr>
            <w:r>
              <w:rPr>
                <w:rFonts w:hint="eastAsia" w:ascii="宋体" w:hAnsi="宋体"/>
                <w:color w:val="auto"/>
                <w:sz w:val="24"/>
                <w:highlight w:val="none"/>
              </w:rPr>
              <w:t>3</w:t>
            </w:r>
          </w:p>
        </w:tc>
        <w:tc>
          <w:tcPr>
            <w:tcW w:w="1619" w:type="dxa"/>
            <w:vMerge w:val="continue"/>
            <w:noWrap w:val="0"/>
            <w:vAlign w:val="top"/>
          </w:tcPr>
          <w:p w14:paraId="373D5978">
            <w:pPr>
              <w:tabs>
                <w:tab w:val="left" w:pos="720"/>
              </w:tabs>
              <w:snapToGrid w:val="0"/>
              <w:jc w:val="center"/>
              <w:rPr>
                <w:rFonts w:ascii="宋体" w:hAnsi="宋体"/>
                <w:color w:val="auto"/>
                <w:sz w:val="24"/>
                <w:highlight w:val="none"/>
              </w:rPr>
            </w:pPr>
          </w:p>
        </w:tc>
        <w:tc>
          <w:tcPr>
            <w:tcW w:w="4261" w:type="dxa"/>
            <w:vMerge w:val="continue"/>
            <w:noWrap w:val="0"/>
            <w:vAlign w:val="top"/>
          </w:tcPr>
          <w:p w14:paraId="37B046A2">
            <w:pPr>
              <w:tabs>
                <w:tab w:val="left" w:pos="720"/>
              </w:tabs>
              <w:snapToGrid w:val="0"/>
              <w:jc w:val="center"/>
              <w:rPr>
                <w:rFonts w:ascii="宋体" w:hAnsi="宋体"/>
                <w:color w:val="auto"/>
                <w:sz w:val="24"/>
                <w:highlight w:val="none"/>
              </w:rPr>
            </w:pPr>
          </w:p>
        </w:tc>
      </w:tr>
      <w:tr w14:paraId="51190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8" w:type="dxa"/>
            <w:noWrap w:val="0"/>
            <w:vAlign w:val="top"/>
          </w:tcPr>
          <w:p w14:paraId="236C9EE1">
            <w:pPr>
              <w:tabs>
                <w:tab w:val="left" w:pos="720"/>
              </w:tabs>
              <w:snapToGrid w:val="0"/>
              <w:jc w:val="center"/>
              <w:rPr>
                <w:rFonts w:ascii="宋体" w:hAnsi="宋体"/>
                <w:color w:val="auto"/>
                <w:sz w:val="24"/>
                <w:highlight w:val="none"/>
              </w:rPr>
            </w:pPr>
          </w:p>
        </w:tc>
        <w:tc>
          <w:tcPr>
            <w:tcW w:w="1534" w:type="dxa"/>
            <w:noWrap w:val="0"/>
            <w:vAlign w:val="top"/>
          </w:tcPr>
          <w:p w14:paraId="091C5081">
            <w:pPr>
              <w:tabs>
                <w:tab w:val="left" w:pos="720"/>
              </w:tabs>
              <w:snapToGrid w:val="0"/>
              <w:jc w:val="center"/>
              <w:rPr>
                <w:rFonts w:ascii="宋体" w:hAnsi="宋体"/>
                <w:color w:val="auto"/>
                <w:sz w:val="24"/>
                <w:highlight w:val="none"/>
              </w:rPr>
            </w:pPr>
            <w:r>
              <w:rPr>
                <w:rFonts w:hint="eastAsia" w:ascii="宋体" w:hAnsi="宋体"/>
                <w:color w:val="auto"/>
                <w:sz w:val="24"/>
                <w:highlight w:val="none"/>
              </w:rPr>
              <w:t>3.5</w:t>
            </w:r>
          </w:p>
        </w:tc>
        <w:tc>
          <w:tcPr>
            <w:tcW w:w="1619" w:type="dxa"/>
            <w:vMerge w:val="continue"/>
            <w:noWrap w:val="0"/>
            <w:vAlign w:val="top"/>
          </w:tcPr>
          <w:p w14:paraId="0CF55C3C">
            <w:pPr>
              <w:tabs>
                <w:tab w:val="left" w:pos="720"/>
              </w:tabs>
              <w:snapToGrid w:val="0"/>
              <w:jc w:val="center"/>
              <w:rPr>
                <w:rFonts w:ascii="宋体" w:hAnsi="宋体"/>
                <w:color w:val="auto"/>
                <w:sz w:val="24"/>
                <w:highlight w:val="none"/>
              </w:rPr>
            </w:pPr>
          </w:p>
        </w:tc>
        <w:tc>
          <w:tcPr>
            <w:tcW w:w="4261" w:type="dxa"/>
            <w:vMerge w:val="continue"/>
            <w:noWrap w:val="0"/>
            <w:vAlign w:val="top"/>
          </w:tcPr>
          <w:p w14:paraId="6724E07C">
            <w:pPr>
              <w:tabs>
                <w:tab w:val="left" w:pos="720"/>
              </w:tabs>
              <w:snapToGrid w:val="0"/>
              <w:jc w:val="center"/>
              <w:rPr>
                <w:rFonts w:ascii="宋体" w:hAnsi="宋体"/>
                <w:color w:val="auto"/>
                <w:sz w:val="24"/>
                <w:highlight w:val="none"/>
              </w:rPr>
            </w:pPr>
          </w:p>
        </w:tc>
      </w:tr>
      <w:tr w14:paraId="2A2F6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8" w:type="dxa"/>
            <w:noWrap w:val="0"/>
            <w:vAlign w:val="top"/>
          </w:tcPr>
          <w:p w14:paraId="601912A6">
            <w:pPr>
              <w:tabs>
                <w:tab w:val="left" w:pos="720"/>
              </w:tabs>
              <w:snapToGrid w:val="0"/>
              <w:jc w:val="center"/>
              <w:rPr>
                <w:rFonts w:ascii="宋体" w:hAnsi="宋体"/>
                <w:color w:val="auto"/>
                <w:sz w:val="24"/>
                <w:highlight w:val="none"/>
              </w:rPr>
            </w:pPr>
          </w:p>
        </w:tc>
        <w:tc>
          <w:tcPr>
            <w:tcW w:w="1534" w:type="dxa"/>
            <w:noWrap w:val="0"/>
            <w:vAlign w:val="top"/>
          </w:tcPr>
          <w:p w14:paraId="506D0D61">
            <w:pPr>
              <w:tabs>
                <w:tab w:val="left" w:pos="720"/>
              </w:tabs>
              <w:snapToGrid w:val="0"/>
              <w:jc w:val="center"/>
              <w:rPr>
                <w:rFonts w:ascii="宋体" w:hAnsi="宋体"/>
                <w:color w:val="auto"/>
                <w:sz w:val="24"/>
                <w:highlight w:val="none"/>
              </w:rPr>
            </w:pPr>
            <w:r>
              <w:rPr>
                <w:rFonts w:hint="eastAsia" w:ascii="宋体" w:hAnsi="宋体"/>
                <w:color w:val="auto"/>
                <w:sz w:val="24"/>
                <w:highlight w:val="none"/>
              </w:rPr>
              <w:t>4</w:t>
            </w:r>
          </w:p>
        </w:tc>
        <w:tc>
          <w:tcPr>
            <w:tcW w:w="1619" w:type="dxa"/>
            <w:vMerge w:val="continue"/>
            <w:noWrap w:val="0"/>
            <w:vAlign w:val="top"/>
          </w:tcPr>
          <w:p w14:paraId="6EBBDBE8">
            <w:pPr>
              <w:tabs>
                <w:tab w:val="left" w:pos="720"/>
              </w:tabs>
              <w:snapToGrid w:val="0"/>
              <w:jc w:val="center"/>
              <w:rPr>
                <w:rFonts w:ascii="宋体" w:hAnsi="宋体"/>
                <w:color w:val="auto"/>
                <w:sz w:val="24"/>
                <w:highlight w:val="none"/>
              </w:rPr>
            </w:pPr>
          </w:p>
        </w:tc>
        <w:tc>
          <w:tcPr>
            <w:tcW w:w="4261" w:type="dxa"/>
            <w:vMerge w:val="continue"/>
            <w:noWrap w:val="0"/>
            <w:vAlign w:val="top"/>
          </w:tcPr>
          <w:p w14:paraId="7DF32EF7">
            <w:pPr>
              <w:tabs>
                <w:tab w:val="left" w:pos="720"/>
              </w:tabs>
              <w:snapToGrid w:val="0"/>
              <w:jc w:val="center"/>
              <w:rPr>
                <w:rFonts w:ascii="宋体" w:hAnsi="宋体"/>
                <w:color w:val="auto"/>
                <w:sz w:val="24"/>
                <w:highlight w:val="none"/>
              </w:rPr>
            </w:pPr>
          </w:p>
        </w:tc>
      </w:tr>
      <w:tr w14:paraId="4C180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8" w:type="dxa"/>
            <w:noWrap w:val="0"/>
            <w:vAlign w:val="top"/>
          </w:tcPr>
          <w:p w14:paraId="21D561FD">
            <w:pPr>
              <w:tabs>
                <w:tab w:val="left" w:pos="720"/>
              </w:tabs>
              <w:snapToGrid w:val="0"/>
              <w:jc w:val="center"/>
              <w:rPr>
                <w:rFonts w:ascii="宋体" w:hAnsi="宋体"/>
                <w:color w:val="auto"/>
                <w:sz w:val="24"/>
                <w:highlight w:val="none"/>
              </w:rPr>
            </w:pPr>
          </w:p>
        </w:tc>
        <w:tc>
          <w:tcPr>
            <w:tcW w:w="1534" w:type="dxa"/>
            <w:noWrap w:val="0"/>
            <w:vAlign w:val="top"/>
          </w:tcPr>
          <w:p w14:paraId="1D643A26">
            <w:pPr>
              <w:tabs>
                <w:tab w:val="left" w:pos="720"/>
              </w:tabs>
              <w:snapToGrid w:val="0"/>
              <w:jc w:val="center"/>
              <w:rPr>
                <w:rFonts w:ascii="宋体" w:hAnsi="宋体"/>
                <w:color w:val="auto"/>
                <w:sz w:val="24"/>
                <w:highlight w:val="none"/>
              </w:rPr>
            </w:pPr>
            <w:r>
              <w:rPr>
                <w:rFonts w:hint="eastAsia" w:ascii="宋体" w:hAnsi="宋体"/>
                <w:color w:val="auto"/>
                <w:sz w:val="24"/>
                <w:highlight w:val="none"/>
              </w:rPr>
              <w:t>4.5</w:t>
            </w:r>
          </w:p>
        </w:tc>
        <w:tc>
          <w:tcPr>
            <w:tcW w:w="1619" w:type="dxa"/>
            <w:vMerge w:val="continue"/>
            <w:noWrap w:val="0"/>
            <w:vAlign w:val="top"/>
          </w:tcPr>
          <w:p w14:paraId="4908F023">
            <w:pPr>
              <w:tabs>
                <w:tab w:val="left" w:pos="720"/>
              </w:tabs>
              <w:snapToGrid w:val="0"/>
              <w:jc w:val="center"/>
              <w:rPr>
                <w:rFonts w:ascii="宋体" w:hAnsi="宋体"/>
                <w:color w:val="auto"/>
                <w:sz w:val="24"/>
                <w:highlight w:val="none"/>
              </w:rPr>
            </w:pPr>
          </w:p>
        </w:tc>
        <w:tc>
          <w:tcPr>
            <w:tcW w:w="4261" w:type="dxa"/>
            <w:vMerge w:val="continue"/>
            <w:noWrap w:val="0"/>
            <w:vAlign w:val="top"/>
          </w:tcPr>
          <w:p w14:paraId="3CD5ED6A">
            <w:pPr>
              <w:tabs>
                <w:tab w:val="left" w:pos="720"/>
              </w:tabs>
              <w:snapToGrid w:val="0"/>
              <w:jc w:val="center"/>
              <w:rPr>
                <w:rFonts w:ascii="宋体" w:hAnsi="宋体"/>
                <w:color w:val="auto"/>
                <w:sz w:val="24"/>
                <w:highlight w:val="none"/>
              </w:rPr>
            </w:pPr>
          </w:p>
        </w:tc>
      </w:tr>
      <w:tr w14:paraId="4DB4B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8" w:type="dxa"/>
            <w:noWrap w:val="0"/>
            <w:vAlign w:val="top"/>
          </w:tcPr>
          <w:p w14:paraId="6BF6F3C5">
            <w:pPr>
              <w:tabs>
                <w:tab w:val="left" w:pos="720"/>
              </w:tabs>
              <w:snapToGrid w:val="0"/>
              <w:jc w:val="center"/>
              <w:rPr>
                <w:rFonts w:ascii="宋体" w:hAnsi="宋体"/>
                <w:color w:val="auto"/>
                <w:sz w:val="24"/>
                <w:highlight w:val="none"/>
              </w:rPr>
            </w:pPr>
          </w:p>
        </w:tc>
        <w:tc>
          <w:tcPr>
            <w:tcW w:w="1534" w:type="dxa"/>
            <w:noWrap w:val="0"/>
            <w:vAlign w:val="top"/>
          </w:tcPr>
          <w:p w14:paraId="7E39B331">
            <w:pPr>
              <w:tabs>
                <w:tab w:val="left" w:pos="720"/>
              </w:tabs>
              <w:snapToGrid w:val="0"/>
              <w:jc w:val="center"/>
              <w:rPr>
                <w:rFonts w:ascii="宋体" w:hAnsi="宋体"/>
                <w:color w:val="auto"/>
                <w:sz w:val="24"/>
                <w:highlight w:val="none"/>
              </w:rPr>
            </w:pPr>
            <w:r>
              <w:rPr>
                <w:rFonts w:hint="eastAsia" w:ascii="宋体" w:hAnsi="宋体"/>
                <w:color w:val="auto"/>
                <w:sz w:val="24"/>
                <w:highlight w:val="none"/>
              </w:rPr>
              <w:t>5</w:t>
            </w:r>
          </w:p>
        </w:tc>
        <w:tc>
          <w:tcPr>
            <w:tcW w:w="1619" w:type="dxa"/>
            <w:vMerge w:val="continue"/>
            <w:noWrap w:val="0"/>
            <w:vAlign w:val="top"/>
          </w:tcPr>
          <w:p w14:paraId="0BF96793">
            <w:pPr>
              <w:tabs>
                <w:tab w:val="left" w:pos="720"/>
              </w:tabs>
              <w:snapToGrid w:val="0"/>
              <w:jc w:val="center"/>
              <w:rPr>
                <w:rFonts w:ascii="宋体" w:hAnsi="宋体"/>
                <w:color w:val="auto"/>
                <w:sz w:val="24"/>
                <w:highlight w:val="none"/>
              </w:rPr>
            </w:pPr>
          </w:p>
        </w:tc>
        <w:tc>
          <w:tcPr>
            <w:tcW w:w="4261" w:type="dxa"/>
            <w:vMerge w:val="continue"/>
            <w:noWrap w:val="0"/>
            <w:vAlign w:val="top"/>
          </w:tcPr>
          <w:p w14:paraId="4403F048">
            <w:pPr>
              <w:tabs>
                <w:tab w:val="left" w:pos="720"/>
              </w:tabs>
              <w:snapToGrid w:val="0"/>
              <w:jc w:val="center"/>
              <w:rPr>
                <w:rFonts w:ascii="宋体" w:hAnsi="宋体"/>
                <w:color w:val="auto"/>
                <w:sz w:val="24"/>
                <w:highlight w:val="none"/>
              </w:rPr>
            </w:pPr>
          </w:p>
        </w:tc>
      </w:tr>
    </w:tbl>
    <w:p w14:paraId="2AD2D31C">
      <w:pPr>
        <w:spacing w:line="440" w:lineRule="exact"/>
        <w:rPr>
          <w:rFonts w:hint="eastAsia" w:ascii="宋体" w:hAnsi="宋体"/>
          <w:b/>
          <w:color w:val="auto"/>
          <w:szCs w:val="21"/>
          <w:highlight w:val="none"/>
        </w:rPr>
      </w:pPr>
      <w:r>
        <w:rPr>
          <w:rFonts w:hint="eastAsia" w:ascii="宋体" w:hAnsi="宋体"/>
          <w:b/>
          <w:color w:val="auto"/>
          <w:szCs w:val="21"/>
          <w:highlight w:val="none"/>
        </w:rPr>
        <w:t>注：1、公开摇取评标基准价下浮率（下浮率取值范围在2%~5%，按0.5%设定级差）。</w:t>
      </w:r>
    </w:p>
    <w:p w14:paraId="06956BBF">
      <w:pPr>
        <w:spacing w:line="4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2、采用线上抽取方式：在广州交易集团有限公司（广州公共资源交易中心）系统的号牌列表中(0.020、0.025、0.030、0.035、0.040、0.045、0.050)，通过随机抽取方式确定下浮率。</w:t>
      </w:r>
    </w:p>
    <w:p w14:paraId="245FE788">
      <w:pPr>
        <w:spacing w:line="440" w:lineRule="exact"/>
        <w:ind w:firstLine="422" w:firstLineChars="200"/>
        <w:rPr>
          <w:rFonts w:ascii="宋体" w:hAnsi="宋体"/>
          <w:color w:val="auto"/>
          <w:szCs w:val="21"/>
          <w:highlight w:val="none"/>
        </w:rPr>
      </w:pPr>
      <w:r>
        <w:rPr>
          <w:rFonts w:hint="eastAsia" w:ascii="宋体" w:hAnsi="宋体"/>
          <w:b/>
          <w:color w:val="auto"/>
          <w:szCs w:val="21"/>
          <w:highlight w:val="none"/>
        </w:rPr>
        <w:t>3、采用线下抽取评标基准价下浮率的，球号根据广州交易集团有限公司（广州公共资源交易中心）提供号球填写，如提供的球为1、2、3、4、5、6、7，则球号列按从小到大的顺序对应填写1、2、3、4、5、6、7；如提供的球号2、2.5、3、3.5、4、4.5、5，则球号列对应填写2、2.5、3、3.5、4、4.5、5。</w:t>
      </w:r>
    </w:p>
    <w:p w14:paraId="30F9DC0C">
      <w:pPr>
        <w:spacing w:line="440" w:lineRule="exact"/>
        <w:rPr>
          <w:rFonts w:ascii="宋体" w:hAnsi="宋体"/>
          <w:color w:val="auto"/>
          <w:szCs w:val="21"/>
          <w:highlight w:val="none"/>
        </w:rPr>
      </w:pPr>
    </w:p>
    <w:p w14:paraId="0F354F49">
      <w:pPr>
        <w:spacing w:line="440" w:lineRule="exact"/>
        <w:rPr>
          <w:rFonts w:ascii="宋体" w:hAnsi="宋体"/>
          <w:color w:val="auto"/>
          <w:szCs w:val="21"/>
          <w:highlight w:val="none"/>
        </w:rPr>
      </w:pPr>
      <w:r>
        <w:rPr>
          <w:rFonts w:hint="eastAsia" w:ascii="宋体" w:hAnsi="宋体"/>
          <w:color w:val="auto"/>
          <w:szCs w:val="21"/>
          <w:highlight w:val="none"/>
        </w:rPr>
        <w:t xml:space="preserve">招标人：             </w:t>
      </w:r>
    </w:p>
    <w:p w14:paraId="150815F4">
      <w:pPr>
        <w:spacing w:line="440" w:lineRule="exact"/>
        <w:rPr>
          <w:rFonts w:ascii="宋体" w:hAnsi="宋体"/>
          <w:color w:val="auto"/>
          <w:szCs w:val="21"/>
          <w:highlight w:val="none"/>
        </w:rPr>
      </w:pPr>
    </w:p>
    <w:p w14:paraId="1580992C">
      <w:pPr>
        <w:spacing w:line="440" w:lineRule="exact"/>
        <w:rPr>
          <w:rFonts w:ascii="宋体" w:hAnsi="宋体"/>
          <w:color w:val="auto"/>
          <w:szCs w:val="21"/>
          <w:highlight w:val="none"/>
        </w:rPr>
      </w:pPr>
      <w:r>
        <w:rPr>
          <w:rFonts w:hint="eastAsia" w:ascii="宋体" w:hAnsi="宋体"/>
          <w:color w:val="auto"/>
          <w:szCs w:val="21"/>
          <w:highlight w:val="none"/>
        </w:rPr>
        <w:t xml:space="preserve">招标代理记录人：              </w:t>
      </w:r>
    </w:p>
    <w:p w14:paraId="53B90E8F">
      <w:pPr>
        <w:spacing w:line="440" w:lineRule="exact"/>
        <w:rPr>
          <w:rFonts w:ascii="宋体" w:hAnsi="宋体"/>
          <w:color w:val="auto"/>
          <w:szCs w:val="21"/>
          <w:highlight w:val="none"/>
        </w:rPr>
      </w:pPr>
    </w:p>
    <w:p w14:paraId="5365CC8D">
      <w:pPr>
        <w:spacing w:line="440" w:lineRule="exact"/>
        <w:rPr>
          <w:rFonts w:ascii="宋体" w:hAnsi="宋体"/>
          <w:color w:val="auto"/>
          <w:szCs w:val="21"/>
          <w:highlight w:val="none"/>
        </w:rPr>
      </w:pPr>
      <w:r>
        <w:rPr>
          <w:rFonts w:hint="eastAsia" w:ascii="宋体" w:hAnsi="宋体"/>
          <w:color w:val="auto"/>
          <w:szCs w:val="21"/>
          <w:highlight w:val="none"/>
        </w:rPr>
        <w:t xml:space="preserve">招标代理唱标人:               </w:t>
      </w:r>
    </w:p>
    <w:p w14:paraId="434DFE1A">
      <w:pPr>
        <w:spacing w:line="440" w:lineRule="exact"/>
        <w:rPr>
          <w:rFonts w:ascii="宋体" w:hAnsi="宋体"/>
          <w:color w:val="auto"/>
          <w:szCs w:val="21"/>
          <w:highlight w:val="none"/>
        </w:rPr>
      </w:pPr>
    </w:p>
    <w:p w14:paraId="2A11D173">
      <w:pPr>
        <w:spacing w:line="440" w:lineRule="exact"/>
        <w:rPr>
          <w:rFonts w:ascii="宋体" w:hAnsi="宋体"/>
          <w:color w:val="auto"/>
          <w:szCs w:val="21"/>
          <w:highlight w:val="none"/>
        </w:rPr>
      </w:pPr>
      <w:r>
        <w:rPr>
          <w:rFonts w:hint="eastAsia" w:ascii="宋体" w:hAnsi="宋体"/>
          <w:color w:val="auto"/>
          <w:szCs w:val="21"/>
          <w:highlight w:val="none"/>
        </w:rPr>
        <w:t xml:space="preserve">见证人员:              </w:t>
      </w:r>
    </w:p>
    <w:p w14:paraId="7BAE4B3E">
      <w:pPr>
        <w:spacing w:line="440" w:lineRule="exact"/>
        <w:rPr>
          <w:rFonts w:ascii="宋体" w:hAnsi="宋体"/>
          <w:color w:val="auto"/>
          <w:szCs w:val="21"/>
          <w:highlight w:val="none"/>
        </w:rPr>
      </w:pPr>
    </w:p>
    <w:p w14:paraId="2031596D">
      <w:pPr>
        <w:spacing w:line="440" w:lineRule="exact"/>
        <w:rPr>
          <w:rFonts w:ascii="宋体" w:hAnsi="宋体"/>
          <w:color w:val="auto"/>
          <w:szCs w:val="21"/>
          <w:highlight w:val="none"/>
        </w:rPr>
      </w:pPr>
      <w:r>
        <w:rPr>
          <w:rFonts w:hint="eastAsia" w:ascii="宋体" w:hAnsi="宋体"/>
          <w:color w:val="auto"/>
          <w:szCs w:val="21"/>
          <w:highlight w:val="none"/>
        </w:rPr>
        <w:t xml:space="preserve"> 日期:     年  月  日</w:t>
      </w:r>
    </w:p>
    <w:p w14:paraId="19C10A73">
      <w:pPr>
        <w:spacing w:line="440" w:lineRule="exact"/>
        <w:rPr>
          <w:color w:val="auto"/>
          <w:szCs w:val="21"/>
          <w:highlight w:val="none"/>
        </w:rPr>
      </w:pPr>
      <w:r>
        <w:rPr>
          <w:rFonts w:ascii="宋体" w:hAnsi="宋体"/>
          <w:color w:val="auto"/>
          <w:szCs w:val="21"/>
          <w:highlight w:val="none"/>
        </w:rPr>
        <w:br w:type="page"/>
      </w:r>
    </w:p>
    <w:p w14:paraId="11799789">
      <w:pPr>
        <w:spacing w:line="360" w:lineRule="auto"/>
        <w:jc w:val="left"/>
        <w:outlineLvl w:val="2"/>
        <w:rPr>
          <w:rFonts w:ascii="黑体" w:hAnsi="黑体" w:eastAsia="黑体"/>
          <w:color w:val="auto"/>
          <w:sz w:val="28"/>
          <w:szCs w:val="27"/>
          <w:highlight w:val="none"/>
        </w:rPr>
      </w:pPr>
      <w:bookmarkStart w:id="175" w:name="_Toc180758553"/>
      <w:bookmarkStart w:id="176" w:name="_Toc23091"/>
      <w:bookmarkStart w:id="177" w:name="_Toc21787684"/>
      <w:r>
        <w:rPr>
          <w:rFonts w:ascii="黑体" w:hAnsi="黑体" w:eastAsia="黑体"/>
          <w:color w:val="auto"/>
          <w:sz w:val="28"/>
          <w:szCs w:val="27"/>
          <w:highlight w:val="none"/>
        </w:rPr>
        <w:t>附</w:t>
      </w:r>
      <w:r>
        <w:rPr>
          <w:rFonts w:hint="eastAsia" w:ascii="黑体" w:hAnsi="黑体" w:eastAsia="黑体"/>
          <w:color w:val="auto"/>
          <w:sz w:val="28"/>
          <w:szCs w:val="27"/>
          <w:highlight w:val="none"/>
        </w:rPr>
        <w:t>件3</w:t>
      </w:r>
      <w:r>
        <w:rPr>
          <w:rFonts w:ascii="黑体" w:hAnsi="黑体" w:eastAsia="黑体"/>
          <w:color w:val="auto"/>
          <w:sz w:val="28"/>
          <w:szCs w:val="27"/>
          <w:highlight w:val="none"/>
        </w:rPr>
        <w:t>：问题澄清通知</w:t>
      </w:r>
      <w:bookmarkEnd w:id="175"/>
      <w:bookmarkEnd w:id="176"/>
      <w:bookmarkEnd w:id="177"/>
    </w:p>
    <w:p w14:paraId="6874393D">
      <w:pPr>
        <w:spacing w:line="440" w:lineRule="exact"/>
        <w:jc w:val="center"/>
        <w:rPr>
          <w:color w:val="auto"/>
          <w:szCs w:val="21"/>
          <w:highlight w:val="none"/>
        </w:rPr>
      </w:pPr>
    </w:p>
    <w:p w14:paraId="29979883">
      <w:pPr>
        <w:spacing w:line="440" w:lineRule="exact"/>
        <w:jc w:val="center"/>
        <w:rPr>
          <w:rFonts w:ascii="宋体" w:hAnsi="宋体"/>
          <w:b/>
          <w:color w:val="auto"/>
          <w:sz w:val="36"/>
          <w:szCs w:val="28"/>
          <w:highlight w:val="none"/>
        </w:rPr>
      </w:pPr>
      <w:r>
        <w:rPr>
          <w:rFonts w:ascii="宋体" w:hAnsi="宋体"/>
          <w:b/>
          <w:color w:val="auto"/>
          <w:sz w:val="36"/>
          <w:szCs w:val="28"/>
          <w:highlight w:val="none"/>
        </w:rPr>
        <w:t>问题澄清通知</w:t>
      </w:r>
    </w:p>
    <w:p w14:paraId="49E6E1FD">
      <w:pPr>
        <w:spacing w:line="440" w:lineRule="exact"/>
        <w:jc w:val="center"/>
        <w:rPr>
          <w:rFonts w:ascii="宋体" w:hAnsi="宋体"/>
          <w:color w:val="auto"/>
          <w:szCs w:val="21"/>
          <w:highlight w:val="none"/>
        </w:rPr>
      </w:pPr>
      <w:r>
        <w:rPr>
          <w:rFonts w:ascii="宋体" w:hAnsi="宋体"/>
          <w:color w:val="auto"/>
          <w:szCs w:val="21"/>
          <w:highlight w:val="none"/>
        </w:rPr>
        <w:t>编号：</w:t>
      </w:r>
      <w:r>
        <w:rPr>
          <w:rFonts w:hint="eastAsia" w:ascii="宋体" w:hAnsi="宋体"/>
          <w:color w:val="auto"/>
          <w:szCs w:val="21"/>
          <w:highlight w:val="none"/>
        </w:rPr>
        <w:t>__________________________</w:t>
      </w:r>
    </w:p>
    <w:p w14:paraId="03CD2B8A">
      <w:pPr>
        <w:spacing w:line="440" w:lineRule="exact"/>
        <w:rPr>
          <w:rFonts w:ascii="宋体" w:hAnsi="宋体"/>
          <w:color w:val="auto"/>
          <w:szCs w:val="21"/>
          <w:highlight w:val="none"/>
        </w:rPr>
      </w:pPr>
    </w:p>
    <w:p w14:paraId="36DE9792">
      <w:pPr>
        <w:spacing w:line="440" w:lineRule="exact"/>
        <w:rPr>
          <w:rFonts w:ascii="宋体" w:hAnsi="宋体"/>
          <w:color w:val="auto"/>
          <w:sz w:val="24"/>
          <w:szCs w:val="21"/>
          <w:highlight w:val="none"/>
        </w:rPr>
      </w:pPr>
      <w:r>
        <w:rPr>
          <w:rFonts w:ascii="宋体" w:hAnsi="宋体"/>
          <w:color w:val="auto"/>
          <w:sz w:val="24"/>
          <w:szCs w:val="21"/>
          <w:highlight w:val="none"/>
        </w:rPr>
        <w:t>（投标人名称）：</w:t>
      </w:r>
    </w:p>
    <w:p w14:paraId="549A49A4">
      <w:pPr>
        <w:spacing w:line="440" w:lineRule="exact"/>
        <w:rPr>
          <w:rFonts w:ascii="宋体" w:hAnsi="宋体"/>
          <w:color w:val="auto"/>
          <w:szCs w:val="21"/>
          <w:highlight w:val="none"/>
        </w:rPr>
      </w:pPr>
    </w:p>
    <w:p w14:paraId="5C3B7A41">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u w:val="single"/>
        </w:rPr>
        <w:t xml:space="preserve">　              </w:t>
      </w:r>
      <w:r>
        <w:rPr>
          <w:rFonts w:ascii="宋体" w:hAnsi="宋体"/>
          <w:color w:val="auto"/>
          <w:sz w:val="24"/>
          <w:highlight w:val="none"/>
        </w:rPr>
        <w:t>（项目名称）招标的评标委员会，对你方的投标文件进行了仔细的审查，现需你方对下列问题以书面形式予以澄清：</w:t>
      </w:r>
    </w:p>
    <w:p w14:paraId="56AB2D81">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1.</w:t>
      </w:r>
    </w:p>
    <w:p w14:paraId="5C94AF03">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2.</w:t>
      </w:r>
    </w:p>
    <w:p w14:paraId="36F6C205">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w:t>
      </w:r>
    </w:p>
    <w:p w14:paraId="1EACA827">
      <w:pPr>
        <w:spacing w:line="440" w:lineRule="exact"/>
        <w:rPr>
          <w:rFonts w:ascii="宋体" w:hAnsi="宋体"/>
          <w:color w:val="auto"/>
          <w:sz w:val="24"/>
          <w:szCs w:val="24"/>
          <w:highlight w:val="none"/>
        </w:rPr>
      </w:pPr>
      <w:r>
        <w:rPr>
          <w:rFonts w:ascii="宋体" w:hAnsi="宋体"/>
          <w:color w:val="auto"/>
          <w:sz w:val="24"/>
          <w:szCs w:val="24"/>
          <w:highlight w:val="none"/>
        </w:rPr>
        <w:t>　　请将上述问题的澄清于</w:t>
      </w:r>
      <w:r>
        <w:rPr>
          <w:rFonts w:ascii="宋体" w:hAnsi="宋体"/>
          <w:color w:val="auto"/>
          <w:sz w:val="24"/>
          <w:szCs w:val="24"/>
          <w:highlight w:val="none"/>
          <w:u w:val="single"/>
        </w:rPr>
        <w:t xml:space="preserve">        </w:t>
      </w:r>
      <w:r>
        <w:rPr>
          <w:rFonts w:ascii="宋体" w:hAnsi="宋体"/>
          <w:color w:val="auto"/>
          <w:sz w:val="24"/>
          <w:szCs w:val="24"/>
          <w:highlight w:val="none"/>
        </w:rPr>
        <w:t>年</w:t>
      </w:r>
      <w:r>
        <w:rPr>
          <w:rFonts w:ascii="宋体" w:hAnsi="宋体"/>
          <w:color w:val="auto"/>
          <w:sz w:val="24"/>
          <w:szCs w:val="24"/>
          <w:highlight w:val="none"/>
          <w:u w:val="single"/>
        </w:rPr>
        <w:t xml:space="preserve">        </w:t>
      </w:r>
      <w:r>
        <w:rPr>
          <w:rFonts w:ascii="宋体" w:hAnsi="宋体"/>
          <w:color w:val="auto"/>
          <w:sz w:val="24"/>
          <w:szCs w:val="24"/>
          <w:highlight w:val="none"/>
        </w:rPr>
        <w:t>月</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ascii="宋体" w:hAnsi="宋体"/>
          <w:color w:val="auto"/>
          <w:sz w:val="24"/>
          <w:szCs w:val="24"/>
          <w:highlight w:val="none"/>
          <w:u w:val="single"/>
        </w:rPr>
        <w:t xml:space="preserve">        </w:t>
      </w:r>
      <w:r>
        <w:rPr>
          <w:rFonts w:ascii="宋体" w:hAnsi="宋体"/>
          <w:color w:val="auto"/>
          <w:sz w:val="24"/>
          <w:szCs w:val="24"/>
          <w:highlight w:val="none"/>
        </w:rPr>
        <w:t>时前递交至</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rPr>
        <w:t>（详细地址）</w:t>
      </w:r>
      <w:r>
        <w:rPr>
          <w:rFonts w:hint="eastAsia" w:ascii="宋体" w:hAnsi="宋体"/>
          <w:color w:val="auto"/>
          <w:sz w:val="24"/>
          <w:szCs w:val="24"/>
          <w:highlight w:val="none"/>
        </w:rPr>
        <w:t>或传真至</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（传真号码）。采用传真方式的，应在</w:t>
      </w:r>
      <w:r>
        <w:rPr>
          <w:rFonts w:ascii="宋体" w:hAnsi="宋体"/>
          <w:color w:val="auto"/>
          <w:sz w:val="24"/>
          <w:szCs w:val="24"/>
          <w:highlight w:val="none"/>
          <w:u w:val="single"/>
        </w:rPr>
        <w:t xml:space="preserve">       </w:t>
      </w:r>
      <w:r>
        <w:rPr>
          <w:rFonts w:ascii="宋体" w:hAnsi="宋体"/>
          <w:color w:val="auto"/>
          <w:sz w:val="24"/>
          <w:szCs w:val="24"/>
          <w:highlight w:val="none"/>
        </w:rPr>
        <w:t>年</w:t>
      </w:r>
      <w:r>
        <w:rPr>
          <w:rFonts w:ascii="宋体" w:hAnsi="宋体"/>
          <w:color w:val="auto"/>
          <w:sz w:val="24"/>
          <w:szCs w:val="24"/>
          <w:highlight w:val="none"/>
          <w:u w:val="single"/>
        </w:rPr>
        <w:t xml:space="preserve">        </w:t>
      </w:r>
      <w:r>
        <w:rPr>
          <w:rFonts w:ascii="宋体" w:hAnsi="宋体"/>
          <w:color w:val="auto"/>
          <w:sz w:val="24"/>
          <w:szCs w:val="24"/>
          <w:highlight w:val="none"/>
        </w:rPr>
        <w:t>月</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ascii="宋体" w:hAnsi="宋体"/>
          <w:color w:val="auto"/>
          <w:sz w:val="24"/>
          <w:szCs w:val="24"/>
          <w:highlight w:val="none"/>
          <w:u w:val="single"/>
        </w:rPr>
        <w:t xml:space="preserve">        </w:t>
      </w:r>
      <w:r>
        <w:rPr>
          <w:rFonts w:hint="eastAsia" w:ascii="宋体" w:hAnsi="宋体"/>
          <w:color w:val="auto"/>
          <w:sz w:val="24"/>
          <w:szCs w:val="24"/>
          <w:highlight w:val="none"/>
        </w:rPr>
        <w:t>时前将原件递交至</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rPr>
        <w:t>（详细地址）。</w:t>
      </w:r>
    </w:p>
    <w:p w14:paraId="14BB34C7">
      <w:pPr>
        <w:spacing w:line="440" w:lineRule="exact"/>
        <w:rPr>
          <w:rFonts w:ascii="宋体" w:hAnsi="宋体"/>
          <w:color w:val="auto"/>
          <w:szCs w:val="21"/>
          <w:highlight w:val="none"/>
        </w:rPr>
      </w:pPr>
    </w:p>
    <w:p w14:paraId="470D51D2">
      <w:pPr>
        <w:spacing w:line="440" w:lineRule="exact"/>
        <w:rPr>
          <w:rFonts w:ascii="宋体" w:hAnsi="宋体"/>
          <w:color w:val="auto"/>
          <w:szCs w:val="21"/>
          <w:highlight w:val="none"/>
        </w:rPr>
      </w:pPr>
    </w:p>
    <w:p w14:paraId="6C94F5EC">
      <w:pPr>
        <w:spacing w:line="440" w:lineRule="exact"/>
        <w:rPr>
          <w:rFonts w:ascii="宋体" w:hAnsi="宋体"/>
          <w:color w:val="auto"/>
          <w:szCs w:val="21"/>
          <w:highlight w:val="none"/>
        </w:rPr>
      </w:pPr>
    </w:p>
    <w:p w14:paraId="436CBAE8">
      <w:pPr>
        <w:wordWrap w:val="0"/>
        <w:spacing w:line="360" w:lineRule="auto"/>
        <w:jc w:val="right"/>
        <w:rPr>
          <w:rFonts w:ascii="宋体" w:hAnsi="宋体"/>
          <w:color w:val="auto"/>
          <w:sz w:val="24"/>
          <w:szCs w:val="24"/>
          <w:highlight w:val="none"/>
        </w:rPr>
      </w:pPr>
      <w:r>
        <w:rPr>
          <w:rFonts w:hint="eastAsia" w:ascii="宋体" w:hAnsi="宋体"/>
          <w:color w:val="auto"/>
          <w:sz w:val="24"/>
          <w:szCs w:val="24"/>
          <w:highlight w:val="none"/>
        </w:rPr>
        <w:t>评标委员会签字</w:t>
      </w:r>
      <w:r>
        <w:rPr>
          <w:rFonts w:ascii="宋体" w:hAnsi="宋体"/>
          <w:color w:val="auto"/>
          <w:sz w:val="24"/>
          <w:szCs w:val="24"/>
          <w:highlight w:val="none"/>
        </w:rPr>
        <w:t>：</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1EE43562">
      <w:pPr>
        <w:spacing w:line="360" w:lineRule="auto"/>
        <w:ind w:firstLine="480" w:firstLineChars="200"/>
        <w:jc w:val="right"/>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 xml:space="preserve">年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月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日</w:t>
      </w:r>
    </w:p>
    <w:p w14:paraId="108FE6F6">
      <w:pPr>
        <w:spacing w:line="360" w:lineRule="auto"/>
        <w:jc w:val="left"/>
        <w:outlineLvl w:val="2"/>
        <w:rPr>
          <w:rFonts w:ascii="黑体" w:hAnsi="黑体" w:eastAsia="黑体"/>
          <w:color w:val="auto"/>
          <w:sz w:val="28"/>
          <w:szCs w:val="27"/>
          <w:highlight w:val="none"/>
        </w:rPr>
      </w:pPr>
      <w:r>
        <w:rPr>
          <w:color w:val="auto"/>
          <w:sz w:val="24"/>
          <w:highlight w:val="none"/>
        </w:rPr>
        <w:br w:type="page"/>
      </w:r>
      <w:bookmarkStart w:id="178" w:name="_Toc359263254"/>
      <w:bookmarkStart w:id="179" w:name="_Toc21787685"/>
      <w:bookmarkStart w:id="180" w:name="_Toc152042360"/>
      <w:bookmarkStart w:id="181" w:name="_Toc246996969"/>
      <w:bookmarkStart w:id="182" w:name="_Toc144974550"/>
      <w:bookmarkStart w:id="183" w:name="_Toc180758554"/>
      <w:bookmarkStart w:id="184" w:name="_Toc26463"/>
      <w:bookmarkStart w:id="185" w:name="_Toc247085741"/>
      <w:bookmarkStart w:id="186" w:name="_Toc332641308"/>
      <w:bookmarkStart w:id="187" w:name="_Toc246996226"/>
      <w:bookmarkStart w:id="188" w:name="_Toc179632601"/>
      <w:bookmarkStart w:id="189" w:name="_Toc152045583"/>
      <w:r>
        <w:rPr>
          <w:rFonts w:hint="eastAsia" w:ascii="黑体" w:hAnsi="黑体" w:eastAsia="黑体"/>
          <w:color w:val="auto"/>
          <w:sz w:val="28"/>
          <w:szCs w:val="27"/>
          <w:highlight w:val="none"/>
        </w:rPr>
        <w:t>附件4：中标通知书</w:t>
      </w:r>
      <w:bookmarkEnd w:id="178"/>
      <w:bookmarkEnd w:id="179"/>
      <w:bookmarkEnd w:id="180"/>
      <w:bookmarkEnd w:id="181"/>
      <w:bookmarkEnd w:id="182"/>
      <w:bookmarkEnd w:id="183"/>
      <w:bookmarkEnd w:id="184"/>
      <w:bookmarkEnd w:id="185"/>
      <w:bookmarkEnd w:id="186"/>
      <w:bookmarkEnd w:id="187"/>
      <w:bookmarkEnd w:id="188"/>
      <w:bookmarkEnd w:id="189"/>
    </w:p>
    <w:p w14:paraId="498DF0FD">
      <w:pPr>
        <w:spacing w:line="360" w:lineRule="auto"/>
        <w:rPr>
          <w:color w:val="auto"/>
          <w:sz w:val="24"/>
          <w:highlight w:val="none"/>
        </w:rPr>
      </w:pPr>
    </w:p>
    <w:p w14:paraId="6B6DFD8A">
      <w:pPr>
        <w:spacing w:line="360" w:lineRule="auto"/>
        <w:ind w:firstLine="480" w:firstLineChars="200"/>
        <w:jc w:val="left"/>
        <w:rPr>
          <w:color w:val="auto"/>
          <w:sz w:val="24"/>
          <w:highlight w:val="none"/>
        </w:rPr>
      </w:pPr>
      <w:r>
        <w:rPr>
          <w:rFonts w:hint="eastAsia"/>
          <w:color w:val="auto"/>
          <w:sz w:val="24"/>
          <w:szCs w:val="21"/>
          <w:highlight w:val="none"/>
          <w:u w:val="single"/>
        </w:rPr>
        <w:t>（注：中标通知书采用广州交易集团有限公司（广州公共资源交易中心）规定的格式）</w:t>
      </w:r>
    </w:p>
    <w:p w14:paraId="0D69EACF">
      <w:pPr>
        <w:pStyle w:val="2"/>
        <w:jc w:val="center"/>
        <w:rPr>
          <w:color w:val="auto"/>
          <w:highlight w:val="none"/>
        </w:rPr>
      </w:pPr>
      <w:r>
        <w:rPr>
          <w:color w:val="auto"/>
          <w:sz w:val="24"/>
          <w:highlight w:val="none"/>
        </w:rPr>
        <w:br w:type="page"/>
      </w:r>
      <w:bookmarkStart w:id="190" w:name="_Toc21787686"/>
      <w:bookmarkStart w:id="191" w:name="_Toc180758555"/>
      <w:r>
        <w:rPr>
          <w:rFonts w:hint="eastAsia"/>
          <w:color w:val="auto"/>
          <w:highlight w:val="none"/>
        </w:rPr>
        <w:t>第三章 评标办法（综合评估法）</w:t>
      </w:r>
      <w:bookmarkEnd w:id="190"/>
      <w:bookmarkEnd w:id="191"/>
    </w:p>
    <w:p w14:paraId="293A3FF7">
      <w:pPr>
        <w:spacing w:line="360" w:lineRule="auto"/>
        <w:ind w:firstLine="560" w:firstLineChars="200"/>
        <w:jc w:val="center"/>
        <w:outlineLvl w:val="1"/>
        <w:rPr>
          <w:rFonts w:ascii="黑体" w:hAnsi="黑体" w:eastAsia="黑体"/>
          <w:color w:val="auto"/>
          <w:sz w:val="28"/>
          <w:szCs w:val="27"/>
          <w:highlight w:val="none"/>
        </w:rPr>
      </w:pPr>
      <w:bookmarkStart w:id="192" w:name="_Toc21787687"/>
      <w:bookmarkStart w:id="193" w:name="_Toc180758556"/>
      <w:bookmarkStart w:id="194" w:name="_Toc14157"/>
      <w:r>
        <w:rPr>
          <w:rFonts w:hint="eastAsia" w:ascii="黑体" w:hAnsi="黑体" w:eastAsia="黑体"/>
          <w:color w:val="auto"/>
          <w:sz w:val="28"/>
          <w:szCs w:val="27"/>
          <w:highlight w:val="none"/>
        </w:rPr>
        <w:t>评标办法修改表</w:t>
      </w:r>
      <w:bookmarkEnd w:id="192"/>
      <w:bookmarkEnd w:id="193"/>
      <w:bookmarkEnd w:id="194"/>
    </w:p>
    <w:p w14:paraId="1E5DA72B">
      <w:pPr>
        <w:pBdr>
          <w:bottom w:val="single" w:color="auto" w:sz="6" w:space="1"/>
        </w:pBdr>
        <w:spacing w:line="360" w:lineRule="auto"/>
        <w:ind w:firstLine="480" w:firstLineChars="200"/>
        <w:rPr>
          <w:rFonts w:ascii="宋体" w:hAnsi="宋体" w:cs="宋体"/>
          <w:color w:val="auto"/>
          <w:sz w:val="24"/>
          <w:szCs w:val="24"/>
          <w:highlight w:val="none"/>
        </w:rPr>
      </w:pPr>
    </w:p>
    <w:p w14:paraId="543D19DB">
      <w:pPr>
        <w:spacing w:line="360" w:lineRule="auto"/>
        <w:ind w:firstLine="482" w:firstLineChars="200"/>
        <w:rPr>
          <w:rFonts w:ascii="宋体" w:hAnsi="宋体" w:cs="宋体"/>
          <w:b/>
          <w:bCs/>
          <w:color w:val="auto"/>
          <w:sz w:val="24"/>
          <w:szCs w:val="21"/>
          <w:highlight w:val="none"/>
        </w:rPr>
      </w:pPr>
      <w:r>
        <w:rPr>
          <w:rFonts w:hint="eastAsia" w:ascii="宋体" w:hAnsi="宋体" w:cs="宋体"/>
          <w:b/>
          <w:bCs/>
          <w:color w:val="auto"/>
          <w:sz w:val="24"/>
          <w:szCs w:val="21"/>
          <w:highlight w:val="none"/>
        </w:rPr>
        <w:t>条款号：综合评估法一：《评标办法前附表》     修改类型：修改</w:t>
      </w:r>
    </w:p>
    <w:p w14:paraId="6CA665C3">
      <w:pPr>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原文：</w:t>
      </w:r>
      <w:r>
        <w:rPr>
          <w:rFonts w:hint="eastAsia" w:ascii="宋体" w:hAnsi="宋体" w:cs="宋体"/>
          <w:color w:val="auto"/>
          <w:sz w:val="24"/>
          <w:szCs w:val="24"/>
          <w:highlight w:val="none"/>
        </w:rPr>
        <w:t>《评标办法前附表》（原文略）</w:t>
      </w:r>
    </w:p>
    <w:p w14:paraId="17052769">
      <w:pPr>
        <w:pBdr>
          <w:bottom w:val="single" w:color="auto" w:sz="6" w:space="1"/>
        </w:pBdr>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现文：</w:t>
      </w:r>
      <w:r>
        <w:rPr>
          <w:rFonts w:hint="eastAsia" w:ascii="宋体" w:hAnsi="宋体" w:cs="宋体"/>
          <w:color w:val="auto"/>
          <w:sz w:val="24"/>
          <w:szCs w:val="24"/>
          <w:highlight w:val="none"/>
        </w:rPr>
        <w:t>修改后的《评标办法前附表》后附。</w:t>
      </w:r>
    </w:p>
    <w:p w14:paraId="32236057">
      <w:pPr>
        <w:spacing w:line="360" w:lineRule="auto"/>
        <w:ind w:firstLine="482" w:firstLineChars="200"/>
        <w:rPr>
          <w:rFonts w:ascii="宋体" w:hAnsi="宋体" w:cs="宋体"/>
          <w:b/>
          <w:bCs/>
          <w:color w:val="auto"/>
          <w:sz w:val="24"/>
          <w:szCs w:val="21"/>
          <w:highlight w:val="none"/>
        </w:rPr>
      </w:pPr>
      <w:r>
        <w:rPr>
          <w:rFonts w:hint="eastAsia" w:ascii="宋体" w:hAnsi="宋体" w:cs="宋体"/>
          <w:b/>
          <w:bCs/>
          <w:color w:val="auto"/>
          <w:sz w:val="24"/>
          <w:szCs w:val="21"/>
          <w:highlight w:val="none"/>
        </w:rPr>
        <w:t>条款号：可选方法二         修改类型：删除</w:t>
      </w:r>
    </w:p>
    <w:p w14:paraId="62551444">
      <w:pPr>
        <w:pBdr>
          <w:bottom w:val="single" w:color="auto" w:sz="6" w:space="1"/>
        </w:pBdr>
        <w:spacing w:line="360" w:lineRule="auto"/>
        <w:ind w:firstLine="482" w:firstLineChars="200"/>
        <w:rPr>
          <w:rFonts w:ascii="宋体" w:hAnsi="宋体" w:cs="宋体"/>
          <w:color w:val="auto"/>
          <w:sz w:val="24"/>
          <w:szCs w:val="21"/>
          <w:highlight w:val="none"/>
        </w:rPr>
      </w:pPr>
      <w:r>
        <w:rPr>
          <w:rFonts w:hint="eastAsia" w:ascii="宋体" w:hAnsi="宋体" w:cs="宋体"/>
          <w:b/>
          <w:bCs/>
          <w:color w:val="auto"/>
          <w:sz w:val="24"/>
          <w:szCs w:val="21"/>
          <w:highlight w:val="none"/>
        </w:rPr>
        <w:t>原文：</w:t>
      </w:r>
      <w:r>
        <w:rPr>
          <w:rFonts w:hint="eastAsia" w:ascii="宋体" w:hAnsi="宋体" w:cs="宋体"/>
          <w:color w:val="auto"/>
          <w:sz w:val="24"/>
          <w:szCs w:val="21"/>
          <w:highlight w:val="none"/>
        </w:rPr>
        <w:t>可选方法二：综合评估法二（综合评估分值由投标报价和诚信分数组成，要求投标人编制技术文件并对其进行合格性审查）</w:t>
      </w:r>
    </w:p>
    <w:p w14:paraId="2FE36B88">
      <w:pPr>
        <w:spacing w:line="360" w:lineRule="auto"/>
        <w:ind w:firstLine="482" w:firstLineChars="200"/>
        <w:rPr>
          <w:rFonts w:ascii="宋体" w:hAnsi="宋体" w:cs="宋体"/>
          <w:b/>
          <w:bCs/>
          <w:color w:val="auto"/>
          <w:sz w:val="24"/>
          <w:szCs w:val="21"/>
          <w:highlight w:val="none"/>
        </w:rPr>
      </w:pPr>
      <w:r>
        <w:rPr>
          <w:rFonts w:hint="eastAsia" w:ascii="宋体" w:hAnsi="宋体" w:cs="宋体"/>
          <w:b/>
          <w:bCs/>
          <w:color w:val="auto"/>
          <w:sz w:val="24"/>
          <w:szCs w:val="21"/>
          <w:highlight w:val="none"/>
        </w:rPr>
        <w:t>条款号：可选方法三         修改类型：删除</w:t>
      </w:r>
    </w:p>
    <w:p w14:paraId="4C2469C7">
      <w:pPr>
        <w:pBdr>
          <w:bottom w:val="single" w:color="auto" w:sz="6" w:space="1"/>
        </w:pBdr>
        <w:spacing w:line="360" w:lineRule="auto"/>
        <w:ind w:firstLine="482" w:firstLineChars="200"/>
        <w:rPr>
          <w:rFonts w:ascii="宋体" w:hAnsi="宋体" w:cs="宋体"/>
          <w:color w:val="auto"/>
          <w:sz w:val="24"/>
          <w:szCs w:val="21"/>
          <w:highlight w:val="none"/>
        </w:rPr>
      </w:pPr>
      <w:r>
        <w:rPr>
          <w:rFonts w:hint="eastAsia" w:ascii="宋体" w:hAnsi="宋体" w:cs="宋体"/>
          <w:b/>
          <w:bCs/>
          <w:color w:val="auto"/>
          <w:sz w:val="24"/>
          <w:szCs w:val="21"/>
          <w:highlight w:val="none"/>
        </w:rPr>
        <w:t>原文：</w:t>
      </w:r>
      <w:r>
        <w:rPr>
          <w:rFonts w:hint="eastAsia" w:ascii="宋体" w:hAnsi="宋体" w:cs="宋体"/>
          <w:color w:val="auto"/>
          <w:sz w:val="24"/>
          <w:szCs w:val="21"/>
          <w:highlight w:val="none"/>
        </w:rPr>
        <w:t>可选方法三：综合评估法三（综合评估分值由投标报价和诚信分数组成，投标人无需编制技术文件）</w:t>
      </w:r>
    </w:p>
    <w:p w14:paraId="0986CFED">
      <w:pPr>
        <w:spacing w:line="360" w:lineRule="auto"/>
        <w:ind w:firstLine="482" w:firstLineChars="200"/>
        <w:rPr>
          <w:rFonts w:ascii="宋体" w:hAnsi="宋体" w:cs="宋体"/>
          <w:b/>
          <w:bCs/>
          <w:color w:val="auto"/>
          <w:sz w:val="24"/>
          <w:szCs w:val="21"/>
          <w:highlight w:val="none"/>
        </w:rPr>
      </w:pPr>
      <w:r>
        <w:rPr>
          <w:rFonts w:hint="eastAsia" w:ascii="宋体" w:hAnsi="宋体" w:cs="宋体"/>
          <w:b/>
          <w:bCs/>
          <w:color w:val="auto"/>
          <w:sz w:val="24"/>
          <w:szCs w:val="21"/>
          <w:highlight w:val="none"/>
        </w:rPr>
        <w:t>条款号：</w:t>
      </w:r>
      <w:r>
        <w:rPr>
          <w:rFonts w:hint="eastAsia" w:ascii="宋体" w:hAnsi="宋体" w:cs="宋体"/>
          <w:b/>
          <w:bCs/>
          <w:color w:val="auto"/>
          <w:sz w:val="24"/>
          <w:szCs w:val="24"/>
          <w:highlight w:val="none"/>
        </w:rPr>
        <w:t>第三章评标办法（经评审的最低投标价法）</w:t>
      </w:r>
      <w:r>
        <w:rPr>
          <w:rFonts w:hint="eastAsia" w:ascii="宋体" w:hAnsi="宋体" w:cs="宋体"/>
          <w:b/>
          <w:bCs/>
          <w:color w:val="auto"/>
          <w:sz w:val="24"/>
          <w:szCs w:val="21"/>
          <w:highlight w:val="none"/>
        </w:rPr>
        <w:t xml:space="preserve">    修改类型：删除</w:t>
      </w:r>
    </w:p>
    <w:p w14:paraId="2FA76E88">
      <w:pPr>
        <w:pBdr>
          <w:bottom w:val="single" w:color="auto" w:sz="6" w:space="1"/>
        </w:pBdr>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1"/>
          <w:highlight w:val="none"/>
        </w:rPr>
        <w:t>原文：</w:t>
      </w:r>
      <w:r>
        <w:rPr>
          <w:rFonts w:hint="eastAsia" w:ascii="宋体" w:hAnsi="宋体" w:cs="宋体"/>
          <w:color w:val="auto"/>
          <w:sz w:val="24"/>
          <w:szCs w:val="24"/>
          <w:highlight w:val="none"/>
        </w:rPr>
        <w:t>第三章评标办法（经评审的最低投标价法）</w:t>
      </w:r>
    </w:p>
    <w:p w14:paraId="2138784B">
      <w:pPr>
        <w:spacing w:line="360" w:lineRule="auto"/>
        <w:ind w:firstLine="482" w:firstLineChars="200"/>
        <w:rPr>
          <w:rFonts w:ascii="宋体" w:hAnsi="宋体" w:cs="宋体"/>
          <w:b/>
          <w:bCs/>
          <w:color w:val="auto"/>
          <w:sz w:val="24"/>
          <w:szCs w:val="21"/>
          <w:highlight w:val="none"/>
        </w:rPr>
      </w:pPr>
      <w:r>
        <w:rPr>
          <w:rFonts w:hint="eastAsia" w:ascii="宋体" w:hAnsi="宋体" w:cs="宋体"/>
          <w:b/>
          <w:bCs/>
          <w:color w:val="auto"/>
          <w:sz w:val="24"/>
          <w:szCs w:val="21"/>
          <w:highlight w:val="none"/>
        </w:rPr>
        <w:t>条款号：</w:t>
      </w:r>
      <w:r>
        <w:rPr>
          <w:rFonts w:hint="eastAsia" w:ascii="宋体" w:hAnsi="宋体" w:cs="宋体"/>
          <w:b/>
          <w:bCs/>
          <w:color w:val="auto"/>
          <w:sz w:val="24"/>
          <w:szCs w:val="24"/>
          <w:highlight w:val="none"/>
        </w:rPr>
        <w:t>第三章经评审的最低投标价法（二）</w:t>
      </w:r>
      <w:r>
        <w:rPr>
          <w:rFonts w:hint="eastAsia" w:ascii="宋体" w:hAnsi="宋体" w:cs="宋体"/>
          <w:b/>
          <w:bCs/>
          <w:color w:val="auto"/>
          <w:sz w:val="24"/>
          <w:szCs w:val="21"/>
          <w:highlight w:val="none"/>
        </w:rPr>
        <w:t xml:space="preserve">    修改类型：删除</w:t>
      </w:r>
    </w:p>
    <w:p w14:paraId="7EF0D9D6">
      <w:pPr>
        <w:pBdr>
          <w:bottom w:val="single" w:color="auto" w:sz="6" w:space="1"/>
        </w:pBdr>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1"/>
          <w:highlight w:val="none"/>
        </w:rPr>
        <w:t>原文：</w:t>
      </w:r>
      <w:r>
        <w:rPr>
          <w:rFonts w:hint="eastAsia" w:ascii="宋体" w:hAnsi="宋体" w:cs="宋体"/>
          <w:color w:val="auto"/>
          <w:sz w:val="24"/>
          <w:szCs w:val="24"/>
          <w:highlight w:val="none"/>
        </w:rPr>
        <w:t>第三章 经评审的最低投标价法（二）</w:t>
      </w:r>
    </w:p>
    <w:p w14:paraId="35728FAB">
      <w:pPr>
        <w:spacing w:line="360" w:lineRule="auto"/>
        <w:ind w:firstLine="482" w:firstLineChars="200"/>
        <w:rPr>
          <w:rFonts w:ascii="宋体" w:hAnsi="宋体" w:cs="宋体"/>
          <w:b/>
          <w:bCs/>
          <w:color w:val="auto"/>
          <w:sz w:val="24"/>
          <w:szCs w:val="21"/>
          <w:highlight w:val="none"/>
        </w:rPr>
      </w:pPr>
      <w:r>
        <w:rPr>
          <w:rFonts w:hint="eastAsia" w:ascii="宋体" w:hAnsi="宋体" w:cs="宋体"/>
          <w:b/>
          <w:bCs/>
          <w:color w:val="auto"/>
          <w:sz w:val="24"/>
          <w:szCs w:val="21"/>
          <w:highlight w:val="none"/>
        </w:rPr>
        <w:t>条款号：</w:t>
      </w:r>
      <w:r>
        <w:rPr>
          <w:rFonts w:hint="eastAsia" w:ascii="宋体" w:hAnsi="宋体" w:cs="宋体"/>
          <w:b/>
          <w:bCs/>
          <w:color w:val="auto"/>
          <w:sz w:val="24"/>
          <w:szCs w:val="24"/>
          <w:highlight w:val="none"/>
        </w:rPr>
        <w:t>第三章评标办法（两阶段评标法）</w:t>
      </w:r>
      <w:r>
        <w:rPr>
          <w:rFonts w:hint="eastAsia" w:ascii="宋体" w:hAnsi="宋体" w:cs="宋体"/>
          <w:b/>
          <w:bCs/>
          <w:color w:val="auto"/>
          <w:sz w:val="24"/>
          <w:szCs w:val="21"/>
          <w:highlight w:val="none"/>
        </w:rPr>
        <w:t xml:space="preserve">    修改类型：删除</w:t>
      </w:r>
    </w:p>
    <w:p w14:paraId="6CBA04F1">
      <w:pPr>
        <w:pBdr>
          <w:bottom w:val="single" w:color="auto" w:sz="6" w:space="1"/>
        </w:pBdr>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1"/>
          <w:highlight w:val="none"/>
        </w:rPr>
        <w:t>原文：</w:t>
      </w:r>
      <w:r>
        <w:rPr>
          <w:rFonts w:hint="eastAsia" w:ascii="宋体" w:hAnsi="宋体" w:cs="宋体"/>
          <w:color w:val="auto"/>
          <w:sz w:val="24"/>
          <w:szCs w:val="24"/>
          <w:highlight w:val="none"/>
        </w:rPr>
        <w:t>第三章评标办法（两阶段评标法）</w:t>
      </w:r>
    </w:p>
    <w:p w14:paraId="5AC525EF">
      <w:pPr>
        <w:spacing w:line="360" w:lineRule="auto"/>
        <w:ind w:firstLine="482" w:firstLineChars="200"/>
        <w:rPr>
          <w:rFonts w:ascii="宋体" w:hAnsi="宋体" w:cs="宋体"/>
          <w:b/>
          <w:bCs/>
          <w:color w:val="auto"/>
          <w:sz w:val="24"/>
          <w:szCs w:val="21"/>
          <w:highlight w:val="none"/>
        </w:rPr>
      </w:pPr>
      <w:r>
        <w:rPr>
          <w:rFonts w:hint="eastAsia" w:ascii="宋体" w:hAnsi="宋体" w:cs="宋体"/>
          <w:b/>
          <w:bCs/>
          <w:color w:val="auto"/>
          <w:sz w:val="24"/>
          <w:szCs w:val="21"/>
          <w:highlight w:val="none"/>
        </w:rPr>
        <w:t>条款号：</w:t>
      </w:r>
      <w:r>
        <w:rPr>
          <w:rFonts w:hint="eastAsia" w:ascii="宋体" w:hAnsi="宋体" w:cs="宋体"/>
          <w:b/>
          <w:bCs/>
          <w:color w:val="auto"/>
          <w:sz w:val="24"/>
          <w:szCs w:val="24"/>
          <w:highlight w:val="none"/>
        </w:rPr>
        <w:t>第三章评标办法（两阶段评标法）</w:t>
      </w:r>
      <w:r>
        <w:rPr>
          <w:rFonts w:hint="eastAsia" w:ascii="宋体" w:hAnsi="宋体" w:cs="宋体"/>
          <w:b/>
          <w:bCs/>
          <w:color w:val="auto"/>
          <w:sz w:val="24"/>
          <w:szCs w:val="21"/>
          <w:highlight w:val="none"/>
        </w:rPr>
        <w:t xml:space="preserve">    修改类型：删除</w:t>
      </w:r>
    </w:p>
    <w:p w14:paraId="4E0CC93A">
      <w:pPr>
        <w:pBdr>
          <w:bottom w:val="single" w:color="auto" w:sz="6" w:space="1"/>
        </w:pBdr>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1"/>
          <w:highlight w:val="none"/>
        </w:rPr>
        <w:t>原文：</w:t>
      </w:r>
    </w:p>
    <w:p w14:paraId="4D8F2E39">
      <w:pPr>
        <w:pBdr>
          <w:bottom w:val="single" w:color="auto" w:sz="6" w:space="1"/>
        </w:pBd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1.评标办法</w:t>
      </w:r>
    </w:p>
    <w:p w14:paraId="11F89CFF">
      <w:pPr>
        <w:pBdr>
          <w:bottom w:val="single" w:color="auto" w:sz="6" w:space="1"/>
        </w:pBd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总得分相同的投标文件，以报价较低的排前；总得分与报价均相同的投标文件，以技术评审得分（或商务评审得分）较高的排前；如仍存在相同情况，则对具有相同情况的投标人，由评委通过记名投标表决（不得弃权），以“少数服从多数”的原则确定排序。（注：具体由招标人自行确定）</w:t>
      </w:r>
    </w:p>
    <w:p w14:paraId="6FBA35D1">
      <w:pPr>
        <w:pBdr>
          <w:bottom w:val="single" w:color="auto" w:sz="6" w:space="1"/>
        </w:pBd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现文：</w:t>
      </w:r>
    </w:p>
    <w:p w14:paraId="05FEA88D">
      <w:pPr>
        <w:pBdr>
          <w:bottom w:val="single" w:color="auto" w:sz="6" w:space="1"/>
        </w:pBd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1.评标办法</w:t>
      </w:r>
    </w:p>
    <w:p w14:paraId="2B0AE123">
      <w:pPr>
        <w:pBdr>
          <w:bottom w:val="single" w:color="auto" w:sz="6" w:space="1"/>
        </w:pBd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总得分相同的，商务评审得分高的投标人排序为先；若商务评审得分也相同，技术评审得分高的投标人排序为先；若技术评审得分、商务评审得分均相同，则由评委通过记名投标表决（不得弃权），以“少数服从多数”的原则确定排序。</w:t>
      </w:r>
    </w:p>
    <w:p w14:paraId="30542416">
      <w:pPr>
        <w:pBdr>
          <w:bottom w:val="single" w:color="auto" w:sz="6" w:space="1"/>
        </w:pBdr>
        <w:spacing w:line="360" w:lineRule="auto"/>
        <w:ind w:firstLine="480" w:firstLineChars="200"/>
        <w:rPr>
          <w:rFonts w:ascii="宋体" w:hAnsi="宋体" w:cs="宋体"/>
          <w:color w:val="auto"/>
          <w:sz w:val="24"/>
          <w:szCs w:val="24"/>
          <w:highlight w:val="none"/>
        </w:rPr>
      </w:pPr>
    </w:p>
    <w:p w14:paraId="14B0D53D">
      <w:pPr>
        <w:spacing w:line="360" w:lineRule="auto"/>
        <w:ind w:firstLine="482" w:firstLineChars="200"/>
        <w:jc w:val="left"/>
        <w:rPr>
          <w:rFonts w:hint="eastAsia" w:ascii="宋体" w:hAnsi="宋体" w:cs="宋体"/>
          <w:b/>
          <w:bCs/>
          <w:color w:val="auto"/>
          <w:sz w:val="24"/>
          <w:szCs w:val="21"/>
          <w:highlight w:val="none"/>
          <w:lang w:bidi="ar"/>
        </w:rPr>
      </w:pPr>
      <w:r>
        <w:rPr>
          <w:rFonts w:hint="eastAsia" w:ascii="宋体" w:hAnsi="宋体" w:cs="宋体"/>
          <w:b/>
          <w:bCs/>
          <w:color w:val="auto"/>
          <w:sz w:val="24"/>
          <w:szCs w:val="21"/>
          <w:highlight w:val="none"/>
          <w:lang w:bidi="ar"/>
        </w:rPr>
        <w:t>条款号：2.2.2            修改类型：修改</w:t>
      </w:r>
    </w:p>
    <w:p w14:paraId="2A0C814C">
      <w:pPr>
        <w:spacing w:line="360" w:lineRule="auto"/>
        <w:ind w:firstLine="482" w:firstLineChars="200"/>
        <w:rPr>
          <w:rFonts w:ascii="宋体" w:hAnsi="宋体"/>
          <w:color w:val="auto"/>
          <w:sz w:val="24"/>
          <w:highlight w:val="none"/>
        </w:rPr>
      </w:pPr>
      <w:r>
        <w:rPr>
          <w:rFonts w:hint="eastAsia" w:ascii="宋体" w:hAnsi="宋体"/>
          <w:b/>
          <w:bCs/>
          <w:color w:val="auto"/>
          <w:sz w:val="24"/>
          <w:szCs w:val="21"/>
          <w:highlight w:val="none"/>
        </w:rPr>
        <w:t>原文：</w:t>
      </w:r>
      <w:r>
        <w:rPr>
          <w:rFonts w:hint="eastAsia" w:ascii="宋体" w:hAnsi="宋体"/>
          <w:color w:val="auto"/>
          <w:sz w:val="24"/>
          <w:highlight w:val="none"/>
        </w:rPr>
        <w:t>2.2.2有效投标报价</w:t>
      </w:r>
    </w:p>
    <w:p w14:paraId="713DE40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通过初步评审且不高于最高投标限价的投标报价为有效投标报价。投标报价不得低于成本价，否则投标报价为无效投标报价。</w:t>
      </w:r>
    </w:p>
    <w:p w14:paraId="5543C7E0">
      <w:pPr>
        <w:spacing w:line="360" w:lineRule="auto"/>
        <w:ind w:firstLine="480" w:firstLineChars="200"/>
        <w:rPr>
          <w:rFonts w:hint="eastAsia" w:ascii="宋体" w:hAnsi="宋体"/>
          <w:color w:val="auto"/>
          <w:sz w:val="24"/>
          <w:szCs w:val="21"/>
          <w:highlight w:val="none"/>
        </w:rPr>
      </w:pPr>
    </w:p>
    <w:p w14:paraId="2E658091">
      <w:pPr>
        <w:spacing w:line="360" w:lineRule="auto"/>
        <w:ind w:firstLine="482" w:firstLineChars="200"/>
        <w:rPr>
          <w:rFonts w:ascii="宋体" w:hAnsi="宋体"/>
          <w:color w:val="auto"/>
          <w:sz w:val="24"/>
          <w:highlight w:val="none"/>
        </w:rPr>
      </w:pPr>
      <w:r>
        <w:rPr>
          <w:rFonts w:hint="eastAsia" w:ascii="宋体" w:hAnsi="宋体"/>
          <w:b/>
          <w:bCs/>
          <w:color w:val="auto"/>
          <w:sz w:val="24"/>
          <w:szCs w:val="21"/>
          <w:highlight w:val="none"/>
        </w:rPr>
        <w:t>现文：</w:t>
      </w:r>
      <w:r>
        <w:rPr>
          <w:rFonts w:hint="eastAsia" w:ascii="宋体" w:hAnsi="宋体"/>
          <w:color w:val="auto"/>
          <w:sz w:val="24"/>
          <w:highlight w:val="none"/>
        </w:rPr>
        <w:t>2.2.2有效投标报价</w:t>
      </w:r>
    </w:p>
    <w:p w14:paraId="590AEDF1">
      <w:pPr>
        <w:pBdr>
          <w:bottom w:val="single" w:color="auto" w:sz="4" w:space="0"/>
        </w:pBdr>
        <w:spacing w:line="360" w:lineRule="auto"/>
        <w:ind w:firstLine="480" w:firstLineChars="200"/>
        <w:jc w:val="left"/>
        <w:rPr>
          <w:rFonts w:ascii="宋体" w:hAnsi="宋体" w:cs="宋体"/>
          <w:color w:val="auto"/>
          <w:sz w:val="24"/>
          <w:szCs w:val="24"/>
          <w:highlight w:val="none"/>
          <w:u w:val="single"/>
        </w:rPr>
      </w:pPr>
      <w:r>
        <w:rPr>
          <w:rFonts w:hint="eastAsia" w:ascii="宋体" w:hAnsi="宋体"/>
          <w:color w:val="auto"/>
          <w:sz w:val="24"/>
          <w:highlight w:val="none"/>
        </w:rPr>
        <w:t>通过初步评审且不高于最高投标限价的投标报价为有效投标报价。非竞争性费用需与招标人发布的金额一致，不一致的投标报价无效。投标报价不得低于成本价，否则投标报价为无效投标报价。成本警示价见第二章投标人须知前附表第3.2.4项。</w:t>
      </w:r>
      <w:r>
        <w:rPr>
          <w:rFonts w:hint="eastAsia" w:ascii="宋体" w:hAnsi="宋体"/>
          <w:color w:val="auto"/>
          <w:sz w:val="24"/>
          <w:highlight w:val="none"/>
          <w:u w:val="single"/>
        </w:rPr>
        <w:t>对低于该成本警示价的投标报价，投标人必须提供详细的施工组织设计、单价、措施性费用、单价分析表、主要材料价格表、投标人成本分析供评标委员会评审，由评标委员会判定其是否低于企业自身成本，投标人未在投标文件中提供相关材料或者不能合理说明的，由评标委员会认定该投标人以低于成本报价竞标，应当否决其投标；在评标过程中，评标委员会发现投标人的报价明显低于其他投标报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14:paraId="4FB74356">
      <w:pPr>
        <w:spacing w:line="360" w:lineRule="auto"/>
        <w:ind w:firstLine="482" w:firstLineChars="200"/>
        <w:jc w:val="left"/>
        <w:rPr>
          <w:rFonts w:ascii="宋体" w:hAnsi="宋体" w:cs="宋体"/>
          <w:b/>
          <w:bCs/>
          <w:color w:val="auto"/>
          <w:sz w:val="24"/>
          <w:szCs w:val="21"/>
          <w:highlight w:val="none"/>
        </w:rPr>
      </w:pPr>
      <w:r>
        <w:rPr>
          <w:rFonts w:hint="eastAsia" w:ascii="宋体" w:hAnsi="宋体" w:cs="宋体"/>
          <w:b/>
          <w:bCs/>
          <w:color w:val="auto"/>
          <w:sz w:val="24"/>
          <w:szCs w:val="21"/>
          <w:highlight w:val="none"/>
          <w:lang w:bidi="ar"/>
        </w:rPr>
        <w:t>条款号：2.2.3             修改类型：修改</w:t>
      </w:r>
    </w:p>
    <w:p w14:paraId="3D034712">
      <w:pPr>
        <w:spacing w:line="360" w:lineRule="auto"/>
        <w:ind w:firstLine="482" w:firstLineChars="200"/>
        <w:rPr>
          <w:rFonts w:ascii="宋体" w:hAnsi="宋体"/>
          <w:color w:val="auto"/>
          <w:sz w:val="24"/>
          <w:szCs w:val="24"/>
          <w:highlight w:val="none"/>
        </w:rPr>
      </w:pPr>
      <w:r>
        <w:rPr>
          <w:rFonts w:hint="eastAsia" w:ascii="宋体" w:hAnsi="宋体" w:cs="宋体"/>
          <w:b/>
          <w:bCs/>
          <w:color w:val="auto"/>
          <w:sz w:val="24"/>
          <w:szCs w:val="21"/>
          <w:highlight w:val="none"/>
          <w:lang w:bidi="ar"/>
        </w:rPr>
        <w:t>原文：</w:t>
      </w:r>
      <w:r>
        <w:rPr>
          <w:rFonts w:hint="eastAsia" w:ascii="宋体" w:hAnsi="宋体"/>
          <w:color w:val="auto"/>
          <w:sz w:val="24"/>
          <w:szCs w:val="24"/>
          <w:highlight w:val="none"/>
        </w:rPr>
        <w:t>评标基准价可按以下方式确定：</w:t>
      </w:r>
      <w:r>
        <w:rPr>
          <w:rFonts w:hint="eastAsia" w:ascii="宋体" w:hAnsi="宋体"/>
          <w:b/>
          <w:color w:val="auto"/>
          <w:sz w:val="24"/>
          <w:szCs w:val="24"/>
          <w:highlight w:val="none"/>
        </w:rPr>
        <w:t>（</w:t>
      </w:r>
      <w:r>
        <w:rPr>
          <w:rFonts w:hint="eastAsia" w:ascii="宋体" w:hAnsi="宋体"/>
          <w:b/>
          <w:i/>
          <w:iCs/>
          <w:color w:val="auto"/>
          <w:sz w:val="24"/>
          <w:szCs w:val="24"/>
          <w:highlight w:val="none"/>
        </w:rPr>
        <w:t>注：招标人自行选择，五选一</w:t>
      </w:r>
      <w:r>
        <w:rPr>
          <w:rFonts w:hint="eastAsia" w:ascii="宋体" w:hAnsi="宋体"/>
          <w:b/>
          <w:color w:val="auto"/>
          <w:sz w:val="24"/>
          <w:szCs w:val="24"/>
          <w:highlight w:val="none"/>
        </w:rPr>
        <w:t>）</w:t>
      </w:r>
    </w:p>
    <w:p w14:paraId="1A0D3F68">
      <w:pPr>
        <w:spacing w:line="360" w:lineRule="auto"/>
        <w:ind w:firstLine="482" w:firstLineChars="200"/>
        <w:rPr>
          <w:rFonts w:ascii="宋体" w:hAnsi="宋体"/>
          <w:color w:val="auto"/>
          <w:sz w:val="24"/>
          <w:szCs w:val="24"/>
          <w:highlight w:val="none"/>
        </w:rPr>
      </w:pPr>
      <w:r>
        <w:rPr>
          <w:rFonts w:hint="eastAsia" w:ascii="宋体" w:hAnsi="宋体"/>
          <w:b/>
          <w:color w:val="auto"/>
          <w:sz w:val="24"/>
          <w:szCs w:val="24"/>
          <w:highlight w:val="none"/>
        </w:rPr>
        <w:t>可选方式一</w:t>
      </w:r>
      <w:r>
        <w:rPr>
          <w:rFonts w:hint="eastAsia" w:ascii="宋体" w:hAnsi="宋体"/>
          <w:color w:val="auto"/>
          <w:sz w:val="24"/>
          <w:szCs w:val="24"/>
          <w:highlight w:val="none"/>
        </w:rPr>
        <w:t>：以全部或随机抽取的有效投标报价的算术平均值</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随机抽取的评标基准价下浮率（2～5%，0.5一个级别）下浮作为评标基准价。具体确定方法如下：</w:t>
      </w:r>
    </w:p>
    <w:p w14:paraId="4552F5CA">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a</w:t>
      </w:r>
      <w:r>
        <w:rPr>
          <w:rFonts w:hint="eastAsia" w:ascii="宋体" w:hAnsi="宋体"/>
          <w:color w:val="auto"/>
          <w:sz w:val="24"/>
          <w:szCs w:val="24"/>
          <w:highlight w:val="none"/>
        </w:rPr>
        <w:t>、当有效投标报价的投标人少于或等于5个时，取全部有效投标报价的算术平均</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w:t>
      </w:r>
    </w:p>
    <w:p w14:paraId="47ABB4BE">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b</w:t>
      </w:r>
      <w:r>
        <w:rPr>
          <w:rFonts w:hint="eastAsia" w:ascii="宋体" w:hAnsi="宋体"/>
          <w:color w:val="auto"/>
          <w:sz w:val="24"/>
          <w:szCs w:val="24"/>
          <w:highlight w:val="none"/>
        </w:rPr>
        <w:t>、当有效投标报价的投标人为6至10个时，从全部有效投标报价中去掉一个最大值和最小值，其他有效投标报价的算术平均值</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w:t>
      </w:r>
    </w:p>
    <w:p w14:paraId="26457EF7">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c</w:t>
      </w:r>
      <w:r>
        <w:rPr>
          <w:rFonts w:hint="eastAsia" w:ascii="宋体" w:hAnsi="宋体"/>
          <w:color w:val="auto"/>
          <w:sz w:val="24"/>
          <w:szCs w:val="24"/>
          <w:highlight w:val="none"/>
        </w:rPr>
        <w:t>、当有效投标报价的投标人大于10个时，随机抽取10个有效投标报价并从中去掉一个最大值和最小值后计算算术平均值，该平均值</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w:t>
      </w:r>
    </w:p>
    <w:p w14:paraId="45FC0EE0">
      <w:pPr>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可选方式二：</w:t>
      </w:r>
      <w:r>
        <w:rPr>
          <w:rFonts w:hint="eastAsia" w:ascii="宋体" w:hAnsi="宋体" w:cs="宋体"/>
          <w:color w:val="auto"/>
          <w:sz w:val="24"/>
          <w:szCs w:val="24"/>
          <w:highlight w:val="none"/>
        </w:rPr>
        <w:t>以有效投标报价的算术平均值按随机抽取的评标基准价下浮率（2～5%，0.5一个级别）下浮作为评标基准价。</w:t>
      </w:r>
    </w:p>
    <w:p w14:paraId="5DE4C08E">
      <w:pPr>
        <w:spacing w:line="360" w:lineRule="auto"/>
        <w:ind w:firstLine="482" w:firstLineChars="200"/>
        <w:rPr>
          <w:rFonts w:hint="eastAsia" w:ascii="宋体" w:hAnsi="宋体"/>
          <w:color w:val="auto"/>
          <w:sz w:val="24"/>
          <w:szCs w:val="24"/>
          <w:highlight w:val="none"/>
        </w:rPr>
      </w:pPr>
      <w:r>
        <w:rPr>
          <w:rFonts w:hint="eastAsia" w:ascii="宋体" w:hAnsi="宋体"/>
          <w:b/>
          <w:color w:val="auto"/>
          <w:sz w:val="24"/>
          <w:szCs w:val="24"/>
          <w:highlight w:val="none"/>
        </w:rPr>
        <w:t>可选方式三</w:t>
      </w:r>
      <w:r>
        <w:rPr>
          <w:rFonts w:hint="eastAsia" w:ascii="宋体" w:hAnsi="宋体"/>
          <w:color w:val="auto"/>
          <w:sz w:val="24"/>
          <w:szCs w:val="24"/>
          <w:highlight w:val="none"/>
        </w:rPr>
        <w:t>：以有效投标报价其中的最低投标报价作为评标基准价。</w:t>
      </w:r>
    </w:p>
    <w:p w14:paraId="7037465F">
      <w:pPr>
        <w:spacing w:line="360" w:lineRule="auto"/>
        <w:ind w:firstLine="482" w:firstLineChars="200"/>
        <w:rPr>
          <w:rFonts w:hint="eastAsia" w:ascii="宋体" w:hAnsi="宋体"/>
          <w:color w:val="auto"/>
          <w:sz w:val="24"/>
          <w:szCs w:val="24"/>
          <w:highlight w:val="none"/>
        </w:rPr>
      </w:pPr>
      <w:r>
        <w:rPr>
          <w:rFonts w:hint="eastAsia" w:ascii="宋体" w:hAnsi="宋体"/>
          <w:b/>
          <w:color w:val="auto"/>
          <w:sz w:val="24"/>
          <w:szCs w:val="24"/>
          <w:highlight w:val="none"/>
        </w:rPr>
        <w:t>可选方式四</w:t>
      </w:r>
      <w:r>
        <w:rPr>
          <w:rFonts w:hint="eastAsia" w:ascii="宋体" w:hAnsi="宋体"/>
          <w:color w:val="auto"/>
          <w:sz w:val="24"/>
          <w:szCs w:val="24"/>
          <w:highlight w:val="none"/>
        </w:rPr>
        <w:t>：将技术评审或技术评审加诚信得分（具体由招标人自定）排序。</w:t>
      </w:r>
    </w:p>
    <w:p w14:paraId="36DC05B8">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a、当有效投标报价的投标人少于或等于7个时，取全部有效投标报价的算术平均按随机抽取的评标基准价下浮率（2～5%，0.5一个级别）下浮作为评标基准价。</w:t>
      </w:r>
    </w:p>
    <w:p w14:paraId="3FE8207A">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b、当有效投标报价的投标人大于7个小于10个时，从全部有效投标报价中去掉一个最大值和最小值，其他有效投标报价的算术平均值按随机抽取的评标基准价下浮率（2～5%，0.5一个级别）下浮作为评标基准价。</w:t>
      </w:r>
    </w:p>
    <w:p w14:paraId="62E602D1">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c、当有效投标报价的投标人数量大于或等于10时，随机从前  名（前10-20名，具体由招标人自定）抽取  个（选7-10个，具体由招标人自定）有效投标报价并从中去掉一个最大值和最小值后计算算术平均值，该平均值按随机抽取的评标基准价下浮率（2～5%，0.5一个级别）下浮作为评标基准价。</w:t>
      </w:r>
    </w:p>
    <w:p w14:paraId="6F537C15">
      <w:pPr>
        <w:pStyle w:val="106"/>
        <w:ind w:firstLine="480"/>
        <w:rPr>
          <w:color w:val="auto"/>
          <w:highlight w:val="none"/>
        </w:rPr>
      </w:pPr>
      <w:r>
        <w:rPr>
          <w:rFonts w:ascii="宋体" w:hAnsi="宋体" w:eastAsia="宋体"/>
          <w:color w:val="auto"/>
          <w:szCs w:val="24"/>
          <w:highlight w:val="none"/>
        </w:rPr>
        <w:t>技术评审或技术评审加诚信得分相同的，以诚信得分靠前的排前；技术评审得分与诚信得分均相同的投标人，由评标委员会采用记名投票方式，确定投标人的排序（具体由招标人自定）。</w:t>
      </w:r>
    </w:p>
    <w:p w14:paraId="7B7B39B7">
      <w:pPr>
        <w:spacing w:line="360" w:lineRule="auto"/>
        <w:ind w:firstLine="482" w:firstLineChars="200"/>
        <w:rPr>
          <w:rFonts w:hint="eastAsia" w:ascii="宋体" w:hAnsi="宋体"/>
          <w:color w:val="auto"/>
          <w:sz w:val="24"/>
          <w:szCs w:val="24"/>
          <w:highlight w:val="none"/>
        </w:rPr>
      </w:pPr>
      <w:r>
        <w:rPr>
          <w:rFonts w:hint="eastAsia" w:ascii="宋体" w:hAnsi="宋体"/>
          <w:b/>
          <w:color w:val="auto"/>
          <w:sz w:val="24"/>
          <w:szCs w:val="24"/>
          <w:highlight w:val="none"/>
        </w:rPr>
        <w:t>可选方式五</w:t>
      </w:r>
      <w:r>
        <w:rPr>
          <w:rFonts w:hint="eastAsia" w:ascii="宋体" w:hAnsi="宋体"/>
          <w:color w:val="auto"/>
          <w:sz w:val="24"/>
          <w:szCs w:val="24"/>
          <w:highlight w:val="none"/>
        </w:rPr>
        <w:t>：将技术评审或技术评审加诚信得分（具体由招标人自定）排序。</w:t>
      </w:r>
    </w:p>
    <w:p w14:paraId="3D654DF1">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a、当有效投标报价的投标人少于或等于7个时，取全部有效投标报价的加权平均按随机抽取的评标基准价下浮率（0～3%，0.5一个级别）下浮作为评标基准价。</w:t>
      </w:r>
    </w:p>
    <w:p w14:paraId="4618C266">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b、当有效投标报价的投标人大于7个小于10个时，从全部有效投标报价中去掉一个最大值和最小值，其他有效投标报价的加权平均值按随机抽取的评标基准价下浮率（0～3%，0.5一个级别）下浮作为评标基准价。</w:t>
      </w:r>
    </w:p>
    <w:p w14:paraId="2AE09809">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c、当有效投标报价的投标人数量大于或等于10时，随机从前  名（前10-20名，具体由招标人自定）抽取  个（选7-10个，具体由招标人自定）有效投标报价，从中去掉一个最大值和最小值后计算加权平均值，该平均值按随机抽取的评标基准价下浮率（0～3%，0.5一个级别）下浮作为评标基准价。</w:t>
      </w:r>
    </w:p>
    <w:p w14:paraId="16D5530E">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按上述办法确定参与计算评标参考价的投标报价后，计算评标参考价计算公式如下：</w:t>
      </w:r>
    </w:p>
    <w:p w14:paraId="321E4BF9">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评标参考价＝∑（投标人的投标报价*报价权重）</w:t>
      </w:r>
    </w:p>
    <w:p w14:paraId="23323EB5">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其中：报价权重的计算方法为：将 N 名投标人按技术评审或技术评审加诚信得分由高至低进行排序，第一名投标人的权重为（</w:t>
      </w:r>
      <w:r>
        <w:rPr>
          <w:rFonts w:ascii="宋体" w:hAnsi="宋体" w:cs="宋体"/>
          <w:color w:val="auto"/>
          <w:sz w:val="24"/>
          <w:szCs w:val="24"/>
          <w:highlight w:val="none"/>
        </w:rPr>
        <w:drawing>
          <wp:inline distT="0" distB="0" distL="114300" distR="114300">
            <wp:extent cx="381000" cy="4476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381000" cy="447675"/>
                    </a:xfrm>
                    <a:prstGeom prst="rect">
                      <a:avLst/>
                    </a:prstGeom>
                    <a:noFill/>
                    <a:ln>
                      <a:noFill/>
                    </a:ln>
                  </pic:spPr>
                </pic:pic>
              </a:graphicData>
            </a:graphic>
          </wp:inline>
        </w:drawing>
      </w:r>
      <w:r>
        <w:rPr>
          <w:rFonts w:hint="eastAsia" w:ascii="宋体" w:hAnsi="宋体"/>
          <w:color w:val="auto"/>
          <w:sz w:val="24"/>
          <w:szCs w:val="24"/>
          <w:highlight w:val="none"/>
        </w:rPr>
        <w:t xml:space="preserve"> ），第二名投标人的权重为（</w:t>
      </w:r>
      <w:r>
        <w:rPr>
          <w:rFonts w:ascii="宋体" w:hAnsi="宋体" w:cs="宋体"/>
          <w:color w:val="auto"/>
          <w:sz w:val="24"/>
          <w:szCs w:val="24"/>
          <w:highlight w:val="none"/>
        </w:rPr>
        <w:drawing>
          <wp:inline distT="0" distB="0" distL="114300" distR="114300">
            <wp:extent cx="323850" cy="400050"/>
            <wp:effectExtent l="0" t="0" r="6350" b="635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323850" cy="400050"/>
                    </a:xfrm>
                    <a:prstGeom prst="rect">
                      <a:avLst/>
                    </a:prstGeom>
                    <a:noFill/>
                    <a:ln>
                      <a:noFill/>
                    </a:ln>
                  </pic:spPr>
                </pic:pic>
              </a:graphicData>
            </a:graphic>
          </wp:inline>
        </w:drawing>
      </w:r>
      <w:r>
        <w:rPr>
          <w:rFonts w:hint="eastAsia" w:ascii="宋体" w:hAnsi="宋体"/>
          <w:color w:val="auto"/>
          <w:sz w:val="24"/>
          <w:szCs w:val="24"/>
          <w:highlight w:val="none"/>
        </w:rPr>
        <w:t>），以此类推，最后一名投标人的权重为（</w:t>
      </w:r>
      <w:r>
        <w:rPr>
          <w:rFonts w:ascii="宋体" w:hAnsi="宋体" w:cs="宋体"/>
          <w:color w:val="auto"/>
          <w:sz w:val="24"/>
          <w:szCs w:val="24"/>
          <w:highlight w:val="none"/>
        </w:rPr>
        <w:drawing>
          <wp:inline distT="0" distB="0" distL="114300" distR="114300">
            <wp:extent cx="323850" cy="400050"/>
            <wp:effectExtent l="0" t="0" r="6350" b="635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323850" cy="400050"/>
                    </a:xfrm>
                    <a:prstGeom prst="rect">
                      <a:avLst/>
                    </a:prstGeom>
                    <a:noFill/>
                    <a:ln>
                      <a:noFill/>
                    </a:ln>
                  </pic:spPr>
                </pic:pic>
              </a:graphicData>
            </a:graphic>
          </wp:inline>
        </w:drawing>
      </w:r>
      <w:r>
        <w:rPr>
          <w:rFonts w:hint="eastAsia" w:ascii="宋体" w:hAnsi="宋体"/>
          <w:color w:val="auto"/>
          <w:sz w:val="24"/>
          <w:szCs w:val="24"/>
          <w:highlight w:val="none"/>
        </w:rPr>
        <w:t>）。</w:t>
      </w:r>
    </w:p>
    <w:p w14:paraId="734134B4">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技术评审或技术评审加诚信得分相同的，以诚信得分靠前的排前；技术评审得分与诚信得分均相同的投标人，由评标委员会采用记名投票方式，确定投标人的排序（具体由招标人自定）。</w:t>
      </w:r>
    </w:p>
    <w:p w14:paraId="3E11BC71">
      <w:pPr>
        <w:spacing w:line="360" w:lineRule="auto"/>
        <w:ind w:firstLine="482" w:firstLineChars="200"/>
        <w:rPr>
          <w:rFonts w:hint="eastAsia" w:ascii="宋体" w:hAnsi="宋体"/>
          <w:color w:val="auto"/>
          <w:sz w:val="24"/>
          <w:highlight w:val="none"/>
        </w:rPr>
      </w:pPr>
      <w:r>
        <w:rPr>
          <w:rFonts w:hint="eastAsia" w:ascii="宋体" w:hAnsi="宋体"/>
          <w:b/>
          <w:color w:val="auto"/>
          <w:sz w:val="24"/>
          <w:szCs w:val="24"/>
          <w:highlight w:val="none"/>
        </w:rPr>
        <w:t>可选方式六</w:t>
      </w:r>
      <w:r>
        <w:rPr>
          <w:rFonts w:hint="eastAsia" w:ascii="宋体" w:hAnsi="宋体"/>
          <w:color w:val="auto"/>
          <w:sz w:val="24"/>
          <w:szCs w:val="24"/>
          <w:highlight w:val="none"/>
        </w:rPr>
        <w:t>：（由招标人依据相关法律法规合理确定）。</w:t>
      </w:r>
    </w:p>
    <w:p w14:paraId="398374F7">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在首次评标过程中，投标人未被发现存在串通投标、弄虚作假、行贿等情形的，无论是否重评，经确定的评标基准价不变。</w:t>
      </w:r>
    </w:p>
    <w:p w14:paraId="47C91306">
      <w:pPr>
        <w:spacing w:line="360" w:lineRule="auto"/>
        <w:ind w:firstLine="482" w:firstLineChars="200"/>
        <w:rPr>
          <w:rFonts w:ascii="宋体" w:hAnsi="宋体" w:cs="宋体"/>
          <w:b/>
          <w:bCs/>
          <w:color w:val="auto"/>
          <w:sz w:val="24"/>
          <w:szCs w:val="21"/>
          <w:highlight w:val="none"/>
          <w:lang w:bidi="ar"/>
        </w:rPr>
      </w:pPr>
    </w:p>
    <w:p w14:paraId="10B9F4DD">
      <w:pPr>
        <w:pBdr>
          <w:bottom w:val="single" w:color="auto" w:sz="4" w:space="0"/>
        </w:pBdr>
        <w:spacing w:line="360" w:lineRule="auto"/>
        <w:ind w:firstLine="482" w:firstLineChars="200"/>
        <w:jc w:val="left"/>
        <w:rPr>
          <w:rFonts w:hint="eastAsia" w:ascii="宋体" w:hAnsi="宋体" w:cs="宋体"/>
          <w:color w:val="auto"/>
          <w:sz w:val="24"/>
          <w:szCs w:val="24"/>
          <w:highlight w:val="none"/>
        </w:rPr>
      </w:pPr>
      <w:r>
        <w:rPr>
          <w:rFonts w:hint="eastAsia" w:ascii="宋体" w:hAnsi="宋体" w:cs="宋体"/>
          <w:b/>
          <w:bCs/>
          <w:color w:val="auto"/>
          <w:sz w:val="24"/>
          <w:szCs w:val="21"/>
          <w:highlight w:val="none"/>
          <w:lang w:bidi="ar"/>
        </w:rPr>
        <w:t>现文:</w:t>
      </w:r>
      <w:r>
        <w:rPr>
          <w:rFonts w:hint="eastAsia" w:ascii="宋体" w:hAnsi="宋体" w:cs="宋体"/>
          <w:color w:val="auto"/>
          <w:sz w:val="24"/>
          <w:szCs w:val="24"/>
          <w:highlight w:val="none"/>
        </w:rPr>
        <w:t>评标基准价可按以下方式确定：</w:t>
      </w:r>
    </w:p>
    <w:p w14:paraId="314161A0">
      <w:pPr>
        <w:pBdr>
          <w:bottom w:val="single" w:color="auto" w:sz="4" w:space="0"/>
        </w:pBdr>
        <w:spacing w:line="360" w:lineRule="auto"/>
        <w:ind w:firstLine="482" w:firstLineChars="200"/>
        <w:jc w:val="left"/>
        <w:rPr>
          <w:rFonts w:hint="eastAsia" w:ascii="宋体" w:hAnsi="宋体" w:cs="宋体"/>
          <w:bCs/>
          <w:color w:val="auto"/>
          <w:sz w:val="24"/>
          <w:szCs w:val="21"/>
          <w:highlight w:val="none"/>
          <w:lang w:bidi="ar"/>
        </w:rPr>
      </w:pPr>
      <w:r>
        <w:rPr>
          <w:rFonts w:hint="eastAsia" w:ascii="宋体" w:hAnsi="宋体" w:cs="宋体"/>
          <w:b/>
          <w:bCs/>
          <w:color w:val="auto"/>
          <w:sz w:val="24"/>
          <w:szCs w:val="21"/>
          <w:highlight w:val="none"/>
          <w:lang w:bidi="ar"/>
        </w:rPr>
        <w:t>可选方式六：</w:t>
      </w:r>
      <w:r>
        <w:rPr>
          <w:rFonts w:hint="eastAsia" w:ascii="宋体" w:hAnsi="宋体" w:cs="宋体"/>
          <w:bCs/>
          <w:color w:val="auto"/>
          <w:sz w:val="24"/>
          <w:szCs w:val="21"/>
          <w:highlight w:val="none"/>
          <w:lang w:bidi="ar"/>
        </w:rPr>
        <w:t>（由招标人依据相关法律法规合理确定）。</w:t>
      </w:r>
    </w:p>
    <w:p w14:paraId="1D074142">
      <w:pPr>
        <w:pBdr>
          <w:bottom w:val="single" w:color="auto" w:sz="4" w:space="0"/>
        </w:pBdr>
        <w:spacing w:line="360" w:lineRule="auto"/>
        <w:ind w:firstLine="480" w:firstLineChars="200"/>
        <w:jc w:val="left"/>
        <w:rPr>
          <w:rFonts w:ascii="宋体" w:hAnsi="宋体" w:cs="宋体"/>
          <w:color w:val="auto"/>
          <w:sz w:val="24"/>
          <w:szCs w:val="24"/>
          <w:highlight w:val="none"/>
          <w:u w:val="single"/>
        </w:rPr>
      </w:pPr>
      <w:r>
        <w:rPr>
          <w:rFonts w:hint="eastAsia" w:ascii="宋体" w:hAnsi="宋体"/>
          <w:color w:val="auto"/>
          <w:sz w:val="24"/>
          <w:szCs w:val="24"/>
          <w:highlight w:val="none"/>
          <w:u w:val="single"/>
        </w:rPr>
        <w:t>以通过初步评审且投标报价位于【成本警示价～最高投标限价】区间的投标人的投标报价的算术平均值，并按随机抽取的评标基准价下浮率（2～5%，0.5一个级别）下浮作为评标基准价。</w:t>
      </w:r>
    </w:p>
    <w:p w14:paraId="3F005016">
      <w:pPr>
        <w:pBdr>
          <w:bottom w:val="single" w:color="auto" w:sz="4" w:space="0"/>
        </w:pBd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在首次评标过程中，投标人未被发现存在串通投标、弄虚作假、行贿等情形的，无论是否重评，经确定的评标基准价不变。</w:t>
      </w:r>
    </w:p>
    <w:p w14:paraId="0B738503">
      <w:pPr>
        <w:spacing w:line="360" w:lineRule="auto"/>
        <w:ind w:firstLine="482" w:firstLineChars="200"/>
        <w:jc w:val="left"/>
        <w:rPr>
          <w:rFonts w:ascii="宋体" w:hAnsi="宋体" w:cs="宋体"/>
          <w:b/>
          <w:bCs/>
          <w:color w:val="auto"/>
          <w:highlight w:val="none"/>
        </w:rPr>
      </w:pPr>
      <w:r>
        <w:rPr>
          <w:rFonts w:hint="eastAsia" w:ascii="宋体" w:hAnsi="宋体" w:cs="宋体"/>
          <w:b/>
          <w:bCs/>
          <w:color w:val="auto"/>
          <w:sz w:val="24"/>
          <w:szCs w:val="21"/>
          <w:highlight w:val="none"/>
          <w:lang w:bidi="ar"/>
        </w:rPr>
        <w:t>条款号：3.2.3             修改类型：修改</w:t>
      </w:r>
    </w:p>
    <w:p w14:paraId="2C79BBA4">
      <w:pPr>
        <w:spacing w:line="360" w:lineRule="auto"/>
        <w:ind w:firstLine="482" w:firstLineChars="200"/>
        <w:rPr>
          <w:rFonts w:ascii="宋体" w:hAnsi="宋体" w:cs="宋体"/>
          <w:color w:val="auto"/>
          <w:sz w:val="24"/>
          <w:highlight w:val="none"/>
        </w:rPr>
      </w:pPr>
      <w:r>
        <w:rPr>
          <w:rFonts w:hint="eastAsia" w:ascii="宋体" w:hAnsi="宋体" w:cs="宋体"/>
          <w:b/>
          <w:bCs/>
          <w:color w:val="auto"/>
          <w:sz w:val="24"/>
          <w:szCs w:val="21"/>
          <w:highlight w:val="none"/>
          <w:lang w:bidi="ar"/>
        </w:rPr>
        <w:t>原文：</w:t>
      </w:r>
      <w:r>
        <w:rPr>
          <w:rFonts w:hint="eastAsia" w:ascii="宋体" w:hAnsi="宋体" w:cs="宋体"/>
          <w:color w:val="auto"/>
          <w:sz w:val="24"/>
          <w:highlight w:val="none"/>
        </w:rPr>
        <w:t>投标人的总得分=技术部分得分（A）×得分权重+商务部分得分（B）×得分权重+投标报价得分(C)×得分权重。（注：由招标人根据相关规定自行设置权重）</w:t>
      </w:r>
    </w:p>
    <w:p w14:paraId="35BF4C1A">
      <w:pPr>
        <w:pBdr>
          <w:bottom w:val="single" w:color="auto" w:sz="6" w:space="1"/>
        </w:pBdr>
        <w:spacing w:line="480" w:lineRule="auto"/>
        <w:ind w:firstLine="540" w:firstLineChars="224"/>
        <w:rPr>
          <w:rFonts w:ascii="宋体" w:hAnsi="宋体"/>
          <w:color w:val="auto"/>
          <w:sz w:val="24"/>
          <w:szCs w:val="21"/>
          <w:highlight w:val="none"/>
        </w:rPr>
      </w:pPr>
      <w:r>
        <w:rPr>
          <w:rFonts w:hint="eastAsia" w:ascii="宋体" w:hAnsi="宋体" w:cs="宋体"/>
          <w:b/>
          <w:bCs/>
          <w:color w:val="auto"/>
          <w:sz w:val="24"/>
          <w:szCs w:val="21"/>
          <w:highlight w:val="none"/>
          <w:lang w:bidi="ar"/>
        </w:rPr>
        <w:t>现文:</w:t>
      </w:r>
      <w:r>
        <w:rPr>
          <w:rFonts w:hint="eastAsia" w:ascii="宋体" w:hAnsi="宋体" w:cs="宋体"/>
          <w:color w:val="auto"/>
          <w:sz w:val="24"/>
          <w:highlight w:val="none"/>
        </w:rPr>
        <w:t xml:space="preserve"> 3.2.3</w:t>
      </w:r>
      <w:r>
        <w:rPr>
          <w:rFonts w:hint="eastAsia" w:ascii="宋体" w:hAnsi="宋体" w:cs="宋体"/>
          <w:color w:val="auto"/>
          <w:sz w:val="24"/>
          <w:highlight w:val="none"/>
          <w:u w:val="single"/>
        </w:rPr>
        <w:t>投标人的得分为技术部分得分、商务部分得分、投标报价得分之和。评标委员会应按照得分从高至低的顺序，确定得分前三名的投标人为第一中标候选人、第二中标候选人和第三中标候选人。计分采用百分制，得分计算方法：评标总得分=技术部分得分（A）×得分权重+商务部分得分（B）×得分权重+投标报价得分(C)×得分权重</w:t>
      </w:r>
      <w:r>
        <w:rPr>
          <w:rFonts w:hint="eastAsia" w:ascii="宋体" w:hAnsi="宋体" w:cs="宋体"/>
          <w:color w:val="auto"/>
          <w:sz w:val="24"/>
          <w:highlight w:val="none"/>
        </w:rPr>
        <w:t>。</w:t>
      </w:r>
      <w:bookmarkStart w:id="195" w:name="_Toc359263257"/>
      <w:bookmarkEnd w:id="195"/>
      <w:bookmarkStart w:id="196" w:name="_Toc155150493"/>
      <w:bookmarkEnd w:id="196"/>
      <w:bookmarkStart w:id="197" w:name="_Toc262229169"/>
      <w:bookmarkEnd w:id="197"/>
    </w:p>
    <w:p w14:paraId="74323F6F">
      <w:pPr>
        <w:spacing w:line="360" w:lineRule="auto"/>
        <w:ind w:firstLine="480" w:firstLineChars="200"/>
        <w:jc w:val="left"/>
        <w:rPr>
          <w:rFonts w:hint="eastAsia" w:ascii="宋体" w:hAnsi="宋体"/>
          <w:color w:val="auto"/>
          <w:sz w:val="24"/>
          <w:szCs w:val="21"/>
          <w:highlight w:val="none"/>
        </w:rPr>
      </w:pPr>
      <w:r>
        <w:rPr>
          <w:rFonts w:hint="eastAsia" w:ascii="宋体" w:hAnsi="宋体"/>
          <w:color w:val="auto"/>
          <w:sz w:val="24"/>
          <w:szCs w:val="21"/>
          <w:highlight w:val="none"/>
        </w:rPr>
        <w:t>注：以上修改，仅限于本范本中有可供选择条款的情形。</w:t>
      </w:r>
    </w:p>
    <w:p w14:paraId="56924FDE">
      <w:pPr>
        <w:pStyle w:val="106"/>
        <w:ind w:firstLine="480"/>
        <w:rPr>
          <w:color w:val="auto"/>
          <w:highlight w:val="none"/>
        </w:rPr>
      </w:pPr>
      <w:r>
        <w:rPr>
          <w:rFonts w:ascii="宋体" w:hAnsi="宋体"/>
          <w:color w:val="auto"/>
          <w:szCs w:val="21"/>
          <w:highlight w:val="none"/>
        </w:rPr>
        <w:t>（以下无正文）</w:t>
      </w:r>
    </w:p>
    <w:p w14:paraId="5AF387D1">
      <w:pPr>
        <w:spacing w:line="360" w:lineRule="auto"/>
        <w:jc w:val="center"/>
        <w:outlineLvl w:val="2"/>
        <w:rPr>
          <w:rFonts w:ascii="黑体" w:hAnsi="黑体" w:eastAsia="黑体"/>
          <w:color w:val="auto"/>
          <w:sz w:val="28"/>
          <w:szCs w:val="27"/>
          <w:highlight w:val="none"/>
        </w:rPr>
      </w:pPr>
      <w:r>
        <w:rPr>
          <w:rFonts w:ascii="宋体" w:hAnsi="宋体"/>
          <w:color w:val="auto"/>
          <w:sz w:val="24"/>
          <w:szCs w:val="21"/>
          <w:highlight w:val="none"/>
        </w:rPr>
        <w:br w:type="page"/>
      </w:r>
      <w:bookmarkStart w:id="198" w:name="_Toc21787688"/>
      <w:bookmarkStart w:id="199" w:name="_Toc32722"/>
      <w:bookmarkStart w:id="200" w:name="_Toc180758557"/>
      <w:r>
        <w:rPr>
          <w:rFonts w:hint="eastAsia" w:ascii="黑体" w:hAnsi="黑体" w:eastAsia="黑体"/>
          <w:color w:val="auto"/>
          <w:sz w:val="28"/>
          <w:szCs w:val="27"/>
          <w:highlight w:val="none"/>
        </w:rPr>
        <w:t>可选方法一：综合评估法一（综合评估分值由技术、商务、投标报价和诚信分数组成）</w:t>
      </w:r>
      <w:bookmarkEnd w:id="198"/>
      <w:bookmarkEnd w:id="199"/>
      <w:bookmarkEnd w:id="200"/>
    </w:p>
    <w:p w14:paraId="4B24D47E">
      <w:pPr>
        <w:spacing w:line="360" w:lineRule="auto"/>
        <w:ind w:firstLine="560" w:firstLineChars="200"/>
        <w:jc w:val="center"/>
        <w:outlineLvl w:val="1"/>
        <w:rPr>
          <w:rFonts w:ascii="黑体" w:hAnsi="黑体" w:eastAsia="黑体"/>
          <w:color w:val="auto"/>
          <w:sz w:val="28"/>
          <w:szCs w:val="27"/>
          <w:highlight w:val="none"/>
        </w:rPr>
      </w:pPr>
      <w:bookmarkStart w:id="201" w:name="_Toc180758558"/>
      <w:bookmarkStart w:id="202" w:name="_Toc21787689"/>
      <w:bookmarkStart w:id="203" w:name="_Toc17669"/>
      <w:r>
        <w:rPr>
          <w:rFonts w:hint="eastAsia" w:ascii="黑体" w:hAnsi="黑体" w:eastAsia="黑体"/>
          <w:color w:val="auto"/>
          <w:sz w:val="28"/>
          <w:szCs w:val="27"/>
          <w:highlight w:val="none"/>
        </w:rPr>
        <w:t>评标办法前附表</w:t>
      </w:r>
    </w:p>
    <w:tbl>
      <w:tblPr>
        <w:tblStyle w:val="42"/>
        <w:tblpPr w:leftFromText="180" w:rightFromText="180" w:vertAnchor="text" w:tblpY="1"/>
        <w:tblOverlap w:val="never"/>
        <w:tblW w:w="903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7"/>
        <w:gridCol w:w="201"/>
        <w:gridCol w:w="992"/>
        <w:gridCol w:w="1782"/>
        <w:gridCol w:w="4678"/>
        <w:gridCol w:w="709"/>
      </w:tblGrid>
      <w:tr w14:paraId="7B3817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1870" w:type="dxa"/>
            <w:gridSpan w:val="3"/>
            <w:tcBorders>
              <w:top w:val="single" w:color="auto" w:sz="4" w:space="0"/>
              <w:bottom w:val="single" w:color="auto" w:sz="4" w:space="0"/>
              <w:right w:val="single" w:color="auto" w:sz="4" w:space="0"/>
            </w:tcBorders>
            <w:noWrap w:val="0"/>
            <w:vAlign w:val="center"/>
          </w:tcPr>
          <w:p w14:paraId="12117315">
            <w:pPr>
              <w:jc w:val="center"/>
              <w:rPr>
                <w:b/>
                <w:color w:val="auto"/>
                <w:szCs w:val="21"/>
                <w:highlight w:val="none"/>
              </w:rPr>
            </w:pPr>
            <w:r>
              <w:rPr>
                <w:b/>
                <w:color w:val="auto"/>
                <w:szCs w:val="21"/>
                <w:highlight w:val="none"/>
              </w:rPr>
              <w:t>条款号</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20D5F29A">
            <w:pPr>
              <w:jc w:val="center"/>
              <w:rPr>
                <w:b/>
                <w:color w:val="auto"/>
                <w:szCs w:val="21"/>
                <w:highlight w:val="none"/>
              </w:rPr>
            </w:pPr>
            <w:r>
              <w:rPr>
                <w:b/>
                <w:color w:val="auto"/>
                <w:szCs w:val="21"/>
                <w:highlight w:val="none"/>
              </w:rPr>
              <w:t>评审因素</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24EB986B">
            <w:pPr>
              <w:jc w:val="center"/>
              <w:rPr>
                <w:b/>
                <w:color w:val="auto"/>
                <w:szCs w:val="21"/>
                <w:highlight w:val="none"/>
              </w:rPr>
            </w:pPr>
            <w:r>
              <w:rPr>
                <w:b/>
                <w:color w:val="auto"/>
                <w:szCs w:val="21"/>
                <w:highlight w:val="none"/>
              </w:rPr>
              <w:t>评审标准</w:t>
            </w:r>
          </w:p>
        </w:tc>
      </w:tr>
      <w:tr w14:paraId="60F644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677" w:type="dxa"/>
            <w:tcBorders>
              <w:top w:val="single" w:color="auto" w:sz="4" w:space="0"/>
              <w:right w:val="single" w:color="auto" w:sz="4" w:space="0"/>
            </w:tcBorders>
            <w:noWrap w:val="0"/>
            <w:vAlign w:val="center"/>
          </w:tcPr>
          <w:p w14:paraId="59CAF5F5">
            <w:pPr>
              <w:jc w:val="center"/>
              <w:rPr>
                <w:color w:val="auto"/>
                <w:szCs w:val="21"/>
                <w:highlight w:val="none"/>
              </w:rPr>
            </w:pPr>
          </w:p>
        </w:tc>
        <w:tc>
          <w:tcPr>
            <w:tcW w:w="1193" w:type="dxa"/>
            <w:gridSpan w:val="2"/>
            <w:tcBorders>
              <w:top w:val="single" w:color="auto" w:sz="4" w:space="0"/>
              <w:right w:val="single" w:color="auto" w:sz="4" w:space="0"/>
            </w:tcBorders>
            <w:noWrap w:val="0"/>
            <w:vAlign w:val="center"/>
          </w:tcPr>
          <w:p w14:paraId="3D249C5F">
            <w:pPr>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6F8F62BC">
            <w:pPr>
              <w:jc w:val="center"/>
              <w:rPr>
                <w:b/>
                <w:color w:val="auto"/>
                <w:highlight w:val="none"/>
              </w:rPr>
            </w:pPr>
            <w:r>
              <w:rPr>
                <w:rFonts w:hint="eastAsia"/>
                <w:b/>
                <w:color w:val="auto"/>
                <w:highlight w:val="none"/>
              </w:rPr>
              <w:t>初步评审</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33537B34">
            <w:pPr>
              <w:jc w:val="center"/>
              <w:rPr>
                <w:color w:val="auto"/>
                <w:highlight w:val="none"/>
              </w:rPr>
            </w:pPr>
          </w:p>
        </w:tc>
      </w:tr>
      <w:tr w14:paraId="1C7065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77" w:type="dxa"/>
            <w:vMerge w:val="restart"/>
            <w:tcBorders>
              <w:top w:val="single" w:color="auto" w:sz="4" w:space="0"/>
              <w:right w:val="single" w:color="auto" w:sz="4" w:space="0"/>
            </w:tcBorders>
            <w:noWrap w:val="0"/>
            <w:vAlign w:val="center"/>
          </w:tcPr>
          <w:p w14:paraId="7755BCEF">
            <w:pPr>
              <w:spacing w:line="360" w:lineRule="auto"/>
              <w:jc w:val="center"/>
              <w:rPr>
                <w:color w:val="auto"/>
                <w:szCs w:val="21"/>
                <w:highlight w:val="none"/>
              </w:rPr>
            </w:pPr>
            <w:r>
              <w:rPr>
                <w:color w:val="auto"/>
                <w:szCs w:val="21"/>
                <w:highlight w:val="none"/>
              </w:rPr>
              <w:t>2.1.</w:t>
            </w:r>
            <w:r>
              <w:rPr>
                <w:rFonts w:hint="eastAsia"/>
                <w:color w:val="auto"/>
                <w:szCs w:val="21"/>
                <w:highlight w:val="none"/>
              </w:rPr>
              <w:t>1</w:t>
            </w:r>
          </w:p>
        </w:tc>
        <w:tc>
          <w:tcPr>
            <w:tcW w:w="1193" w:type="dxa"/>
            <w:gridSpan w:val="2"/>
            <w:vMerge w:val="restart"/>
            <w:tcBorders>
              <w:top w:val="single" w:color="auto" w:sz="4" w:space="0"/>
              <w:right w:val="single" w:color="auto" w:sz="4" w:space="0"/>
            </w:tcBorders>
            <w:noWrap w:val="0"/>
            <w:vAlign w:val="center"/>
          </w:tcPr>
          <w:p w14:paraId="3EF3D43A">
            <w:pPr>
              <w:spacing w:line="360" w:lineRule="auto"/>
              <w:jc w:val="center"/>
              <w:rPr>
                <w:color w:val="auto"/>
                <w:szCs w:val="21"/>
                <w:highlight w:val="none"/>
              </w:rPr>
            </w:pPr>
            <w:r>
              <w:rPr>
                <w:color w:val="auto"/>
                <w:szCs w:val="21"/>
                <w:highlight w:val="none"/>
              </w:rPr>
              <w:t>资格评审标准</w:t>
            </w:r>
          </w:p>
        </w:tc>
        <w:tc>
          <w:tcPr>
            <w:tcW w:w="1782" w:type="dxa"/>
            <w:tcBorders>
              <w:top w:val="single" w:color="auto" w:sz="4" w:space="0"/>
              <w:left w:val="single" w:color="auto" w:sz="4" w:space="0"/>
              <w:right w:val="single" w:color="auto" w:sz="4" w:space="0"/>
            </w:tcBorders>
            <w:noWrap w:val="0"/>
            <w:vAlign w:val="center"/>
          </w:tcPr>
          <w:p w14:paraId="4475B6E2">
            <w:pPr>
              <w:jc w:val="center"/>
              <w:rPr>
                <w:color w:val="auto"/>
                <w:highlight w:val="none"/>
              </w:rPr>
            </w:pPr>
            <w:r>
              <w:rPr>
                <w:rFonts w:hint="eastAsia"/>
                <w:color w:val="auto"/>
                <w:highlight w:val="none"/>
              </w:rPr>
              <w:t>营业执照</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3D144BC0">
            <w:pPr>
              <w:jc w:val="center"/>
              <w:rPr>
                <w:color w:val="auto"/>
                <w:highlight w:val="none"/>
              </w:rPr>
            </w:pPr>
            <w:r>
              <w:rPr>
                <w:rFonts w:hint="eastAsia"/>
                <w:color w:val="auto"/>
                <w:highlight w:val="none"/>
              </w:rPr>
              <w:t>具备有效的营业执照。</w:t>
            </w:r>
          </w:p>
        </w:tc>
      </w:tr>
      <w:tr w14:paraId="6CA3EB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top w:val="single" w:color="auto" w:sz="4" w:space="0"/>
              <w:right w:val="single" w:color="auto" w:sz="4" w:space="0"/>
            </w:tcBorders>
            <w:noWrap w:val="0"/>
            <w:vAlign w:val="center"/>
          </w:tcPr>
          <w:p w14:paraId="2D2B6633">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21E3AC2E">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759CF44E">
            <w:pPr>
              <w:jc w:val="center"/>
              <w:rPr>
                <w:color w:val="auto"/>
                <w:highlight w:val="none"/>
              </w:rPr>
            </w:pPr>
            <w:r>
              <w:rPr>
                <w:rFonts w:hint="eastAsia"/>
                <w:color w:val="auto"/>
                <w:highlight w:val="none"/>
              </w:rPr>
              <w:t>安全生产许可证</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4E267425">
            <w:pPr>
              <w:jc w:val="center"/>
              <w:rPr>
                <w:color w:val="auto"/>
                <w:highlight w:val="none"/>
              </w:rPr>
            </w:pPr>
            <w:r>
              <w:rPr>
                <w:rFonts w:hint="eastAsia"/>
                <w:color w:val="auto"/>
                <w:szCs w:val="21"/>
                <w:highlight w:val="none"/>
              </w:rPr>
              <w:t>具有有效的建设行政主管部门颁发的安全生产许可证</w:t>
            </w:r>
          </w:p>
        </w:tc>
      </w:tr>
      <w:tr w14:paraId="1CAB8E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77" w:type="dxa"/>
            <w:vMerge w:val="continue"/>
            <w:tcBorders>
              <w:top w:val="single" w:color="auto" w:sz="4" w:space="0"/>
              <w:right w:val="single" w:color="auto" w:sz="4" w:space="0"/>
            </w:tcBorders>
            <w:noWrap w:val="0"/>
            <w:vAlign w:val="center"/>
          </w:tcPr>
          <w:p w14:paraId="160D16E2">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12C8CCD7">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1562FD4C">
            <w:pPr>
              <w:jc w:val="center"/>
              <w:rPr>
                <w:color w:val="auto"/>
                <w:highlight w:val="none"/>
              </w:rPr>
            </w:pPr>
            <w:r>
              <w:rPr>
                <w:rFonts w:hint="eastAsia"/>
                <w:color w:val="auto"/>
                <w:szCs w:val="21"/>
                <w:highlight w:val="none"/>
              </w:rPr>
              <w:t>资质等级</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395BA7B2">
            <w:pPr>
              <w:jc w:val="center"/>
              <w:rPr>
                <w:color w:val="auto"/>
                <w:highlight w:val="none"/>
              </w:rPr>
            </w:pPr>
            <w:r>
              <w:rPr>
                <w:rFonts w:hint="eastAsia"/>
                <w:color w:val="auto"/>
                <w:szCs w:val="21"/>
                <w:highlight w:val="none"/>
              </w:rPr>
              <w:t>符合本项目招标公告的规定</w:t>
            </w:r>
          </w:p>
        </w:tc>
      </w:tr>
      <w:tr w14:paraId="27FCCF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77" w:type="dxa"/>
            <w:vMerge w:val="continue"/>
            <w:tcBorders>
              <w:top w:val="single" w:color="auto" w:sz="4" w:space="0"/>
              <w:right w:val="single" w:color="auto" w:sz="4" w:space="0"/>
            </w:tcBorders>
            <w:noWrap w:val="0"/>
            <w:vAlign w:val="center"/>
          </w:tcPr>
          <w:p w14:paraId="3102CFBD">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586F232B">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33EA9B9A">
            <w:pPr>
              <w:jc w:val="center"/>
              <w:rPr>
                <w:color w:val="auto"/>
                <w:highlight w:val="none"/>
              </w:rPr>
            </w:pPr>
            <w:r>
              <w:rPr>
                <w:rFonts w:hint="eastAsia"/>
                <w:color w:val="auto"/>
                <w:szCs w:val="21"/>
                <w:highlight w:val="none"/>
              </w:rPr>
              <w:t>项目负责人</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2D60E80A">
            <w:pPr>
              <w:jc w:val="center"/>
              <w:rPr>
                <w:color w:val="auto"/>
                <w:highlight w:val="none"/>
              </w:rPr>
            </w:pPr>
            <w:r>
              <w:rPr>
                <w:rFonts w:hint="eastAsia"/>
                <w:color w:val="auto"/>
                <w:szCs w:val="21"/>
                <w:highlight w:val="none"/>
              </w:rPr>
              <w:t>符合本项目招标公告的规定</w:t>
            </w:r>
          </w:p>
        </w:tc>
      </w:tr>
      <w:tr w14:paraId="646A2A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top w:val="single" w:color="auto" w:sz="4" w:space="0"/>
              <w:right w:val="single" w:color="auto" w:sz="4" w:space="0"/>
            </w:tcBorders>
            <w:noWrap w:val="0"/>
            <w:vAlign w:val="center"/>
          </w:tcPr>
          <w:p w14:paraId="3540B2DA">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233EC994">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12BDD13A">
            <w:pPr>
              <w:jc w:val="center"/>
              <w:rPr>
                <w:color w:val="auto"/>
                <w:highlight w:val="none"/>
              </w:rPr>
            </w:pPr>
            <w:r>
              <w:rPr>
                <w:rFonts w:hint="eastAsia"/>
                <w:color w:val="auto"/>
                <w:highlight w:val="none"/>
              </w:rPr>
              <w:t>安全生产考核合格证</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18D35F93">
            <w:pPr>
              <w:jc w:val="center"/>
              <w:rPr>
                <w:color w:val="auto"/>
                <w:highlight w:val="none"/>
              </w:rPr>
            </w:pPr>
            <w:r>
              <w:rPr>
                <w:rFonts w:hint="eastAsia"/>
                <w:color w:val="auto"/>
                <w:szCs w:val="21"/>
                <w:highlight w:val="none"/>
              </w:rPr>
              <w:t>项目负责人及专职安全员具备符合招标公告规定的水行政主管部门颁发的有效安全生产考核合格证。</w:t>
            </w:r>
          </w:p>
        </w:tc>
      </w:tr>
      <w:tr w14:paraId="592AD5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top w:val="single" w:color="auto" w:sz="4" w:space="0"/>
              <w:right w:val="single" w:color="auto" w:sz="4" w:space="0"/>
            </w:tcBorders>
            <w:noWrap w:val="0"/>
            <w:vAlign w:val="center"/>
          </w:tcPr>
          <w:p w14:paraId="2A5C5853">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79E7A8C5">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226E8138">
            <w:pPr>
              <w:jc w:val="center"/>
              <w:rPr>
                <w:color w:val="auto"/>
                <w:highlight w:val="none"/>
              </w:rPr>
            </w:pPr>
            <w:r>
              <w:rPr>
                <w:rFonts w:hint="eastAsia"/>
                <w:color w:val="auto"/>
                <w:highlight w:val="none"/>
              </w:rPr>
              <w:t>社保要求</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494F2700">
            <w:pPr>
              <w:jc w:val="center"/>
              <w:rPr>
                <w:color w:val="auto"/>
                <w:highlight w:val="none"/>
              </w:rPr>
            </w:pPr>
            <w:r>
              <w:rPr>
                <w:rFonts w:hint="eastAsia"/>
                <w:color w:val="auto"/>
                <w:szCs w:val="21"/>
                <w:highlight w:val="none"/>
              </w:rPr>
              <w:t>符合本项目招标公告的规定</w:t>
            </w:r>
          </w:p>
        </w:tc>
      </w:tr>
      <w:tr w14:paraId="0C8830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top w:val="single" w:color="auto" w:sz="4" w:space="0"/>
              <w:right w:val="single" w:color="auto" w:sz="4" w:space="0"/>
            </w:tcBorders>
            <w:noWrap w:val="0"/>
            <w:vAlign w:val="center"/>
          </w:tcPr>
          <w:p w14:paraId="0B5EFCB2">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61F000B9">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1CFA803D">
            <w:pPr>
              <w:jc w:val="center"/>
              <w:rPr>
                <w:strike/>
                <w:color w:val="auto"/>
                <w:highlight w:val="none"/>
              </w:rPr>
            </w:pPr>
            <w:r>
              <w:rPr>
                <w:rFonts w:hint="eastAsia"/>
                <w:strike/>
                <w:color w:val="auto"/>
                <w:szCs w:val="21"/>
                <w:highlight w:val="none"/>
              </w:rPr>
              <w:t>业绩要求</w:t>
            </w:r>
            <w:r>
              <w:rPr>
                <w:rFonts w:hint="eastAsia"/>
                <w:strike/>
                <w:color w:val="auto"/>
                <w:highlight w:val="none"/>
              </w:rPr>
              <w:t>（如有）</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55AB992D">
            <w:pPr>
              <w:jc w:val="center"/>
              <w:rPr>
                <w:strike/>
                <w:color w:val="auto"/>
                <w:highlight w:val="none"/>
              </w:rPr>
            </w:pPr>
            <w:r>
              <w:rPr>
                <w:rFonts w:hint="eastAsia"/>
                <w:strike/>
                <w:color w:val="auto"/>
                <w:szCs w:val="21"/>
                <w:highlight w:val="none"/>
              </w:rPr>
              <w:t>符合本项目招标公告的规定</w:t>
            </w:r>
          </w:p>
        </w:tc>
      </w:tr>
      <w:tr w14:paraId="1B89AE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top w:val="single" w:color="auto" w:sz="4" w:space="0"/>
              <w:right w:val="single" w:color="auto" w:sz="4" w:space="0"/>
            </w:tcBorders>
            <w:noWrap w:val="0"/>
            <w:vAlign w:val="center"/>
          </w:tcPr>
          <w:p w14:paraId="0347BAFB">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2976A9D6">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3B334B5A">
            <w:pPr>
              <w:jc w:val="center"/>
              <w:rPr>
                <w:color w:val="auto"/>
                <w:highlight w:val="none"/>
              </w:rPr>
            </w:pPr>
            <w:r>
              <w:rPr>
                <w:color w:val="auto"/>
                <w:szCs w:val="21"/>
                <w:highlight w:val="none"/>
              </w:rPr>
              <w:t>联合体</w:t>
            </w:r>
            <w:r>
              <w:rPr>
                <w:rFonts w:hint="eastAsia"/>
                <w:color w:val="auto"/>
                <w:szCs w:val="21"/>
                <w:highlight w:val="none"/>
              </w:rPr>
              <w:t>要求</w:t>
            </w:r>
            <w:r>
              <w:rPr>
                <w:rFonts w:hint="eastAsia"/>
                <w:color w:val="auto"/>
                <w:highlight w:val="none"/>
              </w:rPr>
              <w:t>（如有）</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4CBB3413">
            <w:pPr>
              <w:jc w:val="center"/>
              <w:rPr>
                <w:color w:val="auto"/>
                <w:highlight w:val="none"/>
              </w:rPr>
            </w:pPr>
            <w:r>
              <w:rPr>
                <w:rFonts w:hint="eastAsia"/>
                <w:color w:val="auto"/>
                <w:szCs w:val="21"/>
                <w:highlight w:val="none"/>
              </w:rPr>
              <w:t>本项目不接受联合体投标</w:t>
            </w:r>
          </w:p>
        </w:tc>
      </w:tr>
      <w:tr w14:paraId="189C68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top w:val="single" w:color="auto" w:sz="4" w:space="0"/>
              <w:right w:val="single" w:color="auto" w:sz="4" w:space="0"/>
            </w:tcBorders>
            <w:noWrap w:val="0"/>
            <w:vAlign w:val="center"/>
          </w:tcPr>
          <w:p w14:paraId="42A186B3">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3EEDB739">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33D88040">
            <w:pPr>
              <w:jc w:val="center"/>
              <w:rPr>
                <w:color w:val="auto"/>
                <w:szCs w:val="21"/>
                <w:highlight w:val="none"/>
              </w:rPr>
            </w:pPr>
            <w:r>
              <w:rPr>
                <w:rFonts w:hint="eastAsia"/>
                <w:color w:val="auto"/>
                <w:szCs w:val="21"/>
                <w:highlight w:val="none"/>
              </w:rPr>
              <w:t>投标人声明签字盖章</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69451CDF">
            <w:pPr>
              <w:jc w:val="center"/>
              <w:rPr>
                <w:color w:val="auto"/>
                <w:szCs w:val="21"/>
                <w:highlight w:val="none"/>
              </w:rPr>
            </w:pPr>
            <w:r>
              <w:rPr>
                <w:rFonts w:hint="eastAsia"/>
                <w:color w:val="auto"/>
                <w:szCs w:val="21"/>
                <w:highlight w:val="none"/>
              </w:rPr>
              <w:t>投标人声明有法定代表人、项目负责人、技术负责人签字或签章及加盖单位公章（签字和盖章要求见《投标人须知前附表》第3.6.4项）</w:t>
            </w:r>
          </w:p>
        </w:tc>
      </w:tr>
      <w:tr w14:paraId="15B57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top w:val="single" w:color="auto" w:sz="4" w:space="0"/>
              <w:right w:val="single" w:color="auto" w:sz="4" w:space="0"/>
            </w:tcBorders>
            <w:noWrap w:val="0"/>
            <w:vAlign w:val="center"/>
          </w:tcPr>
          <w:p w14:paraId="0973F680">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63B8A582">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74DA4820">
            <w:pPr>
              <w:jc w:val="center"/>
              <w:rPr>
                <w:rFonts w:hint="eastAsia"/>
                <w:color w:val="auto"/>
                <w:szCs w:val="21"/>
                <w:highlight w:val="none"/>
              </w:rPr>
            </w:pPr>
            <w:r>
              <w:rPr>
                <w:rFonts w:hint="eastAsia"/>
                <w:color w:val="auto"/>
                <w:szCs w:val="21"/>
                <w:highlight w:val="none"/>
              </w:rPr>
              <w:t>未被纳入失信联合惩戒名单且被限制参与相关项目投标的</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7ED2F6B5">
            <w:pPr>
              <w:jc w:val="center"/>
              <w:rPr>
                <w:rFonts w:hint="eastAsia"/>
                <w:color w:val="auto"/>
                <w:szCs w:val="21"/>
                <w:highlight w:val="none"/>
              </w:rPr>
            </w:pPr>
            <w:r>
              <w:rPr>
                <w:rFonts w:hint="eastAsia" w:ascii="宋体" w:hAnsi="宋体" w:cs="宋体"/>
                <w:color w:val="auto"/>
                <w:szCs w:val="21"/>
                <w:highlight w:val="none"/>
              </w:rPr>
              <w:t>失信联合惩戒名单以“信用广州”网站公布的“黑名单”为准。（提供查询结果网页截图，并加盖公章。）</w:t>
            </w:r>
          </w:p>
        </w:tc>
      </w:tr>
      <w:tr w14:paraId="538BCC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top w:val="single" w:color="auto" w:sz="4" w:space="0"/>
              <w:right w:val="single" w:color="auto" w:sz="4" w:space="0"/>
            </w:tcBorders>
            <w:noWrap w:val="0"/>
            <w:vAlign w:val="center"/>
          </w:tcPr>
          <w:p w14:paraId="4B974589">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2E203C8B">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15C46775">
            <w:pPr>
              <w:jc w:val="center"/>
              <w:rPr>
                <w:color w:val="auto"/>
                <w:highlight w:val="none"/>
              </w:rPr>
            </w:pPr>
            <w:r>
              <w:rPr>
                <w:rFonts w:hint="eastAsia"/>
                <w:color w:val="auto"/>
                <w:szCs w:val="21"/>
                <w:highlight w:val="none"/>
              </w:rPr>
              <w:t>其他要求</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214CF253">
            <w:pPr>
              <w:jc w:val="center"/>
              <w:rPr>
                <w:color w:val="auto"/>
                <w:highlight w:val="none"/>
              </w:rPr>
            </w:pPr>
            <w:r>
              <w:rPr>
                <w:rFonts w:hint="eastAsia"/>
                <w:color w:val="auto"/>
                <w:szCs w:val="21"/>
                <w:highlight w:val="none"/>
              </w:rPr>
              <w:t>详见本项目招标公告。</w:t>
            </w:r>
          </w:p>
        </w:tc>
      </w:tr>
      <w:tr w14:paraId="32E7FA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restart"/>
            <w:tcBorders>
              <w:top w:val="single" w:color="auto" w:sz="4" w:space="0"/>
              <w:right w:val="single" w:color="auto" w:sz="4" w:space="0"/>
            </w:tcBorders>
            <w:noWrap w:val="0"/>
            <w:vAlign w:val="center"/>
          </w:tcPr>
          <w:p w14:paraId="66A25929">
            <w:pPr>
              <w:spacing w:line="360" w:lineRule="auto"/>
              <w:jc w:val="center"/>
              <w:rPr>
                <w:color w:val="auto"/>
                <w:szCs w:val="21"/>
                <w:highlight w:val="none"/>
              </w:rPr>
            </w:pPr>
            <w:r>
              <w:rPr>
                <w:color w:val="auto"/>
                <w:szCs w:val="21"/>
                <w:highlight w:val="none"/>
              </w:rPr>
              <w:t>2.1.</w:t>
            </w:r>
            <w:r>
              <w:rPr>
                <w:rFonts w:hint="eastAsia"/>
                <w:color w:val="auto"/>
                <w:szCs w:val="21"/>
                <w:highlight w:val="none"/>
              </w:rPr>
              <w:t>2</w:t>
            </w:r>
          </w:p>
        </w:tc>
        <w:tc>
          <w:tcPr>
            <w:tcW w:w="1193" w:type="dxa"/>
            <w:gridSpan w:val="2"/>
            <w:vMerge w:val="restart"/>
            <w:tcBorders>
              <w:top w:val="single" w:color="auto" w:sz="4" w:space="0"/>
              <w:right w:val="single" w:color="auto" w:sz="4" w:space="0"/>
            </w:tcBorders>
            <w:noWrap w:val="0"/>
            <w:vAlign w:val="center"/>
          </w:tcPr>
          <w:p w14:paraId="176053F1">
            <w:pPr>
              <w:spacing w:line="360" w:lineRule="auto"/>
              <w:jc w:val="center"/>
              <w:rPr>
                <w:color w:val="auto"/>
                <w:szCs w:val="21"/>
                <w:highlight w:val="none"/>
              </w:rPr>
            </w:pPr>
            <w:r>
              <w:rPr>
                <w:rFonts w:hint="eastAsia"/>
                <w:color w:val="auto"/>
                <w:szCs w:val="21"/>
                <w:highlight w:val="none"/>
              </w:rPr>
              <w:t>形式评审标准</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567DAAB">
            <w:pPr>
              <w:jc w:val="center"/>
              <w:rPr>
                <w:color w:val="auto"/>
                <w:szCs w:val="21"/>
                <w:highlight w:val="none"/>
              </w:rPr>
            </w:pPr>
            <w:r>
              <w:rPr>
                <w:rFonts w:hint="eastAsia"/>
                <w:color w:val="auto"/>
                <w:highlight w:val="none"/>
              </w:rPr>
              <w:t>投标人参加投标的意思表达清楚，投标人代表被授权有效</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579B5C99">
            <w:pPr>
              <w:jc w:val="center"/>
              <w:rPr>
                <w:color w:val="auto"/>
                <w:szCs w:val="21"/>
                <w:highlight w:val="none"/>
              </w:rPr>
            </w:pPr>
            <w:r>
              <w:rPr>
                <w:rFonts w:hint="eastAsia"/>
                <w:color w:val="auto"/>
                <w:highlight w:val="none"/>
              </w:rPr>
              <w:t>投标人声明、廉洁承诺书、法定代表人证明书；委托投标的还应提供法人授权委托证明书</w:t>
            </w:r>
          </w:p>
        </w:tc>
      </w:tr>
      <w:tr w14:paraId="61AAFB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7902E7BC">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4965DE85">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09A3209E">
            <w:pPr>
              <w:jc w:val="center"/>
              <w:rPr>
                <w:color w:val="auto"/>
                <w:szCs w:val="21"/>
                <w:highlight w:val="none"/>
              </w:rPr>
            </w:pPr>
            <w:r>
              <w:rPr>
                <w:color w:val="auto"/>
                <w:szCs w:val="21"/>
                <w:highlight w:val="none"/>
              </w:rPr>
              <w:t>投标人名称</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6A8A90BF">
            <w:pPr>
              <w:jc w:val="center"/>
              <w:rPr>
                <w:color w:val="auto"/>
                <w:szCs w:val="21"/>
                <w:highlight w:val="none"/>
              </w:rPr>
            </w:pPr>
            <w:r>
              <w:rPr>
                <w:color w:val="auto"/>
                <w:szCs w:val="21"/>
                <w:highlight w:val="none"/>
              </w:rPr>
              <w:t>与营业执照、资质证书</w:t>
            </w:r>
            <w:r>
              <w:rPr>
                <w:rFonts w:hint="eastAsia"/>
                <w:color w:val="auto"/>
                <w:szCs w:val="21"/>
                <w:highlight w:val="none"/>
              </w:rPr>
              <w:t>、安全生产许可证</w:t>
            </w:r>
            <w:r>
              <w:rPr>
                <w:color w:val="auto"/>
                <w:szCs w:val="21"/>
                <w:highlight w:val="none"/>
              </w:rPr>
              <w:t>一致</w:t>
            </w:r>
          </w:p>
        </w:tc>
      </w:tr>
      <w:tr w14:paraId="4B86A9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7ED8A460">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1F79BFB5">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D69ABAB">
            <w:pPr>
              <w:jc w:val="center"/>
              <w:rPr>
                <w:color w:val="auto"/>
                <w:highlight w:val="none"/>
              </w:rPr>
            </w:pPr>
            <w:r>
              <w:rPr>
                <w:rFonts w:hint="eastAsia"/>
                <w:color w:val="auto"/>
                <w:highlight w:val="none"/>
              </w:rPr>
              <w:t>投标函签字盖章</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77B26DF4">
            <w:pPr>
              <w:jc w:val="center"/>
              <w:rPr>
                <w:color w:val="auto"/>
                <w:highlight w:val="none"/>
              </w:rPr>
            </w:pPr>
            <w:r>
              <w:rPr>
                <w:rFonts w:hint="eastAsia"/>
                <w:color w:val="auto"/>
                <w:highlight w:val="none"/>
              </w:rPr>
              <w:t>法定代表人或其委托代理人签字或签章及加盖单位公章（签字和盖章要求见《投标人须知前附表》第3.6.4项）。</w:t>
            </w:r>
          </w:p>
        </w:tc>
      </w:tr>
      <w:tr w14:paraId="262CA3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6BB68325">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1AC70BDF">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6FEB8E36">
            <w:pPr>
              <w:jc w:val="center"/>
              <w:rPr>
                <w:color w:val="auto"/>
                <w:szCs w:val="21"/>
                <w:highlight w:val="none"/>
              </w:rPr>
            </w:pPr>
            <w:r>
              <w:rPr>
                <w:rFonts w:hint="eastAsia"/>
                <w:color w:val="auto"/>
                <w:highlight w:val="none"/>
              </w:rPr>
              <w:t>投标文件格式</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2D7C2F03">
            <w:pPr>
              <w:jc w:val="center"/>
              <w:rPr>
                <w:color w:val="auto"/>
                <w:szCs w:val="21"/>
                <w:highlight w:val="none"/>
              </w:rPr>
            </w:pPr>
            <w:r>
              <w:rPr>
                <w:rFonts w:hint="eastAsia"/>
                <w:color w:val="auto"/>
                <w:highlight w:val="none"/>
              </w:rPr>
              <w:t>符合第八章“投标文件格式”的要求。</w:t>
            </w:r>
          </w:p>
        </w:tc>
      </w:tr>
      <w:tr w14:paraId="5005E8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677" w:type="dxa"/>
            <w:vMerge w:val="continue"/>
            <w:tcBorders>
              <w:right w:val="single" w:color="auto" w:sz="4" w:space="0"/>
            </w:tcBorders>
            <w:noWrap w:val="0"/>
            <w:vAlign w:val="center"/>
          </w:tcPr>
          <w:p w14:paraId="0D827DEA">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3E2452BE">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7E908946">
            <w:pPr>
              <w:jc w:val="center"/>
              <w:rPr>
                <w:strike/>
                <w:color w:val="auto"/>
                <w:szCs w:val="21"/>
                <w:highlight w:val="none"/>
              </w:rPr>
            </w:pPr>
            <w:r>
              <w:rPr>
                <w:rFonts w:hint="eastAsia"/>
                <w:strike/>
                <w:color w:val="auto"/>
                <w:highlight w:val="none"/>
              </w:rPr>
              <w:t>联合体申请人（如有）</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3388B6E3">
            <w:pPr>
              <w:jc w:val="center"/>
              <w:rPr>
                <w:strike/>
                <w:color w:val="auto"/>
                <w:szCs w:val="21"/>
                <w:highlight w:val="none"/>
              </w:rPr>
            </w:pPr>
            <w:r>
              <w:rPr>
                <w:rFonts w:hint="eastAsia"/>
                <w:strike/>
                <w:color w:val="auto"/>
                <w:highlight w:val="none"/>
              </w:rPr>
              <w:t>提交联合体协议书，并明确联合体主办方</w:t>
            </w:r>
          </w:p>
        </w:tc>
      </w:tr>
      <w:tr w14:paraId="1596E2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677" w:type="dxa"/>
            <w:vMerge w:val="continue"/>
            <w:tcBorders>
              <w:right w:val="single" w:color="auto" w:sz="4" w:space="0"/>
            </w:tcBorders>
            <w:noWrap w:val="0"/>
            <w:vAlign w:val="center"/>
          </w:tcPr>
          <w:p w14:paraId="70FC19F5">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7C37A0C1">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34595FD9">
            <w:pPr>
              <w:jc w:val="center"/>
              <w:rPr>
                <w:color w:val="auto"/>
                <w:highlight w:val="none"/>
              </w:rPr>
            </w:pPr>
            <w:r>
              <w:rPr>
                <w:rFonts w:hint="eastAsia"/>
                <w:color w:val="auto"/>
                <w:highlight w:val="none"/>
              </w:rPr>
              <w:t>报价唯一</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53E06A28">
            <w:pPr>
              <w:jc w:val="center"/>
              <w:rPr>
                <w:color w:val="auto"/>
                <w:szCs w:val="21"/>
                <w:highlight w:val="none"/>
              </w:rPr>
            </w:pPr>
            <w:r>
              <w:rPr>
                <w:rFonts w:hint="eastAsia"/>
                <w:color w:val="auto"/>
                <w:highlight w:val="none"/>
              </w:rPr>
              <w:t>只能有一个有效报价，有效报价是指符合第三章“评标办法”第2.2.2项的投标报价</w:t>
            </w:r>
          </w:p>
        </w:tc>
      </w:tr>
      <w:tr w14:paraId="1C190D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677" w:type="dxa"/>
            <w:vMerge w:val="continue"/>
            <w:tcBorders>
              <w:right w:val="single" w:color="auto" w:sz="4" w:space="0"/>
            </w:tcBorders>
            <w:noWrap w:val="0"/>
            <w:vAlign w:val="center"/>
          </w:tcPr>
          <w:p w14:paraId="5E248B85">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5BB57126">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450345B6">
            <w:pPr>
              <w:jc w:val="center"/>
              <w:rPr>
                <w:rFonts w:hint="eastAsia"/>
                <w:color w:val="auto"/>
                <w:highlight w:val="none"/>
              </w:rPr>
            </w:pPr>
            <w:r>
              <w:rPr>
                <w:rFonts w:hint="eastAsia"/>
                <w:color w:val="auto"/>
                <w:highlight w:val="none"/>
              </w:rPr>
              <w:t>投标人与其他投标人加密打包投标文件电脑机器特征码不一致的</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364516EE">
            <w:pPr>
              <w:jc w:val="center"/>
              <w:rPr>
                <w:rFonts w:hint="eastAsia"/>
                <w:color w:val="auto"/>
                <w:highlight w:val="none"/>
              </w:rPr>
            </w:pPr>
            <w:r>
              <w:rPr>
                <w:rFonts w:hint="eastAsia"/>
                <w:color w:val="auto"/>
                <w:highlight w:val="none"/>
              </w:rPr>
              <w:t>投标人与本项目其他投标人加密打包投标文件电脑机器特征码不一致的(以广州交易集团有限公司（广州公共资源交易中心）交易平台开标系统的检索信息为准)</w:t>
            </w:r>
          </w:p>
        </w:tc>
      </w:tr>
      <w:tr w14:paraId="6CEA2D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677" w:type="dxa"/>
            <w:vMerge w:val="continue"/>
            <w:tcBorders>
              <w:right w:val="single" w:color="auto" w:sz="4" w:space="0"/>
            </w:tcBorders>
            <w:noWrap w:val="0"/>
            <w:vAlign w:val="center"/>
          </w:tcPr>
          <w:p w14:paraId="48D59CC5">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75436428">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2115A640">
            <w:pPr>
              <w:jc w:val="center"/>
              <w:rPr>
                <w:rFonts w:hint="eastAsia" w:ascii="宋体" w:hAnsi="宋体"/>
                <w:color w:val="auto"/>
                <w:szCs w:val="21"/>
                <w:highlight w:val="none"/>
              </w:rPr>
            </w:pPr>
            <w:r>
              <w:rPr>
                <w:rFonts w:hint="eastAsia"/>
                <w:color w:val="auto"/>
                <w:highlight w:val="none"/>
              </w:rPr>
              <w:t>投标人与其他投标人的投标文件工程量清单编制机器硬件信息不一致的</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28DBD9BB">
            <w:pPr>
              <w:jc w:val="center"/>
              <w:rPr>
                <w:rFonts w:hint="eastAsia" w:ascii="宋体" w:hAnsi="宋体"/>
                <w:color w:val="auto"/>
                <w:szCs w:val="21"/>
                <w:highlight w:val="none"/>
              </w:rPr>
            </w:pPr>
            <w:r>
              <w:rPr>
                <w:rFonts w:hint="eastAsia"/>
                <w:color w:val="auto"/>
                <w:highlight w:val="none"/>
              </w:rPr>
              <w:t>投标人与本项目其他投标人的投标文件工程量清单编制机器硬件信息不一致的(以广州交易集团有限公司（广州公共资源交易中心）交易平台评标系统的检索信息为准)</w:t>
            </w:r>
          </w:p>
        </w:tc>
      </w:tr>
      <w:tr w14:paraId="644694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689F1DF0">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25E7986F">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AD6538B">
            <w:pPr>
              <w:jc w:val="center"/>
              <w:rPr>
                <w:color w:val="auto"/>
                <w:highlight w:val="none"/>
              </w:rPr>
            </w:pP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6A78BFF8">
            <w:pPr>
              <w:jc w:val="center"/>
              <w:rPr>
                <w:color w:val="auto"/>
                <w:szCs w:val="21"/>
                <w:highlight w:val="none"/>
              </w:rPr>
            </w:pPr>
          </w:p>
        </w:tc>
      </w:tr>
      <w:tr w14:paraId="3D1F71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restart"/>
            <w:tcBorders>
              <w:top w:val="single" w:color="auto" w:sz="4" w:space="0"/>
              <w:right w:val="single" w:color="auto" w:sz="4" w:space="0"/>
            </w:tcBorders>
            <w:noWrap w:val="0"/>
            <w:vAlign w:val="center"/>
          </w:tcPr>
          <w:p w14:paraId="64D50B84">
            <w:pPr>
              <w:spacing w:line="360" w:lineRule="auto"/>
              <w:jc w:val="center"/>
              <w:rPr>
                <w:color w:val="auto"/>
                <w:szCs w:val="21"/>
                <w:highlight w:val="none"/>
              </w:rPr>
            </w:pPr>
            <w:r>
              <w:rPr>
                <w:color w:val="auto"/>
                <w:szCs w:val="21"/>
                <w:highlight w:val="none"/>
              </w:rPr>
              <w:t>2.1.3</w:t>
            </w:r>
          </w:p>
        </w:tc>
        <w:tc>
          <w:tcPr>
            <w:tcW w:w="1193" w:type="dxa"/>
            <w:gridSpan w:val="2"/>
            <w:vMerge w:val="restart"/>
            <w:tcBorders>
              <w:top w:val="single" w:color="auto" w:sz="4" w:space="0"/>
              <w:right w:val="single" w:color="auto" w:sz="4" w:space="0"/>
            </w:tcBorders>
            <w:noWrap w:val="0"/>
            <w:vAlign w:val="center"/>
          </w:tcPr>
          <w:p w14:paraId="4F6647B4">
            <w:pPr>
              <w:spacing w:line="360" w:lineRule="auto"/>
              <w:jc w:val="center"/>
              <w:rPr>
                <w:color w:val="auto"/>
                <w:szCs w:val="21"/>
                <w:highlight w:val="none"/>
              </w:rPr>
            </w:pPr>
            <w:r>
              <w:rPr>
                <w:color w:val="auto"/>
                <w:szCs w:val="21"/>
                <w:highlight w:val="none"/>
              </w:rPr>
              <w:t>响应性评审标准</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1BBBA0A3">
            <w:pPr>
              <w:jc w:val="center"/>
              <w:rPr>
                <w:color w:val="auto"/>
                <w:szCs w:val="21"/>
                <w:highlight w:val="none"/>
              </w:rPr>
            </w:pPr>
            <w:r>
              <w:rPr>
                <w:rFonts w:hint="eastAsia"/>
                <w:color w:val="auto"/>
                <w:szCs w:val="21"/>
                <w:highlight w:val="none"/>
              </w:rPr>
              <w:t>投标报价</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00F1D231">
            <w:pPr>
              <w:jc w:val="center"/>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w:t>
            </w:r>
            <w:r>
              <w:rPr>
                <w:rFonts w:hint="eastAsia"/>
                <w:color w:val="auto"/>
                <w:szCs w:val="21"/>
                <w:highlight w:val="none"/>
              </w:rPr>
              <w:t>3</w:t>
            </w:r>
            <w:r>
              <w:rPr>
                <w:color w:val="auto"/>
                <w:szCs w:val="21"/>
                <w:highlight w:val="none"/>
              </w:rPr>
              <w:t>.</w:t>
            </w:r>
            <w:r>
              <w:rPr>
                <w:rFonts w:hint="eastAsia"/>
                <w:color w:val="auto"/>
                <w:szCs w:val="21"/>
                <w:highlight w:val="none"/>
              </w:rPr>
              <w:t>2</w:t>
            </w:r>
            <w:r>
              <w:rPr>
                <w:color w:val="auto"/>
                <w:szCs w:val="21"/>
                <w:highlight w:val="none"/>
              </w:rPr>
              <w:t>.</w:t>
            </w:r>
            <w:r>
              <w:rPr>
                <w:rFonts w:hint="eastAsia"/>
                <w:color w:val="auto"/>
                <w:szCs w:val="21"/>
                <w:highlight w:val="none"/>
              </w:rPr>
              <w:t>3、3.2.4项</w:t>
            </w:r>
            <w:r>
              <w:rPr>
                <w:color w:val="auto"/>
                <w:szCs w:val="21"/>
                <w:highlight w:val="none"/>
              </w:rPr>
              <w:t>规定</w:t>
            </w:r>
          </w:p>
        </w:tc>
      </w:tr>
      <w:tr w14:paraId="08D1BD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394E8520">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00175539">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6C813A71">
            <w:pPr>
              <w:jc w:val="center"/>
              <w:rPr>
                <w:rFonts w:ascii="宋体" w:hAnsi="宋体"/>
                <w:color w:val="auto"/>
                <w:szCs w:val="21"/>
                <w:highlight w:val="none"/>
              </w:rPr>
            </w:pPr>
            <w:r>
              <w:rPr>
                <w:rFonts w:hint="eastAsia" w:ascii="宋体" w:hAnsi="宋体"/>
                <w:color w:val="auto"/>
                <w:szCs w:val="21"/>
                <w:highlight w:val="none"/>
              </w:rPr>
              <w:t>投标内容</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7F11A87E">
            <w:pPr>
              <w:jc w:val="center"/>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章“投标人须知”第1.3.</w:t>
            </w:r>
            <w:r>
              <w:rPr>
                <w:rFonts w:hint="eastAsia"/>
                <w:color w:val="auto"/>
                <w:szCs w:val="21"/>
                <w:highlight w:val="none"/>
              </w:rPr>
              <w:t>1</w:t>
            </w:r>
            <w:r>
              <w:rPr>
                <w:color w:val="auto"/>
                <w:szCs w:val="21"/>
                <w:highlight w:val="none"/>
              </w:rPr>
              <w:t>项规定</w:t>
            </w:r>
          </w:p>
        </w:tc>
      </w:tr>
      <w:tr w14:paraId="72E3D8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04415115">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38F82E58">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0265B831">
            <w:pPr>
              <w:jc w:val="center"/>
              <w:rPr>
                <w:color w:val="auto"/>
                <w:szCs w:val="21"/>
                <w:highlight w:val="none"/>
              </w:rPr>
            </w:pPr>
            <w:r>
              <w:rPr>
                <w:rFonts w:ascii="宋体" w:hAnsi="宋体"/>
                <w:color w:val="auto"/>
                <w:szCs w:val="21"/>
                <w:highlight w:val="none"/>
              </w:rPr>
              <w:t>工期</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1988C924">
            <w:pPr>
              <w:jc w:val="center"/>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章“投标人须知”第1.3.2项规定</w:t>
            </w:r>
          </w:p>
        </w:tc>
      </w:tr>
      <w:tr w14:paraId="4C4374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0CAA14B7">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2FAB1394">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6B2F8B5D">
            <w:pPr>
              <w:jc w:val="center"/>
              <w:rPr>
                <w:color w:val="auto"/>
                <w:szCs w:val="21"/>
                <w:highlight w:val="none"/>
              </w:rPr>
            </w:pPr>
            <w:r>
              <w:rPr>
                <w:color w:val="auto"/>
                <w:szCs w:val="21"/>
                <w:highlight w:val="none"/>
              </w:rPr>
              <w:t>工程质量</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268D4A61">
            <w:pPr>
              <w:jc w:val="center"/>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章“投标人须知”第1.3.3项规定</w:t>
            </w:r>
          </w:p>
        </w:tc>
      </w:tr>
      <w:tr w14:paraId="01B1CF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1CF8E1B9">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7B10A0CE">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62073A4C">
            <w:pPr>
              <w:jc w:val="center"/>
              <w:rPr>
                <w:color w:val="auto"/>
                <w:szCs w:val="21"/>
                <w:highlight w:val="none"/>
              </w:rPr>
            </w:pPr>
            <w:r>
              <w:rPr>
                <w:rFonts w:hint="eastAsia"/>
                <w:color w:val="auto"/>
                <w:szCs w:val="21"/>
                <w:highlight w:val="none"/>
              </w:rPr>
              <w:t>投标有效期</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1A90842C">
            <w:pPr>
              <w:jc w:val="center"/>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章“投标人须知”第3.3.1项规定</w:t>
            </w:r>
          </w:p>
        </w:tc>
      </w:tr>
      <w:tr w14:paraId="3A61E4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2607D404">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1F405886">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32FCD215">
            <w:pPr>
              <w:jc w:val="center"/>
              <w:rPr>
                <w:strike/>
                <w:color w:val="auto"/>
                <w:szCs w:val="21"/>
                <w:highlight w:val="none"/>
              </w:rPr>
            </w:pPr>
            <w:r>
              <w:rPr>
                <w:strike/>
                <w:color w:val="auto"/>
                <w:szCs w:val="21"/>
                <w:highlight w:val="none"/>
              </w:rPr>
              <w:t>投标保证金</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64C3B22E">
            <w:pPr>
              <w:jc w:val="center"/>
              <w:rPr>
                <w:strike/>
                <w:color w:val="auto"/>
                <w:szCs w:val="21"/>
                <w:highlight w:val="none"/>
              </w:rPr>
            </w:pPr>
            <w:r>
              <w:rPr>
                <w:strike/>
                <w:color w:val="auto"/>
                <w:szCs w:val="21"/>
                <w:highlight w:val="none"/>
              </w:rPr>
              <w:t>符合第</w:t>
            </w:r>
            <w:r>
              <w:rPr>
                <w:rFonts w:hint="eastAsia"/>
                <w:strike/>
                <w:color w:val="auto"/>
                <w:szCs w:val="21"/>
                <w:highlight w:val="none"/>
              </w:rPr>
              <w:t>二</w:t>
            </w:r>
            <w:r>
              <w:rPr>
                <w:strike/>
                <w:color w:val="auto"/>
                <w:szCs w:val="21"/>
                <w:highlight w:val="none"/>
              </w:rPr>
              <w:t>章“投标人须知”第3.4</w:t>
            </w:r>
            <w:r>
              <w:rPr>
                <w:rFonts w:hint="eastAsia"/>
                <w:strike/>
                <w:color w:val="auto"/>
                <w:szCs w:val="21"/>
                <w:highlight w:val="none"/>
              </w:rPr>
              <w:t>.1项</w:t>
            </w:r>
            <w:r>
              <w:rPr>
                <w:strike/>
                <w:color w:val="auto"/>
                <w:szCs w:val="21"/>
                <w:highlight w:val="none"/>
              </w:rPr>
              <w:t>规定</w:t>
            </w:r>
          </w:p>
        </w:tc>
      </w:tr>
      <w:tr w14:paraId="48BFC4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7FB01676">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28427940">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2E9B1AF8">
            <w:pPr>
              <w:jc w:val="center"/>
              <w:rPr>
                <w:color w:val="auto"/>
                <w:szCs w:val="21"/>
                <w:highlight w:val="none"/>
              </w:rPr>
            </w:pPr>
            <w:r>
              <w:rPr>
                <w:color w:val="auto"/>
                <w:szCs w:val="21"/>
                <w:highlight w:val="none"/>
              </w:rPr>
              <w:t>已标价工程量清单</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55576229">
            <w:pPr>
              <w:jc w:val="center"/>
              <w:rPr>
                <w:color w:val="auto"/>
                <w:szCs w:val="21"/>
                <w:highlight w:val="none"/>
              </w:rPr>
            </w:pPr>
            <w:r>
              <w:rPr>
                <w:color w:val="auto"/>
                <w:szCs w:val="21"/>
                <w:highlight w:val="none"/>
              </w:rPr>
              <w:t>符合第</w:t>
            </w:r>
            <w:r>
              <w:rPr>
                <w:rFonts w:hint="eastAsia"/>
                <w:color w:val="auto"/>
                <w:szCs w:val="21"/>
                <w:highlight w:val="none"/>
              </w:rPr>
              <w:t>五</w:t>
            </w:r>
            <w:r>
              <w:rPr>
                <w:color w:val="auto"/>
                <w:szCs w:val="21"/>
                <w:highlight w:val="none"/>
              </w:rPr>
              <w:t>章“工程量清单”给出的范围及数量</w:t>
            </w:r>
          </w:p>
        </w:tc>
      </w:tr>
      <w:tr w14:paraId="32E50A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bottom w:val="single" w:color="auto" w:sz="4" w:space="0"/>
              <w:right w:val="single" w:color="auto" w:sz="4" w:space="0"/>
            </w:tcBorders>
            <w:noWrap w:val="0"/>
            <w:vAlign w:val="center"/>
          </w:tcPr>
          <w:p w14:paraId="1EF15C2A">
            <w:pPr>
              <w:spacing w:line="360" w:lineRule="auto"/>
              <w:jc w:val="center"/>
              <w:rPr>
                <w:color w:val="auto"/>
                <w:szCs w:val="21"/>
                <w:highlight w:val="none"/>
              </w:rPr>
            </w:pPr>
          </w:p>
        </w:tc>
        <w:tc>
          <w:tcPr>
            <w:tcW w:w="1193" w:type="dxa"/>
            <w:gridSpan w:val="2"/>
            <w:vMerge w:val="continue"/>
            <w:tcBorders>
              <w:bottom w:val="single" w:color="auto" w:sz="4" w:space="0"/>
              <w:right w:val="single" w:color="auto" w:sz="4" w:space="0"/>
            </w:tcBorders>
            <w:noWrap w:val="0"/>
            <w:vAlign w:val="center"/>
          </w:tcPr>
          <w:p w14:paraId="1FA7FC5F">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259F11C">
            <w:pPr>
              <w:jc w:val="center"/>
              <w:rPr>
                <w:color w:val="auto"/>
                <w:szCs w:val="21"/>
                <w:highlight w:val="none"/>
              </w:rPr>
            </w:pPr>
            <w:r>
              <w:rPr>
                <w:rFonts w:hint="eastAsia"/>
                <w:color w:val="auto"/>
                <w:szCs w:val="21"/>
                <w:highlight w:val="none"/>
              </w:rPr>
              <w:t>技术标准和要求</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3B09787A">
            <w:pPr>
              <w:jc w:val="center"/>
              <w:rPr>
                <w:color w:val="auto"/>
                <w:szCs w:val="21"/>
                <w:highlight w:val="none"/>
              </w:rPr>
            </w:pPr>
            <w:r>
              <w:rPr>
                <w:rFonts w:hint="eastAsia"/>
                <w:color w:val="auto"/>
                <w:szCs w:val="21"/>
                <w:highlight w:val="none"/>
              </w:rPr>
              <w:t>符合第七章“技术标准和要求”规定</w:t>
            </w:r>
          </w:p>
        </w:tc>
      </w:tr>
      <w:tr w14:paraId="0D97E3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70" w:type="dxa"/>
            <w:gridSpan w:val="3"/>
            <w:tcBorders>
              <w:top w:val="single" w:color="auto" w:sz="4" w:space="0"/>
              <w:bottom w:val="single" w:color="auto" w:sz="4" w:space="0"/>
              <w:right w:val="single" w:color="auto" w:sz="4" w:space="0"/>
            </w:tcBorders>
            <w:noWrap w:val="0"/>
            <w:vAlign w:val="center"/>
          </w:tcPr>
          <w:p w14:paraId="59D9621B">
            <w:pPr>
              <w:spacing w:line="360" w:lineRule="auto"/>
              <w:jc w:val="center"/>
              <w:rPr>
                <w:b/>
                <w:color w:val="auto"/>
                <w:szCs w:val="21"/>
                <w:highlight w:val="none"/>
              </w:rPr>
            </w:pPr>
            <w:r>
              <w:rPr>
                <w:b/>
                <w:color w:val="auto"/>
                <w:szCs w:val="21"/>
                <w:highlight w:val="none"/>
              </w:rPr>
              <w:t>条款号</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6F250A06">
            <w:pPr>
              <w:spacing w:line="360" w:lineRule="auto"/>
              <w:jc w:val="center"/>
              <w:rPr>
                <w:b/>
                <w:color w:val="auto"/>
                <w:szCs w:val="21"/>
                <w:highlight w:val="none"/>
              </w:rPr>
            </w:pPr>
            <w:r>
              <w:rPr>
                <w:b/>
                <w:color w:val="auto"/>
                <w:szCs w:val="21"/>
                <w:highlight w:val="none"/>
              </w:rPr>
              <w:t>条款内容</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58BDBFEA">
            <w:pPr>
              <w:spacing w:line="360" w:lineRule="auto"/>
              <w:jc w:val="center"/>
              <w:rPr>
                <w:b/>
                <w:color w:val="auto"/>
                <w:szCs w:val="21"/>
                <w:highlight w:val="none"/>
              </w:rPr>
            </w:pPr>
            <w:r>
              <w:rPr>
                <w:b/>
                <w:color w:val="auto"/>
                <w:szCs w:val="21"/>
                <w:highlight w:val="none"/>
              </w:rPr>
              <w:t>编列内容</w:t>
            </w:r>
          </w:p>
        </w:tc>
      </w:tr>
      <w:tr w14:paraId="3E98D6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70" w:type="dxa"/>
            <w:gridSpan w:val="3"/>
            <w:tcBorders>
              <w:top w:val="single" w:color="auto" w:sz="4" w:space="0"/>
              <w:bottom w:val="single" w:color="auto" w:sz="4" w:space="0"/>
              <w:right w:val="single" w:color="auto" w:sz="4" w:space="0"/>
            </w:tcBorders>
            <w:noWrap w:val="0"/>
            <w:vAlign w:val="center"/>
          </w:tcPr>
          <w:p w14:paraId="0B34E5F8">
            <w:pPr>
              <w:spacing w:line="360" w:lineRule="auto"/>
              <w:jc w:val="center"/>
              <w:rPr>
                <w:b/>
                <w:color w:val="auto"/>
                <w:szCs w:val="21"/>
                <w:highlight w:val="none"/>
              </w:rPr>
            </w:pPr>
            <w:r>
              <w:rPr>
                <w:rFonts w:ascii="宋体" w:hAnsi="宋体"/>
                <w:color w:val="auto"/>
                <w:szCs w:val="21"/>
                <w:highlight w:val="none"/>
              </w:rPr>
              <w:t>2.2.1</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395FBCF1">
            <w:pPr>
              <w:spacing w:line="276" w:lineRule="auto"/>
              <w:jc w:val="center"/>
              <w:rPr>
                <w:rFonts w:ascii="宋体" w:hAnsi="宋体"/>
                <w:color w:val="auto"/>
                <w:szCs w:val="21"/>
                <w:highlight w:val="none"/>
              </w:rPr>
            </w:pPr>
            <w:r>
              <w:rPr>
                <w:rFonts w:hint="eastAsia" w:ascii="宋体" w:hAnsi="宋体"/>
                <w:color w:val="auto"/>
                <w:szCs w:val="21"/>
                <w:highlight w:val="none"/>
              </w:rPr>
              <w:t>综合评估得分</w:t>
            </w:r>
            <w:r>
              <w:rPr>
                <w:rFonts w:ascii="宋体" w:hAnsi="宋体"/>
                <w:color w:val="auto"/>
                <w:szCs w:val="21"/>
                <w:highlight w:val="none"/>
              </w:rPr>
              <w:t>构成</w:t>
            </w:r>
          </w:p>
          <w:p w14:paraId="7B217795">
            <w:pPr>
              <w:spacing w:line="360" w:lineRule="auto"/>
              <w:jc w:val="center"/>
              <w:rPr>
                <w:b/>
                <w:color w:val="auto"/>
                <w:szCs w:val="21"/>
                <w:highlight w:val="none"/>
              </w:rPr>
            </w:pPr>
            <w:r>
              <w:rPr>
                <w:rFonts w:ascii="宋体" w:hAnsi="宋体"/>
                <w:color w:val="auto"/>
                <w:szCs w:val="21"/>
                <w:highlight w:val="none"/>
              </w:rPr>
              <w:t>(总分100分)</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0633CBCF">
            <w:pPr>
              <w:spacing w:line="360" w:lineRule="auto"/>
              <w:rPr>
                <w:rFonts w:ascii="宋体" w:hAnsi="宋体"/>
                <w:color w:val="auto"/>
                <w:szCs w:val="21"/>
                <w:highlight w:val="none"/>
              </w:rPr>
            </w:pPr>
            <w:r>
              <w:rPr>
                <w:rFonts w:hint="eastAsia" w:ascii="宋体" w:hAnsi="宋体"/>
                <w:color w:val="auto"/>
                <w:szCs w:val="21"/>
                <w:highlight w:val="none"/>
              </w:rPr>
              <w:t>1.商务评审权重：</w:t>
            </w:r>
            <w:r>
              <w:rPr>
                <w:rFonts w:hint="eastAsia" w:ascii="宋体" w:hAnsi="宋体"/>
                <w:color w:val="auto"/>
                <w:szCs w:val="21"/>
                <w:highlight w:val="none"/>
                <w:lang w:val="en-US" w:eastAsia="zh-CN"/>
              </w:rPr>
              <w:t>25</w:t>
            </w:r>
            <w:r>
              <w:rPr>
                <w:rFonts w:hint="eastAsia" w:ascii="宋体" w:hAnsi="宋体"/>
                <w:color w:val="auto"/>
                <w:szCs w:val="21"/>
                <w:highlight w:val="none"/>
              </w:rPr>
              <w:t>%</w:t>
            </w:r>
          </w:p>
          <w:p w14:paraId="3D0A5B78">
            <w:pPr>
              <w:spacing w:line="360" w:lineRule="auto"/>
              <w:rPr>
                <w:rFonts w:ascii="宋体" w:hAnsi="宋体"/>
                <w:color w:val="auto"/>
                <w:szCs w:val="21"/>
                <w:highlight w:val="none"/>
              </w:rPr>
            </w:pPr>
            <w:r>
              <w:rPr>
                <w:rFonts w:hint="eastAsia" w:ascii="宋体" w:hAnsi="宋体"/>
                <w:color w:val="auto"/>
                <w:szCs w:val="21"/>
                <w:highlight w:val="none"/>
              </w:rPr>
              <w:t>2.技术评审权重：</w:t>
            </w:r>
            <w:r>
              <w:rPr>
                <w:rFonts w:hint="eastAsia" w:ascii="宋体" w:hAnsi="宋体"/>
                <w:color w:val="auto"/>
                <w:szCs w:val="21"/>
                <w:highlight w:val="none"/>
                <w:lang w:val="en-US" w:eastAsia="zh-CN"/>
              </w:rPr>
              <w:t>25</w:t>
            </w:r>
            <w:r>
              <w:rPr>
                <w:rFonts w:hint="eastAsia" w:ascii="宋体" w:hAnsi="宋体"/>
                <w:color w:val="auto"/>
                <w:szCs w:val="21"/>
                <w:highlight w:val="none"/>
              </w:rPr>
              <w:t>%</w:t>
            </w:r>
          </w:p>
          <w:p w14:paraId="78F46144">
            <w:pPr>
              <w:spacing w:line="360" w:lineRule="auto"/>
              <w:rPr>
                <w:rFonts w:ascii="宋体" w:hAnsi="宋体"/>
                <w:color w:val="auto"/>
                <w:szCs w:val="21"/>
                <w:highlight w:val="none"/>
              </w:rPr>
            </w:pPr>
            <w:r>
              <w:rPr>
                <w:rFonts w:hint="eastAsia" w:ascii="宋体" w:hAnsi="宋体"/>
                <w:color w:val="auto"/>
                <w:szCs w:val="21"/>
                <w:highlight w:val="none"/>
              </w:rPr>
              <w:t>3.投标报价权重：</w:t>
            </w:r>
            <w:r>
              <w:rPr>
                <w:rFonts w:hint="eastAsia" w:ascii="宋体" w:hAnsi="宋体"/>
                <w:color w:val="auto"/>
                <w:szCs w:val="21"/>
                <w:highlight w:val="none"/>
                <w:lang w:val="en-US" w:eastAsia="zh-CN"/>
              </w:rPr>
              <w:t>50</w:t>
            </w:r>
            <w:r>
              <w:rPr>
                <w:rFonts w:hint="eastAsia" w:ascii="宋体" w:hAnsi="宋体"/>
                <w:color w:val="auto"/>
                <w:szCs w:val="21"/>
                <w:highlight w:val="none"/>
              </w:rPr>
              <w:t>%</w:t>
            </w:r>
          </w:p>
          <w:p w14:paraId="05EA6A66">
            <w:pPr>
              <w:spacing w:line="360" w:lineRule="auto"/>
              <w:rPr>
                <w:b/>
                <w:color w:val="auto"/>
                <w:szCs w:val="21"/>
                <w:highlight w:val="none"/>
              </w:rPr>
            </w:pPr>
            <w:r>
              <w:rPr>
                <w:rFonts w:hint="eastAsia" w:ascii="宋体" w:hAnsi="宋体"/>
                <w:color w:val="auto"/>
                <w:szCs w:val="21"/>
                <w:highlight w:val="none"/>
              </w:rPr>
              <w:t>投标人得分=技术分×技术评审权重（</w:t>
            </w:r>
            <w:r>
              <w:rPr>
                <w:rFonts w:hint="eastAsia" w:ascii="宋体" w:hAnsi="宋体"/>
                <w:color w:val="auto"/>
                <w:szCs w:val="21"/>
                <w:highlight w:val="none"/>
                <w:lang w:val="en-US" w:eastAsia="zh-CN"/>
              </w:rPr>
              <w:t>25</w:t>
            </w:r>
            <w:r>
              <w:rPr>
                <w:rFonts w:hint="eastAsia" w:ascii="宋体" w:hAnsi="宋体"/>
                <w:color w:val="auto"/>
                <w:szCs w:val="21"/>
                <w:highlight w:val="none"/>
              </w:rPr>
              <w:t>%）+商务分×商务评审权重（</w:t>
            </w:r>
            <w:r>
              <w:rPr>
                <w:rFonts w:hint="eastAsia" w:ascii="宋体" w:hAnsi="宋体"/>
                <w:color w:val="auto"/>
                <w:szCs w:val="21"/>
                <w:highlight w:val="none"/>
                <w:lang w:val="en-US" w:eastAsia="zh-CN"/>
              </w:rPr>
              <w:t>25</w:t>
            </w:r>
            <w:r>
              <w:rPr>
                <w:rFonts w:hint="eastAsia" w:ascii="宋体" w:hAnsi="宋体"/>
                <w:color w:val="auto"/>
                <w:szCs w:val="21"/>
                <w:highlight w:val="none"/>
              </w:rPr>
              <w:t>%）+投标报价分×投标报价权重（</w:t>
            </w:r>
            <w:r>
              <w:rPr>
                <w:rFonts w:hint="eastAsia" w:ascii="宋体" w:hAnsi="宋体"/>
                <w:color w:val="auto"/>
                <w:szCs w:val="21"/>
                <w:highlight w:val="none"/>
                <w:lang w:val="en-US" w:eastAsia="zh-CN"/>
              </w:rPr>
              <w:t>50</w:t>
            </w:r>
            <w:r>
              <w:rPr>
                <w:rFonts w:hint="eastAsia" w:ascii="宋体" w:hAnsi="宋体"/>
                <w:color w:val="auto"/>
                <w:szCs w:val="21"/>
                <w:highlight w:val="none"/>
              </w:rPr>
              <w:t>%）</w:t>
            </w:r>
          </w:p>
        </w:tc>
      </w:tr>
      <w:tr w14:paraId="12E985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870" w:type="dxa"/>
            <w:gridSpan w:val="3"/>
            <w:tcBorders>
              <w:top w:val="nil"/>
              <w:bottom w:val="single" w:color="auto" w:sz="4" w:space="0"/>
              <w:right w:val="single" w:color="auto" w:sz="4" w:space="0"/>
            </w:tcBorders>
            <w:noWrap w:val="0"/>
            <w:vAlign w:val="center"/>
          </w:tcPr>
          <w:p w14:paraId="36B41E90">
            <w:pPr>
              <w:spacing w:line="360" w:lineRule="auto"/>
              <w:jc w:val="center"/>
              <w:rPr>
                <w:b/>
                <w:color w:val="auto"/>
                <w:szCs w:val="21"/>
                <w:highlight w:val="none"/>
              </w:rPr>
            </w:pPr>
            <w:r>
              <w:rPr>
                <w:rFonts w:hint="eastAsia"/>
                <w:b/>
                <w:color w:val="auto"/>
                <w:szCs w:val="21"/>
                <w:highlight w:val="none"/>
              </w:rPr>
              <w:t>2.2.3</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31B36CBC">
            <w:pPr>
              <w:spacing w:line="360" w:lineRule="auto"/>
              <w:jc w:val="center"/>
              <w:rPr>
                <w:b/>
                <w:color w:val="auto"/>
                <w:szCs w:val="21"/>
                <w:highlight w:val="none"/>
              </w:rPr>
            </w:pPr>
            <w:r>
              <w:rPr>
                <w:rFonts w:hint="eastAsia"/>
                <w:b/>
                <w:color w:val="auto"/>
                <w:szCs w:val="21"/>
                <w:highlight w:val="none"/>
              </w:rPr>
              <w:t>评标基准价计算方法</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13B39BA6">
            <w:pPr>
              <w:spacing w:line="360" w:lineRule="auto"/>
              <w:jc w:val="center"/>
              <w:rPr>
                <w:b/>
                <w:color w:val="auto"/>
                <w:szCs w:val="21"/>
                <w:highlight w:val="none"/>
              </w:rPr>
            </w:pPr>
            <w:r>
              <w:rPr>
                <w:rFonts w:hint="eastAsia"/>
                <w:b/>
                <w:color w:val="auto"/>
                <w:szCs w:val="21"/>
                <w:highlight w:val="none"/>
              </w:rPr>
              <w:t>方式六</w:t>
            </w:r>
          </w:p>
        </w:tc>
      </w:tr>
      <w:tr w14:paraId="488EFC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870" w:type="dxa"/>
            <w:gridSpan w:val="3"/>
            <w:tcBorders>
              <w:top w:val="nil"/>
              <w:bottom w:val="single" w:color="auto" w:sz="4" w:space="0"/>
              <w:right w:val="single" w:color="auto" w:sz="4" w:space="0"/>
            </w:tcBorders>
            <w:noWrap w:val="0"/>
            <w:vAlign w:val="center"/>
          </w:tcPr>
          <w:p w14:paraId="2757DDF2">
            <w:pPr>
              <w:spacing w:line="360" w:lineRule="auto"/>
              <w:jc w:val="center"/>
              <w:rPr>
                <w:b/>
                <w:color w:val="auto"/>
                <w:szCs w:val="21"/>
                <w:highlight w:val="none"/>
              </w:rPr>
            </w:pPr>
            <w:r>
              <w:rPr>
                <w:rFonts w:hint="eastAsia"/>
                <w:b/>
                <w:color w:val="auto"/>
                <w:szCs w:val="21"/>
                <w:highlight w:val="none"/>
              </w:rPr>
              <w:t>2.2.4</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F27C8CB">
            <w:pPr>
              <w:spacing w:line="360" w:lineRule="auto"/>
              <w:jc w:val="center"/>
              <w:rPr>
                <w:b/>
                <w:color w:val="auto"/>
                <w:szCs w:val="21"/>
                <w:highlight w:val="none"/>
              </w:rPr>
            </w:pPr>
            <w:r>
              <w:rPr>
                <w:rFonts w:hint="eastAsia"/>
                <w:color w:val="auto"/>
                <w:szCs w:val="21"/>
                <w:highlight w:val="none"/>
              </w:rPr>
              <w:t>投标报价偏差率计算公式</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3018CCA6">
            <w:pPr>
              <w:spacing w:line="360" w:lineRule="auto"/>
              <w:jc w:val="center"/>
              <w:rPr>
                <w:b/>
                <w:color w:val="auto"/>
                <w:szCs w:val="21"/>
                <w:highlight w:val="none"/>
              </w:rPr>
            </w:pPr>
            <w:r>
              <w:rPr>
                <w:rFonts w:hint="eastAsia"/>
                <w:color w:val="auto"/>
                <w:szCs w:val="21"/>
                <w:highlight w:val="none"/>
              </w:rPr>
              <w:t>偏差率=（投标报价-评标基准价）/评标基准价</w:t>
            </w:r>
            <w:r>
              <w:rPr>
                <w:rFonts w:hint="eastAsia" w:ascii="宋体" w:hAnsi="宋体"/>
                <w:color w:val="auto"/>
                <w:szCs w:val="21"/>
                <w:highlight w:val="none"/>
              </w:rPr>
              <w:t>×</w:t>
            </w:r>
            <w:r>
              <w:rPr>
                <w:rFonts w:hint="eastAsia"/>
                <w:color w:val="auto"/>
                <w:szCs w:val="21"/>
                <w:highlight w:val="none"/>
              </w:rPr>
              <w:t>100%</w:t>
            </w:r>
          </w:p>
        </w:tc>
      </w:tr>
      <w:tr w14:paraId="7C0CA9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870" w:type="dxa"/>
            <w:gridSpan w:val="3"/>
            <w:tcBorders>
              <w:top w:val="nil"/>
              <w:bottom w:val="single" w:color="auto" w:sz="4" w:space="0"/>
              <w:right w:val="single" w:color="auto" w:sz="4" w:space="0"/>
            </w:tcBorders>
            <w:noWrap w:val="0"/>
            <w:vAlign w:val="center"/>
          </w:tcPr>
          <w:p w14:paraId="628BA4FD">
            <w:pPr>
              <w:spacing w:line="360" w:lineRule="auto"/>
              <w:jc w:val="center"/>
              <w:rPr>
                <w:b/>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0132D81C">
            <w:pPr>
              <w:spacing w:line="360" w:lineRule="auto"/>
              <w:jc w:val="center"/>
              <w:rPr>
                <w:b/>
                <w:color w:val="auto"/>
                <w:szCs w:val="21"/>
                <w:highlight w:val="none"/>
              </w:rPr>
            </w:pPr>
            <w:r>
              <w:rPr>
                <w:rFonts w:hint="eastAsia"/>
                <w:b/>
                <w:color w:val="auto"/>
                <w:szCs w:val="21"/>
                <w:highlight w:val="none"/>
              </w:rPr>
              <w:t>详细评审</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68C5F79F">
            <w:pPr>
              <w:spacing w:line="360" w:lineRule="auto"/>
              <w:jc w:val="center"/>
              <w:rPr>
                <w:color w:val="auto"/>
                <w:szCs w:val="21"/>
                <w:highlight w:val="none"/>
              </w:rPr>
            </w:pPr>
          </w:p>
        </w:tc>
      </w:tr>
      <w:tr w14:paraId="0F12F0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70" w:type="dxa"/>
            <w:gridSpan w:val="3"/>
            <w:tcBorders>
              <w:top w:val="nil"/>
              <w:bottom w:val="single" w:color="auto" w:sz="4" w:space="0"/>
              <w:right w:val="single" w:color="auto" w:sz="4" w:space="0"/>
            </w:tcBorders>
            <w:noWrap w:val="0"/>
            <w:vAlign w:val="center"/>
          </w:tcPr>
          <w:p w14:paraId="34F8B7F1">
            <w:pPr>
              <w:spacing w:line="360" w:lineRule="auto"/>
              <w:jc w:val="center"/>
              <w:rPr>
                <w:b/>
                <w:color w:val="auto"/>
                <w:szCs w:val="21"/>
                <w:highlight w:val="none"/>
              </w:rPr>
            </w:pPr>
            <w:r>
              <w:rPr>
                <w:b/>
                <w:color w:val="auto"/>
                <w:szCs w:val="21"/>
                <w:highlight w:val="none"/>
              </w:rPr>
              <w:t>条款号</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4EFFF568">
            <w:pPr>
              <w:spacing w:line="360" w:lineRule="auto"/>
              <w:jc w:val="center"/>
              <w:rPr>
                <w:b/>
                <w:color w:val="auto"/>
                <w:szCs w:val="21"/>
                <w:highlight w:val="none"/>
              </w:rPr>
            </w:pPr>
            <w:r>
              <w:rPr>
                <w:b/>
                <w:color w:val="auto"/>
                <w:szCs w:val="21"/>
                <w:highlight w:val="none"/>
              </w:rPr>
              <w:t>评分因素</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15A0642D">
            <w:pPr>
              <w:spacing w:line="360" w:lineRule="auto"/>
              <w:jc w:val="center"/>
              <w:rPr>
                <w:b/>
                <w:color w:val="auto"/>
                <w:szCs w:val="21"/>
                <w:highlight w:val="none"/>
              </w:rPr>
            </w:pPr>
            <w:r>
              <w:rPr>
                <w:b/>
                <w:color w:val="auto"/>
                <w:szCs w:val="21"/>
                <w:highlight w:val="none"/>
              </w:rPr>
              <w:t>评分标准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896E11D">
            <w:pPr>
              <w:spacing w:line="360" w:lineRule="auto"/>
              <w:jc w:val="center"/>
              <w:rPr>
                <w:b/>
                <w:color w:val="auto"/>
                <w:szCs w:val="21"/>
                <w:highlight w:val="none"/>
              </w:rPr>
            </w:pPr>
            <w:r>
              <w:rPr>
                <w:rFonts w:hint="eastAsia"/>
                <w:b/>
                <w:color w:val="auto"/>
                <w:szCs w:val="21"/>
                <w:highlight w:val="none"/>
              </w:rPr>
              <w:t>计分方法</w:t>
            </w:r>
          </w:p>
        </w:tc>
      </w:tr>
      <w:tr w14:paraId="51B717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8" w:type="dxa"/>
            <w:gridSpan w:val="2"/>
            <w:vMerge w:val="restart"/>
            <w:tcBorders>
              <w:top w:val="single" w:color="auto" w:sz="4" w:space="0"/>
              <w:right w:val="single" w:color="auto" w:sz="4" w:space="0"/>
            </w:tcBorders>
            <w:noWrap w:val="0"/>
            <w:vAlign w:val="center"/>
          </w:tcPr>
          <w:p w14:paraId="779893B3">
            <w:pPr>
              <w:spacing w:line="360" w:lineRule="auto"/>
              <w:jc w:val="center"/>
              <w:rPr>
                <w:color w:val="auto"/>
                <w:szCs w:val="21"/>
                <w:highlight w:val="none"/>
              </w:rPr>
            </w:pPr>
            <w:r>
              <w:rPr>
                <w:color w:val="auto"/>
                <w:szCs w:val="21"/>
                <w:highlight w:val="none"/>
              </w:rPr>
              <w:t>2.2.</w:t>
            </w:r>
            <w:r>
              <w:rPr>
                <w:rFonts w:hint="eastAsia"/>
                <w:color w:val="auto"/>
                <w:szCs w:val="21"/>
                <w:highlight w:val="none"/>
              </w:rPr>
              <w:t>5</w:t>
            </w:r>
            <w:r>
              <w:rPr>
                <w:color w:val="auto"/>
                <w:szCs w:val="21"/>
                <w:highlight w:val="none"/>
              </w:rPr>
              <w:t>(</w:t>
            </w:r>
            <w:r>
              <w:rPr>
                <w:rFonts w:hint="eastAsia"/>
                <w:color w:val="auto"/>
                <w:szCs w:val="21"/>
                <w:highlight w:val="none"/>
              </w:rPr>
              <w:t>1</w:t>
            </w:r>
            <w:r>
              <w:rPr>
                <w:color w:val="auto"/>
                <w:szCs w:val="21"/>
                <w:highlight w:val="none"/>
              </w:rPr>
              <w:t>)</w:t>
            </w:r>
          </w:p>
        </w:tc>
        <w:tc>
          <w:tcPr>
            <w:tcW w:w="992" w:type="dxa"/>
            <w:vMerge w:val="restart"/>
            <w:tcBorders>
              <w:top w:val="single" w:color="auto" w:sz="4" w:space="0"/>
              <w:right w:val="single" w:color="auto" w:sz="4" w:space="0"/>
            </w:tcBorders>
            <w:noWrap w:val="0"/>
            <w:vAlign w:val="center"/>
          </w:tcPr>
          <w:p w14:paraId="555CBD53">
            <w:pPr>
              <w:spacing w:line="360" w:lineRule="auto"/>
              <w:jc w:val="center"/>
              <w:rPr>
                <w:color w:val="auto"/>
                <w:szCs w:val="21"/>
                <w:highlight w:val="none"/>
              </w:rPr>
            </w:pPr>
            <w:r>
              <w:rPr>
                <w:rFonts w:hint="eastAsia"/>
                <w:color w:val="auto"/>
                <w:szCs w:val="21"/>
                <w:highlight w:val="none"/>
              </w:rPr>
              <w:t>技术</w:t>
            </w:r>
          </w:p>
          <w:p w14:paraId="077B6070">
            <w:pPr>
              <w:spacing w:line="360" w:lineRule="auto"/>
              <w:jc w:val="center"/>
              <w:rPr>
                <w:rFonts w:hint="eastAsia"/>
                <w:color w:val="auto"/>
                <w:szCs w:val="21"/>
                <w:highlight w:val="none"/>
              </w:rPr>
            </w:pPr>
            <w:r>
              <w:rPr>
                <w:rFonts w:hint="eastAsia"/>
                <w:color w:val="auto"/>
                <w:szCs w:val="21"/>
                <w:highlight w:val="none"/>
              </w:rPr>
              <w:t>评审</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2C004964">
            <w:pPr>
              <w:spacing w:line="360" w:lineRule="auto"/>
              <w:jc w:val="center"/>
              <w:rPr>
                <w:color w:val="auto"/>
                <w:szCs w:val="21"/>
                <w:highlight w:val="none"/>
              </w:rPr>
            </w:pPr>
            <w:r>
              <w:rPr>
                <w:rFonts w:hint="eastAsia"/>
                <w:color w:val="auto"/>
                <w:highlight w:val="none"/>
              </w:rPr>
              <w:t>施工组织设计内容完整性和编制水平（10分）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2B7D11B8">
            <w:pPr>
              <w:spacing w:line="360" w:lineRule="auto"/>
              <w:jc w:val="left"/>
              <w:rPr>
                <w:color w:val="auto"/>
                <w:szCs w:val="21"/>
                <w:highlight w:val="none"/>
              </w:rPr>
            </w:pPr>
            <w:r>
              <w:rPr>
                <w:rFonts w:hint="eastAsia" w:ascii="宋体" w:hAnsi="宋体"/>
                <w:color w:val="auto"/>
                <w:szCs w:val="18"/>
                <w:highlight w:val="none"/>
              </w:rPr>
              <w:t>施工组织设计结构完整、措施详细，编制思路清晰、层次清楚，内容严谨全面，能图文结合。有指导性、针对性、可操作性，符合规范，各投标人横向评比按等级打分。优得</w:t>
            </w:r>
            <w:r>
              <w:rPr>
                <w:rFonts w:ascii="宋体" w:hAnsi="宋体"/>
                <w:color w:val="auto"/>
                <w:szCs w:val="18"/>
                <w:highlight w:val="none"/>
              </w:rPr>
              <w:t>10</w:t>
            </w:r>
            <w:r>
              <w:rPr>
                <w:rFonts w:hint="eastAsia" w:ascii="宋体" w:hAnsi="宋体"/>
                <w:color w:val="auto"/>
                <w:szCs w:val="18"/>
                <w:highlight w:val="none"/>
              </w:rPr>
              <w:t>分，良得9分，一般得8分，未提供相关内容得</w:t>
            </w:r>
            <w:r>
              <w:rPr>
                <w:rFonts w:ascii="宋体" w:hAnsi="宋体"/>
                <w:color w:val="auto"/>
                <w:szCs w:val="18"/>
                <w:highlight w:val="none"/>
              </w:rPr>
              <w:t>0</w:t>
            </w:r>
            <w:r>
              <w:rPr>
                <w:rFonts w:hint="eastAsia" w:ascii="宋体" w:hAnsi="宋体"/>
                <w:color w:val="auto"/>
                <w:szCs w:val="18"/>
                <w:highlight w:val="none"/>
              </w:rPr>
              <w:t>分。</w:t>
            </w:r>
          </w:p>
        </w:tc>
        <w:tc>
          <w:tcPr>
            <w:tcW w:w="709" w:type="dxa"/>
            <w:vMerge w:val="restart"/>
            <w:tcBorders>
              <w:top w:val="single" w:color="auto" w:sz="4" w:space="0"/>
              <w:left w:val="single" w:color="auto" w:sz="4" w:space="0"/>
              <w:right w:val="single" w:color="auto" w:sz="4" w:space="0"/>
            </w:tcBorders>
            <w:noWrap w:val="0"/>
            <w:vAlign w:val="center"/>
          </w:tcPr>
          <w:p w14:paraId="2A52EC17">
            <w:pPr>
              <w:jc w:val="center"/>
              <w:rPr>
                <w:color w:val="auto"/>
                <w:szCs w:val="21"/>
                <w:highlight w:val="none"/>
              </w:rPr>
            </w:pPr>
            <w:r>
              <w:rPr>
                <w:rFonts w:hint="eastAsia"/>
                <w:color w:val="auto"/>
                <w:szCs w:val="21"/>
                <w:highlight w:val="none"/>
              </w:rPr>
              <w:t>去掉一个最高分值，去掉一个最低分，剩余分数取平均值</w:t>
            </w:r>
          </w:p>
        </w:tc>
      </w:tr>
      <w:tr w14:paraId="26AFD5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8" w:type="dxa"/>
            <w:gridSpan w:val="2"/>
            <w:vMerge w:val="continue"/>
            <w:tcBorders>
              <w:right w:val="single" w:color="auto" w:sz="4" w:space="0"/>
            </w:tcBorders>
            <w:noWrap w:val="0"/>
            <w:vAlign w:val="center"/>
          </w:tcPr>
          <w:p w14:paraId="56CB1364">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2991FC98">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1B8381F">
            <w:pPr>
              <w:spacing w:line="360" w:lineRule="auto"/>
              <w:jc w:val="center"/>
              <w:rPr>
                <w:color w:val="auto"/>
                <w:szCs w:val="21"/>
                <w:highlight w:val="none"/>
              </w:rPr>
            </w:pPr>
            <w:r>
              <w:rPr>
                <w:rFonts w:hint="eastAsia"/>
                <w:color w:val="auto"/>
                <w:highlight w:val="none"/>
              </w:rPr>
              <w:t>施工方案与技术措施的合理性、科学性与可行性（1</w:t>
            </w:r>
            <w:r>
              <w:rPr>
                <w:rFonts w:hint="eastAsia"/>
                <w:color w:val="auto"/>
                <w:highlight w:val="none"/>
                <w:lang w:val="en-US" w:eastAsia="zh-CN"/>
              </w:rPr>
              <w:t>0</w:t>
            </w:r>
            <w:r>
              <w:rPr>
                <w:rFonts w:hint="eastAsia"/>
                <w:color w:val="auto"/>
                <w:highlight w:val="none"/>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4D0269AA">
            <w:pPr>
              <w:spacing w:line="360" w:lineRule="auto"/>
              <w:jc w:val="left"/>
              <w:rPr>
                <w:color w:val="auto"/>
                <w:szCs w:val="21"/>
                <w:highlight w:val="none"/>
              </w:rPr>
            </w:pPr>
            <w:r>
              <w:rPr>
                <w:rFonts w:hint="eastAsia" w:ascii="宋体" w:hAnsi="宋体"/>
                <w:color w:val="auto"/>
                <w:szCs w:val="18"/>
                <w:highlight w:val="none"/>
              </w:rPr>
              <w:t>结合现场实际情况，针对性提出及编制的施工方案，包括但不限于项目管理目标、施工部署安排、重点部位及特殊工艺施工技术等，充分考虑维修中存在因素，及采取的保护措施等，技术措施合理、科学与可行，提出应针对不同的风险点制定突发事件紧急预案。各投标人横向评比按等级打分。优得</w:t>
            </w:r>
            <w:r>
              <w:rPr>
                <w:rFonts w:ascii="宋体" w:hAnsi="宋体"/>
                <w:color w:val="auto"/>
                <w:szCs w:val="18"/>
                <w:highlight w:val="none"/>
              </w:rPr>
              <w:t>1</w:t>
            </w:r>
            <w:r>
              <w:rPr>
                <w:rFonts w:hint="eastAsia" w:ascii="宋体" w:hAnsi="宋体"/>
                <w:color w:val="auto"/>
                <w:szCs w:val="18"/>
                <w:highlight w:val="none"/>
                <w:lang w:val="en-US" w:eastAsia="zh-CN"/>
              </w:rPr>
              <w:t>0</w:t>
            </w:r>
            <w:r>
              <w:rPr>
                <w:rFonts w:hint="eastAsia" w:ascii="宋体" w:hAnsi="宋体"/>
                <w:color w:val="auto"/>
                <w:szCs w:val="18"/>
                <w:highlight w:val="none"/>
              </w:rPr>
              <w:t>分，良得</w:t>
            </w:r>
            <w:r>
              <w:rPr>
                <w:rFonts w:hint="eastAsia" w:ascii="宋体" w:hAnsi="宋体"/>
                <w:color w:val="auto"/>
                <w:szCs w:val="18"/>
                <w:highlight w:val="none"/>
                <w:lang w:val="en-US" w:eastAsia="zh-CN"/>
              </w:rPr>
              <w:t>9</w:t>
            </w:r>
            <w:r>
              <w:rPr>
                <w:rFonts w:hint="eastAsia" w:ascii="宋体" w:hAnsi="宋体"/>
                <w:color w:val="auto"/>
                <w:szCs w:val="18"/>
                <w:highlight w:val="none"/>
              </w:rPr>
              <w:t>分，一般得</w:t>
            </w:r>
            <w:r>
              <w:rPr>
                <w:rFonts w:hint="eastAsia" w:ascii="宋体" w:hAnsi="宋体"/>
                <w:color w:val="auto"/>
                <w:szCs w:val="18"/>
                <w:highlight w:val="none"/>
                <w:lang w:val="en-US" w:eastAsia="zh-CN"/>
              </w:rPr>
              <w:t>8</w:t>
            </w:r>
            <w:r>
              <w:rPr>
                <w:rFonts w:hint="eastAsia" w:ascii="宋体" w:hAnsi="宋体"/>
                <w:color w:val="auto"/>
                <w:szCs w:val="18"/>
                <w:highlight w:val="none"/>
              </w:rPr>
              <w:t>分，未提供相关内容得</w:t>
            </w:r>
            <w:r>
              <w:rPr>
                <w:rFonts w:ascii="宋体" w:hAnsi="宋体"/>
                <w:color w:val="auto"/>
                <w:szCs w:val="18"/>
                <w:highlight w:val="none"/>
              </w:rPr>
              <w:t>0</w:t>
            </w:r>
            <w:r>
              <w:rPr>
                <w:rFonts w:hint="eastAsia" w:ascii="宋体" w:hAnsi="宋体"/>
                <w:color w:val="auto"/>
                <w:szCs w:val="18"/>
                <w:highlight w:val="none"/>
              </w:rPr>
              <w:t>分。</w:t>
            </w:r>
          </w:p>
        </w:tc>
        <w:tc>
          <w:tcPr>
            <w:tcW w:w="709" w:type="dxa"/>
            <w:vMerge w:val="continue"/>
            <w:tcBorders>
              <w:left w:val="single" w:color="auto" w:sz="4" w:space="0"/>
              <w:right w:val="single" w:color="auto" w:sz="4" w:space="0"/>
            </w:tcBorders>
            <w:noWrap w:val="0"/>
            <w:vAlign w:val="center"/>
          </w:tcPr>
          <w:p w14:paraId="557A2493">
            <w:pPr>
              <w:jc w:val="center"/>
              <w:rPr>
                <w:color w:val="auto"/>
                <w:szCs w:val="21"/>
                <w:highlight w:val="none"/>
              </w:rPr>
            </w:pPr>
          </w:p>
        </w:tc>
      </w:tr>
      <w:tr w14:paraId="752FB0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8" w:type="dxa"/>
            <w:gridSpan w:val="2"/>
            <w:vMerge w:val="continue"/>
            <w:tcBorders>
              <w:right w:val="single" w:color="auto" w:sz="4" w:space="0"/>
            </w:tcBorders>
            <w:noWrap w:val="0"/>
            <w:vAlign w:val="center"/>
          </w:tcPr>
          <w:p w14:paraId="3D92502D">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6154151C">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BB2D6CE">
            <w:pPr>
              <w:spacing w:line="360" w:lineRule="auto"/>
              <w:jc w:val="center"/>
              <w:rPr>
                <w:color w:val="auto"/>
                <w:szCs w:val="21"/>
                <w:highlight w:val="none"/>
              </w:rPr>
            </w:pPr>
            <w:r>
              <w:rPr>
                <w:rFonts w:hint="eastAsia"/>
                <w:color w:val="auto"/>
                <w:highlight w:val="none"/>
              </w:rPr>
              <w:t>质量管理体系与措施（</w:t>
            </w:r>
            <w:r>
              <w:rPr>
                <w:rFonts w:hint="eastAsia"/>
                <w:color w:val="auto"/>
                <w:highlight w:val="none"/>
                <w:lang w:val="en-US" w:eastAsia="zh-CN"/>
              </w:rPr>
              <w:t>5</w:t>
            </w:r>
            <w:r>
              <w:rPr>
                <w:rFonts w:hint="eastAsia"/>
                <w:color w:val="auto"/>
                <w:highlight w:val="none"/>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485D84E6">
            <w:pPr>
              <w:spacing w:line="360" w:lineRule="auto"/>
              <w:jc w:val="left"/>
              <w:rPr>
                <w:color w:val="auto"/>
                <w:szCs w:val="21"/>
                <w:highlight w:val="none"/>
              </w:rPr>
            </w:pPr>
            <w:r>
              <w:rPr>
                <w:rFonts w:hint="eastAsia" w:ascii="宋体" w:hAnsi="宋体"/>
                <w:color w:val="auto"/>
                <w:szCs w:val="18"/>
                <w:highlight w:val="none"/>
              </w:rPr>
              <w:t>根据本工程的质量目标，针对项目的重点、难点等实际情况，从质量保证体系、质量管理机构、专业实施能力保证等方面提出详细的质量保证措施。质量管理体系完善、质量保证措施得当，各投标人横向评比按等级打分。优得</w:t>
            </w:r>
            <w:r>
              <w:rPr>
                <w:rFonts w:hint="eastAsia" w:ascii="宋体" w:hAnsi="宋体"/>
                <w:color w:val="auto"/>
                <w:szCs w:val="18"/>
                <w:highlight w:val="none"/>
                <w:lang w:val="en-US" w:eastAsia="zh-CN"/>
              </w:rPr>
              <w:t>5</w:t>
            </w:r>
            <w:r>
              <w:rPr>
                <w:rFonts w:hint="eastAsia" w:ascii="宋体" w:hAnsi="宋体"/>
                <w:color w:val="auto"/>
                <w:szCs w:val="18"/>
                <w:highlight w:val="none"/>
              </w:rPr>
              <w:t>分，良得</w:t>
            </w:r>
            <w:r>
              <w:rPr>
                <w:rFonts w:hint="eastAsia" w:ascii="宋体" w:hAnsi="宋体"/>
                <w:color w:val="auto"/>
                <w:szCs w:val="18"/>
                <w:highlight w:val="none"/>
                <w:lang w:val="en-US" w:eastAsia="zh-CN"/>
              </w:rPr>
              <w:t>4</w:t>
            </w:r>
            <w:r>
              <w:rPr>
                <w:rFonts w:hint="eastAsia" w:ascii="宋体" w:hAnsi="宋体"/>
                <w:color w:val="auto"/>
                <w:szCs w:val="18"/>
                <w:highlight w:val="none"/>
              </w:rPr>
              <w:t>分，一般得</w:t>
            </w:r>
            <w:r>
              <w:rPr>
                <w:rFonts w:hint="eastAsia" w:ascii="宋体" w:hAnsi="宋体"/>
                <w:color w:val="auto"/>
                <w:szCs w:val="18"/>
                <w:highlight w:val="none"/>
                <w:lang w:val="en-US" w:eastAsia="zh-CN"/>
              </w:rPr>
              <w:t>3</w:t>
            </w:r>
            <w:r>
              <w:rPr>
                <w:rFonts w:hint="eastAsia" w:ascii="宋体" w:hAnsi="宋体"/>
                <w:color w:val="auto"/>
                <w:szCs w:val="18"/>
                <w:highlight w:val="none"/>
              </w:rPr>
              <w:t>分，未提供相关内容得</w:t>
            </w:r>
            <w:r>
              <w:rPr>
                <w:rFonts w:ascii="宋体" w:hAnsi="宋体"/>
                <w:color w:val="auto"/>
                <w:szCs w:val="18"/>
                <w:highlight w:val="none"/>
              </w:rPr>
              <w:t>0</w:t>
            </w:r>
            <w:r>
              <w:rPr>
                <w:rFonts w:hint="eastAsia" w:ascii="宋体" w:hAnsi="宋体"/>
                <w:color w:val="auto"/>
                <w:szCs w:val="18"/>
                <w:highlight w:val="none"/>
              </w:rPr>
              <w:t>分。</w:t>
            </w:r>
          </w:p>
        </w:tc>
        <w:tc>
          <w:tcPr>
            <w:tcW w:w="709" w:type="dxa"/>
            <w:vMerge w:val="continue"/>
            <w:tcBorders>
              <w:left w:val="single" w:color="auto" w:sz="4" w:space="0"/>
              <w:right w:val="single" w:color="auto" w:sz="4" w:space="0"/>
            </w:tcBorders>
            <w:noWrap w:val="0"/>
            <w:vAlign w:val="center"/>
          </w:tcPr>
          <w:p w14:paraId="5FA7201B">
            <w:pPr>
              <w:jc w:val="center"/>
              <w:rPr>
                <w:color w:val="auto"/>
                <w:szCs w:val="21"/>
                <w:highlight w:val="none"/>
              </w:rPr>
            </w:pPr>
          </w:p>
        </w:tc>
      </w:tr>
      <w:tr w14:paraId="5828CD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878" w:type="dxa"/>
            <w:gridSpan w:val="2"/>
            <w:vMerge w:val="continue"/>
            <w:tcBorders>
              <w:right w:val="single" w:color="auto" w:sz="4" w:space="0"/>
            </w:tcBorders>
            <w:noWrap w:val="0"/>
            <w:vAlign w:val="center"/>
          </w:tcPr>
          <w:p w14:paraId="677C6037">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48D4E13E">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3A38E668">
            <w:pPr>
              <w:spacing w:line="360" w:lineRule="auto"/>
              <w:jc w:val="center"/>
              <w:rPr>
                <w:color w:val="auto"/>
                <w:szCs w:val="21"/>
                <w:highlight w:val="none"/>
              </w:rPr>
            </w:pPr>
            <w:r>
              <w:rPr>
                <w:rFonts w:hint="eastAsia"/>
                <w:color w:val="auto"/>
                <w:highlight w:val="none"/>
              </w:rPr>
              <w:t>安全管理体系与措施（</w:t>
            </w:r>
            <w:r>
              <w:rPr>
                <w:rFonts w:hint="eastAsia"/>
                <w:color w:val="auto"/>
                <w:highlight w:val="none"/>
                <w:lang w:val="en-US" w:eastAsia="zh-CN"/>
              </w:rPr>
              <w:t>5</w:t>
            </w:r>
            <w:r>
              <w:rPr>
                <w:rFonts w:hint="eastAsia"/>
                <w:color w:val="auto"/>
                <w:highlight w:val="none"/>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6289665C">
            <w:pPr>
              <w:spacing w:line="360" w:lineRule="auto"/>
              <w:jc w:val="left"/>
              <w:rPr>
                <w:color w:val="auto"/>
                <w:szCs w:val="21"/>
                <w:highlight w:val="none"/>
              </w:rPr>
            </w:pPr>
            <w:r>
              <w:rPr>
                <w:rFonts w:hint="eastAsia" w:ascii="宋体" w:hAnsi="宋体"/>
                <w:color w:val="auto"/>
                <w:szCs w:val="18"/>
                <w:highlight w:val="none"/>
              </w:rPr>
              <w:t>根据项目特点提出安全管理体系与措施，针对性强，对本项目安全文明施工的重点难点分析透彻，安全管理体系完善、安全保证措施得当，各投标人横向评比按等级打分。优得</w:t>
            </w:r>
            <w:r>
              <w:rPr>
                <w:rFonts w:hint="eastAsia" w:ascii="宋体" w:hAnsi="宋体"/>
                <w:color w:val="auto"/>
                <w:szCs w:val="18"/>
                <w:highlight w:val="none"/>
                <w:lang w:val="en-US" w:eastAsia="zh-CN"/>
              </w:rPr>
              <w:t>5</w:t>
            </w:r>
            <w:r>
              <w:rPr>
                <w:rFonts w:hint="eastAsia" w:ascii="宋体" w:hAnsi="宋体"/>
                <w:color w:val="auto"/>
                <w:szCs w:val="18"/>
                <w:highlight w:val="none"/>
              </w:rPr>
              <w:t>分，良得</w:t>
            </w:r>
            <w:r>
              <w:rPr>
                <w:rFonts w:hint="eastAsia" w:ascii="宋体" w:hAnsi="宋体"/>
                <w:color w:val="auto"/>
                <w:szCs w:val="18"/>
                <w:highlight w:val="none"/>
                <w:lang w:val="en-US" w:eastAsia="zh-CN"/>
              </w:rPr>
              <w:t>4</w:t>
            </w:r>
            <w:r>
              <w:rPr>
                <w:rFonts w:hint="eastAsia" w:ascii="宋体" w:hAnsi="宋体"/>
                <w:color w:val="auto"/>
                <w:szCs w:val="18"/>
                <w:highlight w:val="none"/>
              </w:rPr>
              <w:t>分，一般得</w:t>
            </w:r>
            <w:r>
              <w:rPr>
                <w:rFonts w:hint="eastAsia" w:ascii="宋体" w:hAnsi="宋体"/>
                <w:color w:val="auto"/>
                <w:szCs w:val="18"/>
                <w:highlight w:val="none"/>
                <w:lang w:val="en-US" w:eastAsia="zh-CN"/>
              </w:rPr>
              <w:t>3</w:t>
            </w:r>
            <w:r>
              <w:rPr>
                <w:rFonts w:hint="eastAsia" w:ascii="宋体" w:hAnsi="宋体"/>
                <w:color w:val="auto"/>
                <w:szCs w:val="18"/>
                <w:highlight w:val="none"/>
              </w:rPr>
              <w:t>分，未提供相关内容得</w:t>
            </w:r>
            <w:r>
              <w:rPr>
                <w:rFonts w:ascii="宋体" w:hAnsi="宋体"/>
                <w:color w:val="auto"/>
                <w:szCs w:val="18"/>
                <w:highlight w:val="none"/>
              </w:rPr>
              <w:t>0</w:t>
            </w:r>
            <w:r>
              <w:rPr>
                <w:rFonts w:hint="eastAsia" w:ascii="宋体" w:hAnsi="宋体"/>
                <w:color w:val="auto"/>
                <w:szCs w:val="18"/>
                <w:highlight w:val="none"/>
              </w:rPr>
              <w:t>分。</w:t>
            </w:r>
          </w:p>
        </w:tc>
        <w:tc>
          <w:tcPr>
            <w:tcW w:w="709" w:type="dxa"/>
            <w:vMerge w:val="continue"/>
            <w:tcBorders>
              <w:left w:val="single" w:color="auto" w:sz="4" w:space="0"/>
              <w:right w:val="single" w:color="auto" w:sz="4" w:space="0"/>
            </w:tcBorders>
            <w:noWrap w:val="0"/>
            <w:vAlign w:val="center"/>
          </w:tcPr>
          <w:p w14:paraId="78C52E6D">
            <w:pPr>
              <w:jc w:val="center"/>
              <w:rPr>
                <w:color w:val="auto"/>
                <w:szCs w:val="21"/>
                <w:highlight w:val="none"/>
              </w:rPr>
            </w:pPr>
          </w:p>
        </w:tc>
      </w:tr>
      <w:tr w14:paraId="22963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78" w:type="dxa"/>
            <w:gridSpan w:val="2"/>
            <w:vMerge w:val="continue"/>
            <w:tcBorders>
              <w:right w:val="single" w:color="auto" w:sz="4" w:space="0"/>
            </w:tcBorders>
            <w:noWrap w:val="0"/>
            <w:vAlign w:val="center"/>
          </w:tcPr>
          <w:p w14:paraId="5A7DC46E">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3C1B47B6">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40512731">
            <w:pPr>
              <w:spacing w:line="360" w:lineRule="auto"/>
              <w:jc w:val="center"/>
              <w:rPr>
                <w:color w:val="auto"/>
                <w:szCs w:val="21"/>
                <w:highlight w:val="none"/>
              </w:rPr>
            </w:pPr>
            <w:r>
              <w:rPr>
                <w:rFonts w:hint="eastAsia"/>
                <w:color w:val="auto"/>
                <w:highlight w:val="none"/>
              </w:rPr>
              <w:t>环境保护管理体系与措施（</w:t>
            </w:r>
            <w:r>
              <w:rPr>
                <w:rFonts w:hint="eastAsia"/>
                <w:color w:val="auto"/>
                <w:highlight w:val="none"/>
                <w:lang w:val="en-US" w:eastAsia="zh-CN"/>
              </w:rPr>
              <w:t>5</w:t>
            </w:r>
            <w:r>
              <w:rPr>
                <w:rFonts w:hint="eastAsia"/>
                <w:color w:val="auto"/>
                <w:highlight w:val="none"/>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123010E9">
            <w:pPr>
              <w:spacing w:line="360" w:lineRule="auto"/>
              <w:jc w:val="left"/>
              <w:rPr>
                <w:color w:val="auto"/>
                <w:szCs w:val="21"/>
                <w:highlight w:val="none"/>
              </w:rPr>
            </w:pPr>
            <w:r>
              <w:rPr>
                <w:rFonts w:hint="eastAsia" w:ascii="宋体" w:hAnsi="宋体"/>
                <w:color w:val="auto"/>
                <w:szCs w:val="18"/>
                <w:highlight w:val="none"/>
              </w:rPr>
              <w:t>根据本工程的质量目标，针对项目的重点、难点等实际情况，提出环境保护管理体系及相关保证措施。环境保护管理体系完善、环境保护管理措施得当，各投标人横向评比按等级打分。优得</w:t>
            </w:r>
            <w:r>
              <w:rPr>
                <w:rFonts w:hint="eastAsia" w:ascii="宋体" w:hAnsi="宋体"/>
                <w:color w:val="auto"/>
                <w:szCs w:val="18"/>
                <w:highlight w:val="none"/>
                <w:lang w:val="en-US" w:eastAsia="zh-CN"/>
              </w:rPr>
              <w:t>5</w:t>
            </w:r>
            <w:r>
              <w:rPr>
                <w:rFonts w:hint="eastAsia" w:ascii="宋体" w:hAnsi="宋体"/>
                <w:color w:val="auto"/>
                <w:szCs w:val="18"/>
                <w:highlight w:val="none"/>
              </w:rPr>
              <w:t>分，良得</w:t>
            </w:r>
            <w:r>
              <w:rPr>
                <w:rFonts w:hint="eastAsia" w:ascii="宋体" w:hAnsi="宋体"/>
                <w:color w:val="auto"/>
                <w:szCs w:val="18"/>
                <w:highlight w:val="none"/>
                <w:lang w:val="en-US" w:eastAsia="zh-CN"/>
              </w:rPr>
              <w:t>4</w:t>
            </w:r>
            <w:r>
              <w:rPr>
                <w:rFonts w:hint="eastAsia" w:ascii="宋体" w:hAnsi="宋体"/>
                <w:color w:val="auto"/>
                <w:szCs w:val="18"/>
                <w:highlight w:val="none"/>
              </w:rPr>
              <w:t>分，一般得</w:t>
            </w:r>
            <w:r>
              <w:rPr>
                <w:rFonts w:hint="eastAsia" w:ascii="宋体" w:hAnsi="宋体"/>
                <w:color w:val="auto"/>
                <w:szCs w:val="18"/>
                <w:highlight w:val="none"/>
                <w:lang w:val="en-US" w:eastAsia="zh-CN"/>
              </w:rPr>
              <w:t>3</w:t>
            </w:r>
            <w:r>
              <w:rPr>
                <w:rFonts w:hint="eastAsia" w:ascii="宋体" w:hAnsi="宋体"/>
                <w:color w:val="auto"/>
                <w:szCs w:val="18"/>
                <w:highlight w:val="none"/>
              </w:rPr>
              <w:t>分，未提供相关内容得</w:t>
            </w:r>
            <w:r>
              <w:rPr>
                <w:rFonts w:ascii="宋体" w:hAnsi="宋体"/>
                <w:color w:val="auto"/>
                <w:szCs w:val="18"/>
                <w:highlight w:val="none"/>
              </w:rPr>
              <w:t>0</w:t>
            </w:r>
            <w:r>
              <w:rPr>
                <w:rFonts w:hint="eastAsia" w:ascii="宋体" w:hAnsi="宋体"/>
                <w:color w:val="auto"/>
                <w:szCs w:val="18"/>
                <w:highlight w:val="none"/>
              </w:rPr>
              <w:t>分。</w:t>
            </w:r>
          </w:p>
        </w:tc>
        <w:tc>
          <w:tcPr>
            <w:tcW w:w="709" w:type="dxa"/>
            <w:vMerge w:val="continue"/>
            <w:tcBorders>
              <w:left w:val="single" w:color="auto" w:sz="4" w:space="0"/>
              <w:right w:val="single" w:color="auto" w:sz="4" w:space="0"/>
            </w:tcBorders>
            <w:noWrap w:val="0"/>
            <w:vAlign w:val="center"/>
          </w:tcPr>
          <w:p w14:paraId="52EBAC56">
            <w:pPr>
              <w:jc w:val="center"/>
              <w:rPr>
                <w:color w:val="auto"/>
                <w:szCs w:val="21"/>
                <w:highlight w:val="none"/>
              </w:rPr>
            </w:pPr>
          </w:p>
        </w:tc>
      </w:tr>
      <w:tr w14:paraId="1CEB37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78" w:type="dxa"/>
            <w:gridSpan w:val="2"/>
            <w:vMerge w:val="continue"/>
            <w:tcBorders>
              <w:right w:val="single" w:color="auto" w:sz="4" w:space="0"/>
            </w:tcBorders>
            <w:noWrap w:val="0"/>
            <w:vAlign w:val="center"/>
          </w:tcPr>
          <w:p w14:paraId="159F3ED2">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236BBC49">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05B1A185">
            <w:pPr>
              <w:spacing w:line="360" w:lineRule="auto"/>
              <w:jc w:val="center"/>
              <w:rPr>
                <w:rFonts w:hint="eastAsia"/>
                <w:color w:val="auto"/>
                <w:highlight w:val="none"/>
              </w:rPr>
            </w:pPr>
            <w:r>
              <w:rPr>
                <w:rFonts w:hint="eastAsia" w:ascii="宋体" w:hAnsi="宋体" w:cs="宋体"/>
                <w:color w:val="auto"/>
                <w:szCs w:val="21"/>
                <w:highlight w:val="none"/>
              </w:rPr>
              <w:t>绿色施工控制措施(</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51C4DFE8">
            <w:pPr>
              <w:spacing w:line="360" w:lineRule="auto"/>
              <w:jc w:val="left"/>
              <w:rPr>
                <w:rFonts w:hint="eastAsia" w:ascii="宋体" w:hAnsi="宋体"/>
                <w:color w:val="auto"/>
                <w:szCs w:val="18"/>
                <w:highlight w:val="none"/>
              </w:rPr>
            </w:pPr>
            <w:r>
              <w:rPr>
                <w:rFonts w:hint="eastAsia" w:ascii="宋体" w:hAnsi="宋体"/>
                <w:color w:val="auto"/>
                <w:szCs w:val="18"/>
                <w:highlight w:val="none"/>
              </w:rPr>
              <w:t>有提供绿色节能控制措施，以及材料消耗、环境保护、建筑废弃物的循序使用控制措施，且承诺使用绿色生产达标企业生产的混凝土。各投标人横向评比按等级打分。优得</w:t>
            </w:r>
            <w:r>
              <w:rPr>
                <w:rFonts w:hint="eastAsia" w:ascii="宋体" w:hAnsi="宋体"/>
                <w:color w:val="auto"/>
                <w:szCs w:val="18"/>
                <w:highlight w:val="none"/>
                <w:lang w:val="en-US" w:eastAsia="zh-CN"/>
              </w:rPr>
              <w:t>5</w:t>
            </w:r>
            <w:r>
              <w:rPr>
                <w:rFonts w:hint="eastAsia" w:ascii="宋体" w:hAnsi="宋体"/>
                <w:color w:val="auto"/>
                <w:szCs w:val="18"/>
                <w:highlight w:val="none"/>
              </w:rPr>
              <w:t>分，良得</w:t>
            </w:r>
            <w:r>
              <w:rPr>
                <w:rFonts w:hint="eastAsia" w:ascii="宋体" w:hAnsi="宋体"/>
                <w:color w:val="auto"/>
                <w:szCs w:val="18"/>
                <w:highlight w:val="none"/>
                <w:lang w:val="en-US" w:eastAsia="zh-CN"/>
              </w:rPr>
              <w:t>4</w:t>
            </w:r>
            <w:r>
              <w:rPr>
                <w:rFonts w:hint="eastAsia" w:ascii="宋体" w:hAnsi="宋体"/>
                <w:color w:val="auto"/>
                <w:szCs w:val="18"/>
                <w:highlight w:val="none"/>
              </w:rPr>
              <w:t>分，一般得</w:t>
            </w:r>
            <w:r>
              <w:rPr>
                <w:rFonts w:hint="eastAsia" w:ascii="宋体" w:hAnsi="宋体"/>
                <w:color w:val="auto"/>
                <w:szCs w:val="18"/>
                <w:highlight w:val="none"/>
                <w:lang w:val="en-US" w:eastAsia="zh-CN"/>
              </w:rPr>
              <w:t>3</w:t>
            </w:r>
            <w:r>
              <w:rPr>
                <w:rFonts w:hint="eastAsia" w:ascii="宋体" w:hAnsi="宋体"/>
                <w:color w:val="auto"/>
                <w:szCs w:val="18"/>
                <w:highlight w:val="none"/>
              </w:rPr>
              <w:t>分，未提供相关内容得</w:t>
            </w:r>
            <w:r>
              <w:rPr>
                <w:rFonts w:ascii="宋体" w:hAnsi="宋体"/>
                <w:color w:val="auto"/>
                <w:szCs w:val="18"/>
                <w:highlight w:val="none"/>
              </w:rPr>
              <w:t>0</w:t>
            </w:r>
            <w:r>
              <w:rPr>
                <w:rFonts w:hint="eastAsia" w:ascii="宋体" w:hAnsi="宋体"/>
                <w:color w:val="auto"/>
                <w:szCs w:val="18"/>
                <w:highlight w:val="none"/>
              </w:rPr>
              <w:t>分。</w:t>
            </w:r>
          </w:p>
        </w:tc>
        <w:tc>
          <w:tcPr>
            <w:tcW w:w="709" w:type="dxa"/>
            <w:vMerge w:val="continue"/>
            <w:tcBorders>
              <w:left w:val="single" w:color="auto" w:sz="4" w:space="0"/>
              <w:right w:val="single" w:color="auto" w:sz="4" w:space="0"/>
            </w:tcBorders>
            <w:noWrap w:val="0"/>
            <w:vAlign w:val="center"/>
          </w:tcPr>
          <w:p w14:paraId="568F4933">
            <w:pPr>
              <w:jc w:val="center"/>
              <w:rPr>
                <w:color w:val="auto"/>
                <w:szCs w:val="21"/>
                <w:highlight w:val="none"/>
              </w:rPr>
            </w:pPr>
          </w:p>
        </w:tc>
      </w:tr>
      <w:tr w14:paraId="7443CA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878" w:type="dxa"/>
            <w:gridSpan w:val="2"/>
            <w:vMerge w:val="continue"/>
            <w:tcBorders>
              <w:right w:val="single" w:color="auto" w:sz="4" w:space="0"/>
            </w:tcBorders>
            <w:noWrap w:val="0"/>
            <w:vAlign w:val="center"/>
          </w:tcPr>
          <w:p w14:paraId="19F62983">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022778FD">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35353AC">
            <w:pPr>
              <w:spacing w:line="360" w:lineRule="auto"/>
              <w:jc w:val="center"/>
              <w:rPr>
                <w:color w:val="auto"/>
                <w:szCs w:val="21"/>
                <w:highlight w:val="none"/>
              </w:rPr>
            </w:pPr>
            <w:r>
              <w:rPr>
                <w:rFonts w:hint="eastAsia" w:ascii="宋体" w:hAnsi="宋体"/>
                <w:color w:val="auto"/>
                <w:highlight w:val="none"/>
              </w:rPr>
              <w:t>工程进度计划与措施（1</w:t>
            </w:r>
            <w:r>
              <w:rPr>
                <w:rFonts w:hint="eastAsia" w:ascii="宋体" w:hAnsi="宋体"/>
                <w:color w:val="auto"/>
                <w:highlight w:val="none"/>
                <w:lang w:val="en-US" w:eastAsia="zh-CN"/>
              </w:rPr>
              <w:t>0</w:t>
            </w:r>
            <w:r>
              <w:rPr>
                <w:rFonts w:hint="eastAsia" w:ascii="宋体" w:hAnsi="宋体"/>
                <w:color w:val="auto"/>
                <w:highlight w:val="none"/>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48147A4F">
            <w:pPr>
              <w:spacing w:line="360" w:lineRule="auto"/>
              <w:jc w:val="left"/>
              <w:rPr>
                <w:color w:val="auto"/>
                <w:szCs w:val="21"/>
                <w:highlight w:val="none"/>
              </w:rPr>
            </w:pPr>
            <w:r>
              <w:rPr>
                <w:rFonts w:hint="eastAsia" w:ascii="宋体" w:hAnsi="宋体"/>
                <w:color w:val="auto"/>
                <w:szCs w:val="18"/>
                <w:highlight w:val="none"/>
              </w:rPr>
              <w:t>工程建设进度满足招标文件要求，关键线路清晰、准确、完整，计划编制合理、可行，关键节点的控制措施合理，各投标人横向评比按等级打分。优得</w:t>
            </w:r>
            <w:r>
              <w:rPr>
                <w:rFonts w:ascii="宋体" w:hAnsi="宋体"/>
                <w:color w:val="auto"/>
                <w:szCs w:val="18"/>
                <w:highlight w:val="none"/>
              </w:rPr>
              <w:t>1</w:t>
            </w:r>
            <w:r>
              <w:rPr>
                <w:rFonts w:hint="eastAsia" w:ascii="宋体" w:hAnsi="宋体"/>
                <w:color w:val="auto"/>
                <w:szCs w:val="18"/>
                <w:highlight w:val="none"/>
                <w:lang w:val="en-US" w:eastAsia="zh-CN"/>
              </w:rPr>
              <w:t>0</w:t>
            </w:r>
            <w:r>
              <w:rPr>
                <w:rFonts w:hint="eastAsia" w:ascii="宋体" w:hAnsi="宋体"/>
                <w:color w:val="auto"/>
                <w:szCs w:val="18"/>
                <w:highlight w:val="none"/>
              </w:rPr>
              <w:t>分，良得</w:t>
            </w:r>
            <w:r>
              <w:rPr>
                <w:rFonts w:hint="eastAsia" w:ascii="宋体" w:hAnsi="宋体"/>
                <w:color w:val="auto"/>
                <w:szCs w:val="18"/>
                <w:highlight w:val="none"/>
                <w:lang w:val="en-US" w:eastAsia="zh-CN"/>
              </w:rPr>
              <w:t>9</w:t>
            </w:r>
            <w:r>
              <w:rPr>
                <w:rFonts w:hint="eastAsia" w:ascii="宋体" w:hAnsi="宋体"/>
                <w:color w:val="auto"/>
                <w:szCs w:val="18"/>
                <w:highlight w:val="none"/>
              </w:rPr>
              <w:t>分，一般得</w:t>
            </w:r>
            <w:r>
              <w:rPr>
                <w:rFonts w:hint="eastAsia" w:ascii="宋体" w:hAnsi="宋体"/>
                <w:color w:val="auto"/>
                <w:szCs w:val="18"/>
                <w:highlight w:val="none"/>
                <w:lang w:val="en-US" w:eastAsia="zh-CN"/>
              </w:rPr>
              <w:t>8</w:t>
            </w:r>
            <w:r>
              <w:rPr>
                <w:rFonts w:hint="eastAsia" w:ascii="宋体" w:hAnsi="宋体"/>
                <w:color w:val="auto"/>
                <w:szCs w:val="18"/>
                <w:highlight w:val="none"/>
              </w:rPr>
              <w:t>分，未提供相关内容得</w:t>
            </w:r>
            <w:r>
              <w:rPr>
                <w:rFonts w:ascii="宋体" w:hAnsi="宋体"/>
                <w:color w:val="auto"/>
                <w:szCs w:val="18"/>
                <w:highlight w:val="none"/>
              </w:rPr>
              <w:t>0</w:t>
            </w:r>
            <w:r>
              <w:rPr>
                <w:rFonts w:hint="eastAsia" w:ascii="宋体" w:hAnsi="宋体"/>
                <w:color w:val="auto"/>
                <w:szCs w:val="18"/>
                <w:highlight w:val="none"/>
              </w:rPr>
              <w:t>分。</w:t>
            </w:r>
          </w:p>
        </w:tc>
        <w:tc>
          <w:tcPr>
            <w:tcW w:w="709" w:type="dxa"/>
            <w:vMerge w:val="continue"/>
            <w:tcBorders>
              <w:left w:val="single" w:color="auto" w:sz="4" w:space="0"/>
              <w:right w:val="single" w:color="auto" w:sz="4" w:space="0"/>
            </w:tcBorders>
            <w:noWrap w:val="0"/>
            <w:vAlign w:val="center"/>
          </w:tcPr>
          <w:p w14:paraId="575EDAF9">
            <w:pPr>
              <w:jc w:val="center"/>
              <w:rPr>
                <w:color w:val="auto"/>
                <w:szCs w:val="21"/>
                <w:highlight w:val="none"/>
              </w:rPr>
            </w:pPr>
          </w:p>
        </w:tc>
      </w:tr>
      <w:tr w14:paraId="72623D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878" w:type="dxa"/>
            <w:gridSpan w:val="2"/>
            <w:vMerge w:val="continue"/>
            <w:tcBorders>
              <w:right w:val="single" w:color="auto" w:sz="4" w:space="0"/>
            </w:tcBorders>
            <w:noWrap w:val="0"/>
            <w:vAlign w:val="center"/>
          </w:tcPr>
          <w:p w14:paraId="34BBD4E5">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26879068">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7446697E">
            <w:pPr>
              <w:spacing w:line="360" w:lineRule="auto"/>
              <w:jc w:val="center"/>
              <w:rPr>
                <w:rFonts w:hint="eastAsia" w:ascii="宋体" w:hAnsi="宋体"/>
                <w:color w:val="auto"/>
                <w:highlight w:val="none"/>
              </w:rPr>
            </w:pPr>
            <w:r>
              <w:rPr>
                <w:rFonts w:hint="eastAsia" w:ascii="宋体" w:hAnsi="宋体"/>
                <w:color w:val="auto"/>
                <w:highlight w:val="none"/>
                <w:lang w:val="en-US" w:eastAsia="zh-CN"/>
              </w:rPr>
              <w:t>拟投入</w:t>
            </w:r>
            <w:r>
              <w:rPr>
                <w:rFonts w:hint="eastAsia" w:ascii="宋体" w:hAnsi="宋体"/>
                <w:color w:val="auto"/>
                <w:highlight w:val="none"/>
              </w:rPr>
              <w:t>施工设备配备计划（</w:t>
            </w:r>
            <w:r>
              <w:rPr>
                <w:rFonts w:hint="eastAsia" w:ascii="宋体" w:hAnsi="宋体"/>
                <w:color w:val="auto"/>
                <w:highlight w:val="none"/>
                <w:lang w:val="en-US" w:eastAsia="zh-CN"/>
              </w:rPr>
              <w:t>15分）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3EBD2ACE">
            <w:pPr>
              <w:numPr>
                <w:ilvl w:val="0"/>
                <w:numId w:val="0"/>
              </w:numPr>
              <w:spacing w:line="360" w:lineRule="auto"/>
              <w:jc w:val="left"/>
              <w:rPr>
                <w:rFonts w:hint="eastAsia"/>
                <w:color w:val="auto"/>
                <w:highlight w:val="none"/>
              </w:rPr>
            </w:pPr>
            <w:r>
              <w:rPr>
                <w:rFonts w:hint="eastAsia"/>
                <w:color w:val="auto"/>
                <w:highlight w:val="none"/>
              </w:rPr>
              <w:t>针对本项目投入的施工机械设备能满足工程施工进度的要求，拟投入自</w:t>
            </w:r>
            <w:r>
              <w:rPr>
                <w:rFonts w:hint="eastAsia"/>
                <w:color w:val="auto"/>
                <w:highlight w:val="none"/>
                <w:lang w:val="en-US" w:eastAsia="zh-CN"/>
              </w:rPr>
              <w:t>有</w:t>
            </w:r>
            <w:r>
              <w:rPr>
                <w:rFonts w:hint="eastAsia"/>
                <w:color w:val="auto"/>
                <w:highlight w:val="none"/>
              </w:rPr>
              <w:t>施工车辆【其中包括货车、工程车、专项作业车（如带电作业车、高空作业车、工程抢险车等）】。投标人之间横向比较，</w:t>
            </w:r>
            <w:r>
              <w:rPr>
                <w:rFonts w:hint="eastAsia"/>
                <w:color w:val="auto"/>
                <w:highlight w:val="none"/>
                <w:lang w:val="en-US" w:eastAsia="zh-CN"/>
              </w:rPr>
              <w:t>优得15分，良得10分，一般得5分，未提供相关内容得0分</w:t>
            </w:r>
            <w:r>
              <w:rPr>
                <w:rFonts w:hint="eastAsia"/>
                <w:color w:val="auto"/>
                <w:highlight w:val="none"/>
              </w:rPr>
              <w:t>。</w:t>
            </w:r>
          </w:p>
          <w:p w14:paraId="48D8C0E7">
            <w:pPr>
              <w:pStyle w:val="16"/>
              <w:rPr>
                <w:rFonts w:hint="eastAsia"/>
                <w:color w:val="auto"/>
                <w:highlight w:val="none"/>
              </w:rPr>
            </w:pPr>
            <w:r>
              <w:rPr>
                <w:rFonts w:hint="eastAsia" w:ascii="宋体" w:hAnsi="宋体" w:eastAsia="宋体" w:cs="宋体"/>
                <w:color w:val="auto"/>
                <w:sz w:val="20"/>
                <w:szCs w:val="20"/>
                <w:highlight w:val="none"/>
              </w:rPr>
              <w:t>注：</w:t>
            </w:r>
            <w:r>
              <w:rPr>
                <w:rFonts w:hint="eastAsia" w:cs="宋体"/>
                <w:color w:val="auto"/>
                <w:sz w:val="20"/>
                <w:szCs w:val="20"/>
                <w:highlight w:val="none"/>
                <w:lang w:val="en-US" w:eastAsia="zh-CN"/>
              </w:rPr>
              <w:t>投标人自有车辆的，投标人需提供该车辆的有效行驶证扫描件，投标人租用车辆的，投标人需提供该车辆的有效行驶证扫描件、车辆租赁合同扫描件、租赁费发票扫描件。</w:t>
            </w:r>
          </w:p>
        </w:tc>
        <w:tc>
          <w:tcPr>
            <w:tcW w:w="709" w:type="dxa"/>
            <w:vMerge w:val="continue"/>
            <w:tcBorders>
              <w:left w:val="single" w:color="auto" w:sz="4" w:space="0"/>
              <w:right w:val="single" w:color="auto" w:sz="4" w:space="0"/>
            </w:tcBorders>
            <w:noWrap w:val="0"/>
            <w:vAlign w:val="center"/>
          </w:tcPr>
          <w:p w14:paraId="3FECA84F">
            <w:pPr>
              <w:jc w:val="center"/>
              <w:rPr>
                <w:color w:val="auto"/>
                <w:szCs w:val="21"/>
                <w:highlight w:val="none"/>
              </w:rPr>
            </w:pPr>
          </w:p>
        </w:tc>
      </w:tr>
      <w:tr w14:paraId="4CA70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78" w:type="dxa"/>
            <w:gridSpan w:val="2"/>
            <w:vMerge w:val="continue"/>
            <w:tcBorders>
              <w:right w:val="single" w:color="auto" w:sz="4" w:space="0"/>
            </w:tcBorders>
            <w:noWrap w:val="0"/>
            <w:vAlign w:val="center"/>
          </w:tcPr>
          <w:p w14:paraId="41D12618">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44CBED18">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0BBAB692">
            <w:pPr>
              <w:spacing w:line="360" w:lineRule="auto"/>
              <w:jc w:val="center"/>
              <w:rPr>
                <w:rFonts w:hint="eastAsia"/>
                <w:color w:val="auto"/>
                <w:highlight w:val="none"/>
              </w:rPr>
            </w:pPr>
            <w:r>
              <w:rPr>
                <w:rFonts w:hint="eastAsia" w:ascii="宋体" w:hAnsi="宋体"/>
                <w:color w:val="auto"/>
                <w:highlight w:val="none"/>
                <w:lang w:val="en-US" w:eastAsia="zh-CN"/>
              </w:rPr>
              <w:t>拟投入</w:t>
            </w:r>
            <w:r>
              <w:rPr>
                <w:rFonts w:hint="eastAsia" w:ascii="宋体" w:hAnsi="宋体"/>
                <w:color w:val="auto"/>
                <w:highlight w:val="none"/>
              </w:rPr>
              <w:t>劳动力配备计划（</w:t>
            </w:r>
            <w:r>
              <w:rPr>
                <w:rFonts w:hint="eastAsia" w:ascii="宋体" w:hAnsi="宋体"/>
                <w:color w:val="auto"/>
                <w:highlight w:val="none"/>
                <w:lang w:val="en-US" w:eastAsia="zh-CN"/>
              </w:rPr>
              <w:t>25</w:t>
            </w:r>
            <w:r>
              <w:rPr>
                <w:rFonts w:hint="eastAsia" w:ascii="宋体" w:hAnsi="宋体"/>
                <w:color w:val="auto"/>
                <w:highlight w:val="none"/>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32E29D75">
            <w:pPr>
              <w:rPr>
                <w:rFonts w:hint="eastAsia" w:ascii="宋体" w:hAnsi="宋体"/>
                <w:color w:val="auto"/>
                <w:sz w:val="18"/>
                <w:szCs w:val="18"/>
                <w:highlight w:val="none"/>
              </w:rPr>
            </w:pP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lang w:val="en-US" w:eastAsia="zh-CN"/>
              </w:rPr>
              <w:t>1</w:t>
            </w: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rPr>
              <w:t>投入符合供电部门要求的特种作业操作证操作人员（高压电工）数量横向对比。投标人之间横向比较，优得</w:t>
            </w:r>
            <w:r>
              <w:rPr>
                <w:rFonts w:hint="eastAsia" w:ascii="宋体" w:hAnsi="宋体" w:cs="Times New Roman"/>
                <w:color w:val="auto"/>
                <w:szCs w:val="18"/>
                <w:highlight w:val="none"/>
                <w:lang w:val="en-US" w:eastAsia="zh-CN"/>
              </w:rPr>
              <w:t>10</w:t>
            </w:r>
            <w:r>
              <w:rPr>
                <w:rFonts w:hint="eastAsia" w:ascii="宋体" w:hAnsi="宋体" w:eastAsia="宋体" w:cs="Times New Roman"/>
                <w:color w:val="auto"/>
                <w:szCs w:val="18"/>
                <w:highlight w:val="none"/>
              </w:rPr>
              <w:t>分，良得</w:t>
            </w:r>
            <w:r>
              <w:rPr>
                <w:rFonts w:hint="eastAsia" w:ascii="宋体" w:hAnsi="宋体" w:cs="Times New Roman"/>
                <w:color w:val="auto"/>
                <w:szCs w:val="18"/>
                <w:highlight w:val="none"/>
                <w:lang w:val="en-US" w:eastAsia="zh-CN"/>
              </w:rPr>
              <w:t>7</w:t>
            </w:r>
            <w:r>
              <w:rPr>
                <w:rFonts w:hint="eastAsia" w:ascii="宋体" w:hAnsi="宋体" w:eastAsia="宋体" w:cs="Times New Roman"/>
                <w:color w:val="auto"/>
                <w:szCs w:val="18"/>
                <w:highlight w:val="none"/>
              </w:rPr>
              <w:t>分，</w:t>
            </w:r>
            <w:r>
              <w:rPr>
                <w:rFonts w:hint="eastAsia" w:ascii="宋体" w:hAnsi="宋体" w:eastAsia="宋体" w:cs="Times New Roman"/>
                <w:color w:val="auto"/>
                <w:szCs w:val="18"/>
                <w:highlight w:val="none"/>
                <w:lang w:val="en-US" w:eastAsia="zh-CN"/>
              </w:rPr>
              <w:t>一般</w:t>
            </w:r>
            <w:r>
              <w:rPr>
                <w:rFonts w:hint="eastAsia" w:ascii="宋体" w:hAnsi="宋体" w:eastAsia="宋体" w:cs="Times New Roman"/>
                <w:color w:val="auto"/>
                <w:szCs w:val="18"/>
                <w:highlight w:val="none"/>
              </w:rPr>
              <w:t>得</w:t>
            </w:r>
            <w:r>
              <w:rPr>
                <w:rFonts w:hint="eastAsia" w:ascii="宋体" w:hAnsi="宋体" w:cs="Times New Roman"/>
                <w:color w:val="auto"/>
                <w:szCs w:val="18"/>
                <w:highlight w:val="none"/>
                <w:lang w:val="en-US" w:eastAsia="zh-CN"/>
              </w:rPr>
              <w:t>5</w:t>
            </w:r>
            <w:r>
              <w:rPr>
                <w:rFonts w:hint="eastAsia" w:ascii="宋体" w:hAnsi="宋体" w:eastAsia="宋体" w:cs="Times New Roman"/>
                <w:color w:val="auto"/>
                <w:szCs w:val="18"/>
                <w:highlight w:val="none"/>
              </w:rPr>
              <w:t>分，未</w:t>
            </w:r>
            <w:r>
              <w:rPr>
                <w:rFonts w:hint="eastAsia" w:ascii="宋体" w:hAnsi="宋体"/>
                <w:color w:val="auto"/>
                <w:szCs w:val="18"/>
                <w:highlight w:val="none"/>
              </w:rPr>
              <w:t>提供相关内容得</w:t>
            </w:r>
            <w:r>
              <w:rPr>
                <w:rFonts w:ascii="宋体" w:hAnsi="宋体"/>
                <w:color w:val="auto"/>
                <w:szCs w:val="18"/>
                <w:highlight w:val="none"/>
              </w:rPr>
              <w:t>0</w:t>
            </w:r>
            <w:r>
              <w:rPr>
                <w:rFonts w:hint="eastAsia" w:ascii="宋体" w:hAnsi="宋体"/>
                <w:color w:val="auto"/>
                <w:szCs w:val="18"/>
                <w:highlight w:val="none"/>
              </w:rPr>
              <w:t>分</w:t>
            </w:r>
            <w:r>
              <w:rPr>
                <w:rFonts w:hint="eastAsia" w:ascii="宋体" w:hAnsi="宋体"/>
                <w:color w:val="auto"/>
                <w:sz w:val="18"/>
                <w:szCs w:val="18"/>
                <w:highlight w:val="none"/>
              </w:rPr>
              <w:t>。</w:t>
            </w:r>
          </w:p>
          <w:p w14:paraId="571B0260">
            <w:pPr>
              <w:rPr>
                <w:rFonts w:hint="eastAsia" w:ascii="宋体" w:hAnsi="宋体"/>
                <w:color w:val="auto"/>
                <w:sz w:val="18"/>
                <w:szCs w:val="18"/>
                <w:highlight w:val="none"/>
              </w:rPr>
            </w:pP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lang w:val="en-US" w:eastAsia="zh-CN"/>
              </w:rPr>
              <w:t>2</w:t>
            </w: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rPr>
              <w:t>投入符合供电部门要求的特种作业操作证操作人员（低压电工）数量横向对比。投标人之间横向比较，优得</w:t>
            </w:r>
            <w:r>
              <w:rPr>
                <w:rFonts w:hint="eastAsia" w:ascii="宋体" w:hAnsi="宋体" w:cs="Times New Roman"/>
                <w:color w:val="auto"/>
                <w:szCs w:val="18"/>
                <w:highlight w:val="none"/>
                <w:lang w:val="en-US" w:eastAsia="zh-CN"/>
              </w:rPr>
              <w:t>10</w:t>
            </w:r>
            <w:r>
              <w:rPr>
                <w:rFonts w:hint="eastAsia" w:ascii="宋体" w:hAnsi="宋体" w:eastAsia="宋体" w:cs="Times New Roman"/>
                <w:color w:val="auto"/>
                <w:szCs w:val="18"/>
                <w:highlight w:val="none"/>
              </w:rPr>
              <w:t>分，良得</w:t>
            </w:r>
            <w:r>
              <w:rPr>
                <w:rFonts w:hint="eastAsia" w:ascii="宋体" w:hAnsi="宋体" w:cs="Times New Roman"/>
                <w:color w:val="auto"/>
                <w:szCs w:val="18"/>
                <w:highlight w:val="none"/>
                <w:lang w:val="en-US" w:eastAsia="zh-CN"/>
              </w:rPr>
              <w:t>7</w:t>
            </w:r>
            <w:r>
              <w:rPr>
                <w:rFonts w:hint="eastAsia" w:ascii="宋体" w:hAnsi="宋体" w:eastAsia="宋体" w:cs="Times New Roman"/>
                <w:color w:val="auto"/>
                <w:szCs w:val="18"/>
                <w:highlight w:val="none"/>
              </w:rPr>
              <w:t>分，</w:t>
            </w:r>
            <w:r>
              <w:rPr>
                <w:rFonts w:hint="eastAsia" w:ascii="宋体" w:hAnsi="宋体" w:eastAsia="宋体" w:cs="Times New Roman"/>
                <w:color w:val="auto"/>
                <w:szCs w:val="18"/>
                <w:highlight w:val="none"/>
                <w:lang w:val="en-US" w:eastAsia="zh-CN"/>
              </w:rPr>
              <w:t>一般</w:t>
            </w:r>
            <w:r>
              <w:rPr>
                <w:rFonts w:hint="eastAsia" w:ascii="宋体" w:hAnsi="宋体" w:eastAsia="宋体" w:cs="Times New Roman"/>
                <w:color w:val="auto"/>
                <w:szCs w:val="18"/>
                <w:highlight w:val="none"/>
              </w:rPr>
              <w:t>得</w:t>
            </w:r>
            <w:r>
              <w:rPr>
                <w:rFonts w:hint="eastAsia" w:ascii="宋体" w:hAnsi="宋体" w:cs="Times New Roman"/>
                <w:color w:val="auto"/>
                <w:szCs w:val="18"/>
                <w:highlight w:val="none"/>
                <w:lang w:val="en-US" w:eastAsia="zh-CN"/>
              </w:rPr>
              <w:t>5</w:t>
            </w:r>
            <w:r>
              <w:rPr>
                <w:rFonts w:hint="eastAsia" w:ascii="宋体" w:hAnsi="宋体" w:eastAsia="宋体" w:cs="Times New Roman"/>
                <w:color w:val="auto"/>
                <w:szCs w:val="18"/>
                <w:highlight w:val="none"/>
              </w:rPr>
              <w:t>分，未</w:t>
            </w:r>
            <w:r>
              <w:rPr>
                <w:rFonts w:hint="eastAsia" w:ascii="宋体" w:hAnsi="宋体"/>
                <w:color w:val="auto"/>
                <w:szCs w:val="18"/>
                <w:highlight w:val="none"/>
              </w:rPr>
              <w:t>提供相关内容得</w:t>
            </w:r>
            <w:r>
              <w:rPr>
                <w:rFonts w:ascii="宋体" w:hAnsi="宋体"/>
                <w:color w:val="auto"/>
                <w:szCs w:val="18"/>
                <w:highlight w:val="none"/>
              </w:rPr>
              <w:t>0</w:t>
            </w:r>
            <w:r>
              <w:rPr>
                <w:rFonts w:hint="eastAsia" w:ascii="宋体" w:hAnsi="宋体"/>
                <w:color w:val="auto"/>
                <w:szCs w:val="18"/>
                <w:highlight w:val="none"/>
              </w:rPr>
              <w:t>分</w:t>
            </w:r>
            <w:r>
              <w:rPr>
                <w:rFonts w:hint="eastAsia" w:ascii="宋体" w:hAnsi="宋体"/>
                <w:color w:val="auto"/>
                <w:sz w:val="18"/>
                <w:szCs w:val="18"/>
                <w:highlight w:val="none"/>
              </w:rPr>
              <w:t>。</w:t>
            </w:r>
          </w:p>
          <w:p w14:paraId="5A35F647">
            <w:pPr>
              <w:pStyle w:val="16"/>
              <w:rPr>
                <w:rFonts w:hint="eastAsia" w:ascii="宋体" w:hAnsi="宋体" w:eastAsia="宋体" w:cs="Times New Roman"/>
                <w:color w:val="auto"/>
                <w:kern w:val="2"/>
                <w:sz w:val="21"/>
                <w:szCs w:val="18"/>
                <w:highlight w:val="none"/>
                <w:lang w:val="en-US" w:eastAsia="zh-CN" w:bidi="ar-SA"/>
              </w:rPr>
            </w:pPr>
            <w:r>
              <w:rPr>
                <w:rFonts w:hint="eastAsia" w:ascii="宋体" w:hAnsi="宋体" w:eastAsia="宋体" w:cs="Times New Roman"/>
                <w:color w:val="auto"/>
                <w:kern w:val="2"/>
                <w:sz w:val="21"/>
                <w:szCs w:val="18"/>
                <w:highlight w:val="none"/>
                <w:lang w:val="en-US" w:eastAsia="zh-CN" w:bidi="ar-SA"/>
              </w:rPr>
              <w:t>（3）投入符合供电部门要求的特种作业操作证操作人员（电力电缆，继电保护，电气试验，焊接与热切割)，以上工种齐全，在投入人员数量横向对比。投标人之间横向比较，优得5分，良得3分，一般得1分，未提供相关内容得0分。</w:t>
            </w:r>
          </w:p>
          <w:p w14:paraId="7E390739">
            <w:pPr>
              <w:spacing w:line="360" w:lineRule="auto"/>
              <w:jc w:val="left"/>
              <w:rPr>
                <w:rFonts w:hint="default" w:ascii="宋体" w:hAnsi="宋体" w:eastAsia="宋体" w:cs="Times New Roman"/>
                <w:color w:val="auto"/>
                <w:kern w:val="2"/>
                <w:sz w:val="21"/>
                <w:szCs w:val="18"/>
                <w:highlight w:val="none"/>
                <w:lang w:val="en-US" w:eastAsia="zh-CN" w:bidi="ar-SA"/>
              </w:rPr>
            </w:pPr>
            <w:r>
              <w:rPr>
                <w:rFonts w:hint="eastAsia" w:ascii="宋体" w:hAnsi="宋体" w:eastAsia="宋体" w:cs="Times New Roman"/>
                <w:color w:val="auto"/>
                <w:kern w:val="2"/>
                <w:sz w:val="21"/>
                <w:szCs w:val="18"/>
                <w:highlight w:val="none"/>
                <w:lang w:val="en-US" w:eastAsia="zh-CN" w:bidi="ar-SA"/>
              </w:rPr>
              <w:t>注:投标人需要提供有效的证件扫描件、具有离投标截止时间最近1个月（</w:t>
            </w:r>
            <w:r>
              <w:rPr>
                <w:rFonts w:hint="eastAsia" w:ascii="宋体" w:hAnsi="宋体" w:eastAsia="宋体" w:cs="Times New Roman"/>
                <w:color w:val="auto"/>
                <w:szCs w:val="18"/>
                <w:highlight w:val="none"/>
              </w:rPr>
              <w:t>即2024年11月份</w:t>
            </w:r>
            <w:r>
              <w:rPr>
                <w:rFonts w:hint="eastAsia" w:ascii="宋体" w:hAnsi="宋体" w:eastAsia="宋体" w:cs="Times New Roman"/>
                <w:color w:val="auto"/>
                <w:kern w:val="2"/>
                <w:sz w:val="21"/>
                <w:szCs w:val="18"/>
                <w:highlight w:val="none"/>
                <w:lang w:val="en-US" w:eastAsia="zh-CN" w:bidi="ar-SA"/>
              </w:rPr>
              <w:t>）在本单位交纳的社保证明文件（以加盖社会保险基金管理中心印章的《投保单》或《社会保险参保人员证明》资料为准）。</w:t>
            </w:r>
          </w:p>
        </w:tc>
        <w:tc>
          <w:tcPr>
            <w:tcW w:w="709" w:type="dxa"/>
            <w:vMerge w:val="continue"/>
            <w:tcBorders>
              <w:left w:val="single" w:color="auto" w:sz="4" w:space="0"/>
              <w:right w:val="single" w:color="auto" w:sz="4" w:space="0"/>
            </w:tcBorders>
            <w:noWrap w:val="0"/>
            <w:vAlign w:val="center"/>
          </w:tcPr>
          <w:p w14:paraId="4AA716A0">
            <w:pPr>
              <w:jc w:val="center"/>
              <w:rPr>
                <w:color w:val="auto"/>
                <w:szCs w:val="21"/>
                <w:highlight w:val="none"/>
              </w:rPr>
            </w:pPr>
          </w:p>
        </w:tc>
      </w:tr>
      <w:tr w14:paraId="529B1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878" w:type="dxa"/>
            <w:gridSpan w:val="2"/>
            <w:tcBorders>
              <w:right w:val="single" w:color="auto" w:sz="4" w:space="0"/>
            </w:tcBorders>
            <w:noWrap w:val="0"/>
            <w:vAlign w:val="center"/>
          </w:tcPr>
          <w:p w14:paraId="055A6C46">
            <w:pPr>
              <w:spacing w:line="360" w:lineRule="auto"/>
              <w:jc w:val="center"/>
              <w:rPr>
                <w:color w:val="auto"/>
                <w:szCs w:val="21"/>
                <w:highlight w:val="none"/>
              </w:rPr>
            </w:pPr>
          </w:p>
        </w:tc>
        <w:tc>
          <w:tcPr>
            <w:tcW w:w="992" w:type="dxa"/>
            <w:tcBorders>
              <w:right w:val="single" w:color="auto" w:sz="4" w:space="0"/>
            </w:tcBorders>
            <w:noWrap w:val="0"/>
            <w:vAlign w:val="center"/>
          </w:tcPr>
          <w:p w14:paraId="7DF8B4EE">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DCE500D">
            <w:pPr>
              <w:spacing w:line="360" w:lineRule="auto"/>
              <w:jc w:val="center"/>
              <w:rPr>
                <w:rFonts w:hint="eastAsia" w:ascii="宋体" w:hAnsi="宋体" w:eastAsia="宋体"/>
                <w:color w:val="auto"/>
                <w:highlight w:val="none"/>
                <w:lang w:val="en-US" w:eastAsia="zh-CN"/>
              </w:rPr>
            </w:pPr>
            <w:r>
              <w:rPr>
                <w:rFonts w:hint="eastAsia" w:ascii="宋体" w:hAnsi="宋体" w:eastAsia="宋体" w:cs="Times New Roman"/>
                <w:color w:val="auto"/>
                <w:highlight w:val="none"/>
                <w:lang w:val="en-US" w:eastAsia="zh-CN"/>
              </w:rPr>
              <w:t>调试、验收方案（</w:t>
            </w:r>
            <w:r>
              <w:rPr>
                <w:rFonts w:hint="eastAsia" w:ascii="宋体" w:hAnsi="宋体" w:cs="Times New Roman"/>
                <w:color w:val="auto"/>
                <w:highlight w:val="none"/>
                <w:lang w:val="en-US" w:eastAsia="zh-CN"/>
              </w:rPr>
              <w:t>10</w:t>
            </w:r>
            <w:r>
              <w:rPr>
                <w:rFonts w:hint="eastAsia" w:ascii="宋体" w:hAnsi="宋体" w:eastAsia="宋体" w:cs="Times New Roman"/>
                <w:color w:val="auto"/>
                <w:highlight w:val="none"/>
                <w:lang w:val="en-US" w:eastAsia="zh-CN"/>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4ED12333">
            <w:pPr>
              <w:numPr>
                <w:ilvl w:val="0"/>
                <w:numId w:val="0"/>
              </w:numPr>
              <w:spacing w:line="360" w:lineRule="auto"/>
              <w:jc w:val="left"/>
              <w:rPr>
                <w:rFonts w:hint="eastAsia" w:ascii="宋体" w:hAnsi="宋体" w:eastAsia="宋体" w:cs="Times New Roman"/>
                <w:color w:val="auto"/>
                <w:szCs w:val="18"/>
                <w:highlight w:val="none"/>
              </w:rPr>
            </w:pPr>
            <w:r>
              <w:rPr>
                <w:rFonts w:hint="eastAsia" w:ascii="宋体" w:hAnsi="宋体" w:eastAsia="宋体" w:cs="Times New Roman"/>
                <w:color w:val="auto"/>
                <w:szCs w:val="18"/>
                <w:highlight w:val="none"/>
              </w:rPr>
              <w:t>针对本项目特点，制定供电系统的调试工作方案，方案应包括人员安排（包括技术负责人、施工人员等）、机械设备材料投入等相关保障措施、调试验收内容、工作流程（含供电部门办理的相关手续）等内容，并承诺按期完成相关调试验收工作，确保竣工送电。提供调试验收工作方案且方案合理、满足工期要求。投标人之间横向比较，</w:t>
            </w:r>
            <w:r>
              <w:rPr>
                <w:rFonts w:hint="eastAsia" w:ascii="宋体" w:hAnsi="宋体" w:eastAsia="宋体" w:cs="Times New Roman"/>
                <w:color w:val="auto"/>
                <w:kern w:val="2"/>
                <w:sz w:val="21"/>
                <w:szCs w:val="18"/>
                <w:highlight w:val="none"/>
                <w:lang w:val="en-US" w:eastAsia="zh-CN" w:bidi="ar-SA"/>
              </w:rPr>
              <w:t>优得</w:t>
            </w:r>
            <w:r>
              <w:rPr>
                <w:rFonts w:hint="eastAsia" w:ascii="宋体" w:hAnsi="宋体" w:cs="Times New Roman"/>
                <w:color w:val="auto"/>
                <w:kern w:val="2"/>
                <w:sz w:val="21"/>
                <w:szCs w:val="18"/>
                <w:highlight w:val="none"/>
                <w:lang w:val="en-US" w:eastAsia="zh-CN" w:bidi="ar-SA"/>
              </w:rPr>
              <w:t>10</w:t>
            </w:r>
            <w:r>
              <w:rPr>
                <w:rFonts w:hint="eastAsia" w:ascii="宋体" w:hAnsi="宋体" w:eastAsia="宋体" w:cs="Times New Roman"/>
                <w:color w:val="auto"/>
                <w:kern w:val="2"/>
                <w:sz w:val="21"/>
                <w:szCs w:val="18"/>
                <w:highlight w:val="none"/>
                <w:lang w:val="en-US" w:eastAsia="zh-CN" w:bidi="ar-SA"/>
              </w:rPr>
              <w:t>分，良得</w:t>
            </w:r>
            <w:r>
              <w:rPr>
                <w:rFonts w:hint="eastAsia" w:ascii="宋体" w:hAnsi="宋体" w:cs="Times New Roman"/>
                <w:color w:val="auto"/>
                <w:kern w:val="2"/>
                <w:sz w:val="21"/>
                <w:szCs w:val="18"/>
                <w:highlight w:val="none"/>
                <w:lang w:val="en-US" w:eastAsia="zh-CN" w:bidi="ar-SA"/>
              </w:rPr>
              <w:t>9</w:t>
            </w:r>
            <w:r>
              <w:rPr>
                <w:rFonts w:hint="eastAsia" w:ascii="宋体" w:hAnsi="宋体" w:eastAsia="宋体" w:cs="Times New Roman"/>
                <w:color w:val="auto"/>
                <w:kern w:val="2"/>
                <w:sz w:val="21"/>
                <w:szCs w:val="18"/>
                <w:highlight w:val="none"/>
                <w:lang w:val="en-US" w:eastAsia="zh-CN" w:bidi="ar-SA"/>
              </w:rPr>
              <w:t>分，一般得</w:t>
            </w:r>
            <w:r>
              <w:rPr>
                <w:rFonts w:hint="eastAsia" w:ascii="宋体" w:hAnsi="宋体" w:cs="Times New Roman"/>
                <w:color w:val="auto"/>
                <w:kern w:val="2"/>
                <w:sz w:val="21"/>
                <w:szCs w:val="18"/>
                <w:highlight w:val="none"/>
                <w:lang w:val="en-US" w:eastAsia="zh-CN" w:bidi="ar-SA"/>
              </w:rPr>
              <w:t>8</w:t>
            </w:r>
            <w:r>
              <w:rPr>
                <w:rFonts w:hint="eastAsia" w:ascii="宋体" w:hAnsi="宋体" w:eastAsia="宋体" w:cs="Times New Roman"/>
                <w:color w:val="auto"/>
                <w:kern w:val="2"/>
                <w:sz w:val="21"/>
                <w:szCs w:val="18"/>
                <w:highlight w:val="none"/>
                <w:lang w:val="en-US" w:eastAsia="zh-CN" w:bidi="ar-SA"/>
              </w:rPr>
              <w:t>分，未提供相关内容得0分</w:t>
            </w:r>
            <w:r>
              <w:rPr>
                <w:rFonts w:hint="eastAsia" w:ascii="宋体" w:hAnsi="宋体" w:eastAsia="宋体" w:cs="Times New Roman"/>
                <w:color w:val="auto"/>
                <w:szCs w:val="18"/>
                <w:highlight w:val="none"/>
              </w:rPr>
              <w:t>。</w:t>
            </w:r>
          </w:p>
        </w:tc>
        <w:tc>
          <w:tcPr>
            <w:tcW w:w="709" w:type="dxa"/>
            <w:tcBorders>
              <w:left w:val="single" w:color="auto" w:sz="4" w:space="0"/>
              <w:right w:val="single" w:color="auto" w:sz="4" w:space="0"/>
            </w:tcBorders>
            <w:noWrap w:val="0"/>
            <w:vAlign w:val="center"/>
          </w:tcPr>
          <w:p w14:paraId="7B2B4518">
            <w:pPr>
              <w:jc w:val="center"/>
              <w:rPr>
                <w:color w:val="auto"/>
                <w:szCs w:val="21"/>
                <w:highlight w:val="none"/>
              </w:rPr>
            </w:pPr>
          </w:p>
        </w:tc>
      </w:tr>
      <w:tr w14:paraId="46CF42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5" w:hRule="atLeast"/>
        </w:trPr>
        <w:tc>
          <w:tcPr>
            <w:tcW w:w="878" w:type="dxa"/>
            <w:gridSpan w:val="2"/>
            <w:vMerge w:val="restart"/>
            <w:tcBorders>
              <w:right w:val="single" w:color="auto" w:sz="4" w:space="0"/>
            </w:tcBorders>
            <w:noWrap w:val="0"/>
            <w:vAlign w:val="center"/>
          </w:tcPr>
          <w:p w14:paraId="2DECB869">
            <w:pPr>
              <w:spacing w:line="360" w:lineRule="auto"/>
              <w:jc w:val="center"/>
              <w:rPr>
                <w:color w:val="auto"/>
                <w:szCs w:val="21"/>
                <w:highlight w:val="none"/>
              </w:rPr>
            </w:pPr>
            <w:r>
              <w:rPr>
                <w:color w:val="auto"/>
                <w:szCs w:val="21"/>
                <w:highlight w:val="none"/>
              </w:rPr>
              <w:t>2.2.</w:t>
            </w:r>
            <w:r>
              <w:rPr>
                <w:rFonts w:hint="eastAsia"/>
                <w:color w:val="auto"/>
                <w:szCs w:val="21"/>
                <w:highlight w:val="none"/>
              </w:rPr>
              <w:t>5(</w:t>
            </w:r>
            <w:r>
              <w:rPr>
                <w:color w:val="auto"/>
                <w:szCs w:val="21"/>
                <w:highlight w:val="none"/>
              </w:rPr>
              <w:t>2</w:t>
            </w:r>
            <w:r>
              <w:rPr>
                <w:rFonts w:hint="eastAsia"/>
                <w:color w:val="auto"/>
                <w:szCs w:val="21"/>
                <w:highlight w:val="none"/>
              </w:rPr>
              <w:t>)</w:t>
            </w:r>
          </w:p>
        </w:tc>
        <w:tc>
          <w:tcPr>
            <w:tcW w:w="992" w:type="dxa"/>
            <w:vMerge w:val="restart"/>
            <w:tcBorders>
              <w:top w:val="single" w:color="auto" w:sz="4" w:space="0"/>
              <w:right w:val="single" w:color="auto" w:sz="4" w:space="0"/>
            </w:tcBorders>
            <w:noWrap w:val="0"/>
            <w:vAlign w:val="center"/>
          </w:tcPr>
          <w:p w14:paraId="4257951C">
            <w:pPr>
              <w:spacing w:line="360" w:lineRule="auto"/>
              <w:jc w:val="center"/>
              <w:rPr>
                <w:color w:val="auto"/>
                <w:szCs w:val="21"/>
                <w:highlight w:val="none"/>
              </w:rPr>
            </w:pPr>
            <w:r>
              <w:rPr>
                <w:rFonts w:hint="eastAsia"/>
                <w:color w:val="auto"/>
                <w:szCs w:val="21"/>
                <w:highlight w:val="none"/>
              </w:rPr>
              <w:t>商务</w:t>
            </w:r>
          </w:p>
          <w:p w14:paraId="7C5179C3">
            <w:pPr>
              <w:spacing w:line="360" w:lineRule="auto"/>
              <w:jc w:val="center"/>
              <w:rPr>
                <w:rFonts w:hint="eastAsia"/>
                <w:color w:val="auto"/>
                <w:szCs w:val="21"/>
                <w:highlight w:val="none"/>
              </w:rPr>
            </w:pPr>
            <w:r>
              <w:rPr>
                <w:rFonts w:hint="eastAsia"/>
                <w:color w:val="auto"/>
                <w:szCs w:val="21"/>
                <w:highlight w:val="none"/>
              </w:rPr>
              <w:t>评审</w:t>
            </w:r>
          </w:p>
          <w:p w14:paraId="768D3148">
            <w:pPr>
              <w:spacing w:line="360" w:lineRule="auto"/>
              <w:jc w:val="center"/>
              <w:rPr>
                <w:color w:val="auto"/>
                <w:szCs w:val="21"/>
                <w:highlight w:val="none"/>
              </w:rPr>
            </w:pPr>
            <w:r>
              <w:rPr>
                <w:rFonts w:hint="eastAsia"/>
                <w:color w:val="auto"/>
                <w:szCs w:val="21"/>
                <w:highlight w:val="none"/>
              </w:rPr>
              <w:t>100分</w:t>
            </w:r>
          </w:p>
        </w:tc>
        <w:tc>
          <w:tcPr>
            <w:tcW w:w="1782" w:type="dxa"/>
            <w:vMerge w:val="restart"/>
            <w:tcBorders>
              <w:top w:val="single" w:color="auto" w:sz="4" w:space="0"/>
              <w:left w:val="single" w:color="auto" w:sz="4" w:space="0"/>
              <w:right w:val="single" w:color="auto" w:sz="4" w:space="0"/>
            </w:tcBorders>
            <w:noWrap w:val="0"/>
            <w:vAlign w:val="center"/>
          </w:tcPr>
          <w:p w14:paraId="4677EA04">
            <w:pPr>
              <w:jc w:val="center"/>
              <w:rPr>
                <w:color w:val="auto"/>
                <w:szCs w:val="21"/>
                <w:highlight w:val="none"/>
              </w:rPr>
            </w:pPr>
          </w:p>
          <w:p w14:paraId="4D880ECF">
            <w:pPr>
              <w:rPr>
                <w:rFonts w:hint="eastAsia" w:ascii="宋体" w:hAnsi="宋体"/>
                <w:color w:val="auto"/>
                <w:szCs w:val="21"/>
                <w:highlight w:val="none"/>
              </w:rPr>
            </w:pPr>
            <w:r>
              <w:rPr>
                <w:rFonts w:hint="eastAsia" w:ascii="宋体" w:hAnsi="宋体"/>
                <w:color w:val="auto"/>
                <w:szCs w:val="21"/>
                <w:highlight w:val="none"/>
              </w:rPr>
              <w:t>组织机构及主要管理人员</w:t>
            </w:r>
          </w:p>
          <w:p w14:paraId="6F8444DF">
            <w:pPr>
              <w:spacing w:line="360" w:lineRule="auto"/>
              <w:jc w:val="center"/>
              <w:rPr>
                <w:color w:val="auto"/>
                <w:szCs w:val="21"/>
                <w:highlight w:val="none"/>
              </w:rPr>
            </w:pPr>
            <w:r>
              <w:rPr>
                <w:rFonts w:hint="eastAsia"/>
                <w:color w:val="auto"/>
                <w:szCs w:val="21"/>
                <w:highlight w:val="none"/>
              </w:rPr>
              <w:t>（60分）</w:t>
            </w:r>
          </w:p>
        </w:tc>
        <w:tc>
          <w:tcPr>
            <w:tcW w:w="4678" w:type="dxa"/>
            <w:tcBorders>
              <w:top w:val="single" w:color="auto" w:sz="4" w:space="0"/>
              <w:left w:val="single" w:color="auto" w:sz="4" w:space="0"/>
              <w:right w:val="single" w:color="auto" w:sz="4" w:space="0"/>
            </w:tcBorders>
            <w:noWrap w:val="0"/>
            <w:vAlign w:val="center"/>
          </w:tcPr>
          <w:p w14:paraId="29963854">
            <w:pPr>
              <w:spacing w:line="360" w:lineRule="auto"/>
              <w:jc w:val="left"/>
              <w:rPr>
                <w:rFonts w:hint="eastAsia" w:ascii="宋体" w:hAnsi="宋体"/>
                <w:color w:val="auto"/>
                <w:szCs w:val="18"/>
                <w:highlight w:val="none"/>
              </w:rPr>
            </w:pPr>
            <w:r>
              <w:rPr>
                <w:rFonts w:hint="eastAsia" w:ascii="宋体" w:hAnsi="宋体"/>
                <w:color w:val="auto"/>
                <w:szCs w:val="18"/>
                <w:highlight w:val="none"/>
              </w:rPr>
              <w:t>项目负责人评分满分为</w:t>
            </w:r>
            <w:r>
              <w:rPr>
                <w:rFonts w:hint="eastAsia" w:ascii="宋体" w:hAnsi="宋体"/>
                <w:color w:val="auto"/>
                <w:szCs w:val="18"/>
                <w:highlight w:val="none"/>
                <w:lang w:val="en-US" w:eastAsia="zh-CN"/>
              </w:rPr>
              <w:t>10</w:t>
            </w:r>
            <w:r>
              <w:rPr>
                <w:rFonts w:hint="eastAsia" w:ascii="宋体" w:hAnsi="宋体"/>
                <w:color w:val="auto"/>
                <w:szCs w:val="18"/>
                <w:highlight w:val="none"/>
              </w:rPr>
              <w:t>分，评分标准如下：</w:t>
            </w:r>
          </w:p>
          <w:p w14:paraId="75DFFCF2">
            <w:pPr>
              <w:numPr>
                <w:ilvl w:val="0"/>
                <w:numId w:val="0"/>
              </w:numPr>
              <w:spacing w:line="360" w:lineRule="auto"/>
              <w:jc w:val="left"/>
              <w:rPr>
                <w:rFonts w:hint="eastAsia" w:ascii="宋体" w:hAnsi="宋体" w:eastAsia="宋体" w:cs="Times New Roman"/>
                <w:color w:val="auto"/>
                <w:szCs w:val="18"/>
                <w:highlight w:val="none"/>
                <w:lang w:eastAsia="zh-CN"/>
              </w:rPr>
            </w:pPr>
            <w:r>
              <w:rPr>
                <w:rFonts w:hint="eastAsia" w:ascii="宋体" w:hAnsi="宋体" w:eastAsia="宋体" w:cs="Times New Roman"/>
                <w:color w:val="auto"/>
                <w:kern w:val="2"/>
                <w:sz w:val="21"/>
                <w:szCs w:val="18"/>
                <w:lang w:val="en-US" w:eastAsia="zh-CN" w:bidi="ar-SA"/>
              </w:rPr>
              <w:t>（1）</w:t>
            </w:r>
            <w:r>
              <w:rPr>
                <w:rFonts w:hint="eastAsia" w:ascii="宋体" w:hAnsi="宋体" w:eastAsia="宋体" w:cs="Times New Roman"/>
                <w:color w:val="auto"/>
                <w:kern w:val="2"/>
                <w:sz w:val="21"/>
                <w:szCs w:val="18"/>
                <w:highlight w:val="none"/>
                <w:lang w:val="en-US" w:eastAsia="zh-CN" w:bidi="ar-SA"/>
              </w:rPr>
              <w:t>具备</w:t>
            </w:r>
            <w:r>
              <w:rPr>
                <w:rFonts w:hint="eastAsia" w:ascii="宋体" w:hAnsi="宋体" w:eastAsia="宋体" w:cs="Times New Roman"/>
                <w:color w:val="auto"/>
                <w:szCs w:val="18"/>
                <w:highlight w:val="none"/>
              </w:rPr>
              <w:t>电力类高级工程师（或以上）职称，得</w:t>
            </w:r>
            <w:r>
              <w:rPr>
                <w:rFonts w:hint="eastAsia" w:ascii="宋体" w:hAnsi="宋体" w:eastAsia="宋体" w:cs="Times New Roman"/>
                <w:color w:val="auto"/>
                <w:szCs w:val="18"/>
                <w:highlight w:val="none"/>
                <w:lang w:val="en-US" w:eastAsia="zh-CN"/>
              </w:rPr>
              <w:t>5</w:t>
            </w:r>
            <w:r>
              <w:rPr>
                <w:rFonts w:hint="eastAsia" w:ascii="宋体" w:hAnsi="宋体" w:eastAsia="宋体" w:cs="Times New Roman"/>
                <w:color w:val="auto"/>
                <w:szCs w:val="18"/>
                <w:highlight w:val="none"/>
              </w:rPr>
              <w:t>分，具</w:t>
            </w:r>
            <w:r>
              <w:rPr>
                <w:rFonts w:hint="eastAsia" w:ascii="宋体" w:hAnsi="宋体" w:eastAsia="宋体" w:cs="Times New Roman"/>
                <w:color w:val="auto"/>
                <w:kern w:val="2"/>
                <w:sz w:val="21"/>
                <w:szCs w:val="18"/>
                <w:highlight w:val="none"/>
                <w:lang w:val="en-US" w:eastAsia="zh-CN" w:bidi="ar-SA"/>
              </w:rPr>
              <w:t>备</w:t>
            </w:r>
            <w:r>
              <w:rPr>
                <w:rFonts w:hint="eastAsia" w:ascii="宋体" w:hAnsi="宋体" w:eastAsia="宋体" w:cs="Times New Roman"/>
                <w:color w:val="auto"/>
                <w:szCs w:val="18"/>
                <w:highlight w:val="none"/>
              </w:rPr>
              <w:t>电力类中级工程师职称，得</w:t>
            </w:r>
            <w:r>
              <w:rPr>
                <w:rFonts w:hint="eastAsia" w:ascii="宋体" w:hAnsi="宋体" w:eastAsia="宋体" w:cs="Times New Roman"/>
                <w:color w:val="auto"/>
                <w:szCs w:val="18"/>
                <w:highlight w:val="none"/>
                <w:lang w:val="en-US" w:eastAsia="zh-CN"/>
              </w:rPr>
              <w:t>2</w:t>
            </w:r>
            <w:r>
              <w:rPr>
                <w:rFonts w:hint="eastAsia" w:ascii="宋体" w:hAnsi="宋体" w:eastAsia="宋体" w:cs="Times New Roman"/>
                <w:color w:val="auto"/>
                <w:szCs w:val="18"/>
                <w:highlight w:val="none"/>
              </w:rPr>
              <w:t>分。</w:t>
            </w:r>
          </w:p>
          <w:p w14:paraId="4C9966EC">
            <w:pPr>
              <w:numPr>
                <w:ilvl w:val="0"/>
                <w:numId w:val="0"/>
              </w:numPr>
              <w:spacing w:line="360" w:lineRule="auto"/>
              <w:jc w:val="left"/>
              <w:rPr>
                <w:rFonts w:hint="eastAsia" w:eastAsia="宋体"/>
                <w:color w:val="auto"/>
                <w:highlight w:val="none"/>
                <w:lang w:eastAsia="zh-CN"/>
              </w:rPr>
            </w:pP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lang w:val="en-US" w:eastAsia="zh-CN"/>
              </w:rPr>
              <w:t>2</w:t>
            </w: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rPr>
              <w:t>从业经历年限满</w:t>
            </w:r>
            <w:r>
              <w:rPr>
                <w:rFonts w:hint="eastAsia" w:ascii="宋体" w:hAnsi="宋体" w:eastAsia="宋体" w:cs="Times New Roman"/>
                <w:color w:val="auto"/>
                <w:kern w:val="2"/>
                <w:sz w:val="21"/>
                <w:szCs w:val="18"/>
                <w:highlight w:val="none"/>
              </w:rPr>
              <w:t>15年或以上（含15年）</w:t>
            </w:r>
            <w:r>
              <w:rPr>
                <w:rFonts w:hint="eastAsia" w:ascii="宋体" w:hAnsi="宋体" w:eastAsia="宋体" w:cs="Times New Roman"/>
                <w:color w:val="auto"/>
                <w:kern w:val="2"/>
                <w:sz w:val="21"/>
                <w:szCs w:val="18"/>
                <w:highlight w:val="none"/>
                <w:lang w:val="en-US" w:eastAsia="zh-CN"/>
              </w:rPr>
              <w:t>的</w:t>
            </w:r>
            <w:r>
              <w:rPr>
                <w:rFonts w:hint="eastAsia" w:ascii="宋体" w:hAnsi="宋体" w:eastAsia="宋体" w:cs="Times New Roman"/>
                <w:color w:val="auto"/>
                <w:kern w:val="2"/>
                <w:sz w:val="21"/>
                <w:szCs w:val="18"/>
                <w:highlight w:val="none"/>
              </w:rPr>
              <w:t>，得5分；</w:t>
            </w:r>
            <w:r>
              <w:rPr>
                <w:rFonts w:hint="eastAsia" w:ascii="宋体" w:hAnsi="宋体" w:eastAsia="宋体" w:cs="Times New Roman"/>
                <w:color w:val="auto"/>
                <w:szCs w:val="18"/>
                <w:highlight w:val="none"/>
              </w:rPr>
              <w:t>从业经历年限满</w:t>
            </w:r>
            <w:r>
              <w:rPr>
                <w:rFonts w:hint="eastAsia" w:ascii="宋体" w:hAnsi="宋体" w:eastAsia="宋体" w:cs="Times New Roman"/>
                <w:color w:val="auto"/>
                <w:kern w:val="2"/>
                <w:sz w:val="21"/>
                <w:szCs w:val="18"/>
                <w:highlight w:val="none"/>
              </w:rPr>
              <w:t>10年（含10年）至15年（不含15年）</w:t>
            </w:r>
            <w:r>
              <w:rPr>
                <w:rFonts w:hint="eastAsia" w:ascii="宋体" w:hAnsi="宋体" w:eastAsia="宋体" w:cs="Times New Roman"/>
                <w:color w:val="auto"/>
                <w:kern w:val="2"/>
                <w:sz w:val="21"/>
                <w:szCs w:val="18"/>
                <w:highlight w:val="none"/>
                <w:lang w:val="en-US" w:eastAsia="zh-CN"/>
              </w:rPr>
              <w:t>的</w:t>
            </w:r>
            <w:r>
              <w:rPr>
                <w:rFonts w:hint="eastAsia" w:ascii="宋体" w:hAnsi="宋体" w:eastAsia="宋体" w:cs="Times New Roman"/>
                <w:color w:val="auto"/>
                <w:kern w:val="2"/>
                <w:sz w:val="21"/>
                <w:szCs w:val="18"/>
                <w:highlight w:val="none"/>
              </w:rPr>
              <w:t>，得3分；</w:t>
            </w:r>
            <w:r>
              <w:rPr>
                <w:rFonts w:hint="eastAsia" w:ascii="宋体" w:hAnsi="宋体" w:eastAsia="宋体" w:cs="Times New Roman"/>
                <w:color w:val="auto"/>
                <w:szCs w:val="18"/>
                <w:highlight w:val="none"/>
              </w:rPr>
              <w:t>从业经历年限满</w:t>
            </w:r>
            <w:r>
              <w:rPr>
                <w:rFonts w:hint="eastAsia" w:ascii="宋体" w:hAnsi="宋体" w:eastAsia="宋体" w:cs="Times New Roman"/>
                <w:color w:val="auto"/>
                <w:kern w:val="2"/>
                <w:sz w:val="21"/>
                <w:szCs w:val="18"/>
                <w:highlight w:val="none"/>
              </w:rPr>
              <w:t>10年以下</w:t>
            </w:r>
            <w:r>
              <w:rPr>
                <w:rFonts w:hint="eastAsia" w:ascii="宋体" w:hAnsi="宋体" w:eastAsia="宋体" w:cs="Times New Roman"/>
                <w:color w:val="auto"/>
                <w:kern w:val="2"/>
                <w:sz w:val="21"/>
                <w:szCs w:val="18"/>
                <w:highlight w:val="none"/>
                <w:lang w:val="en-US" w:eastAsia="zh-CN"/>
              </w:rPr>
              <w:t>的</w:t>
            </w:r>
            <w:r>
              <w:rPr>
                <w:rFonts w:hint="eastAsia" w:ascii="宋体" w:hAnsi="宋体" w:eastAsia="宋体" w:cs="Times New Roman"/>
                <w:color w:val="auto"/>
                <w:kern w:val="2"/>
                <w:sz w:val="21"/>
                <w:szCs w:val="18"/>
                <w:highlight w:val="none"/>
              </w:rPr>
              <w:t>，得1分。</w:t>
            </w:r>
          </w:p>
          <w:p w14:paraId="000FD463">
            <w:pPr>
              <w:spacing w:line="360" w:lineRule="auto"/>
              <w:jc w:val="left"/>
              <w:rPr>
                <w:rFonts w:hint="eastAsia" w:ascii="宋体" w:hAnsi="宋体"/>
                <w:color w:val="auto"/>
                <w:szCs w:val="18"/>
                <w:highlight w:val="none"/>
              </w:rPr>
            </w:pPr>
            <w:r>
              <w:rPr>
                <w:rFonts w:hint="eastAsia" w:ascii="宋体" w:hAnsi="宋体"/>
                <w:color w:val="auto"/>
                <w:szCs w:val="18"/>
                <w:highlight w:val="none"/>
              </w:rPr>
              <w:t>技术负责人评分满分为10分，评分标准如下：</w:t>
            </w:r>
          </w:p>
          <w:p w14:paraId="23D6F34E">
            <w:pPr>
              <w:spacing w:line="360" w:lineRule="auto"/>
              <w:jc w:val="left"/>
              <w:rPr>
                <w:rFonts w:hint="eastAsia" w:ascii="宋体" w:hAnsi="宋体"/>
                <w:color w:val="auto"/>
                <w:szCs w:val="18"/>
                <w:highlight w:val="none"/>
              </w:rPr>
            </w:pPr>
            <w:r>
              <w:rPr>
                <w:rFonts w:hint="eastAsia" w:ascii="宋体" w:hAnsi="宋体"/>
                <w:color w:val="auto"/>
                <w:szCs w:val="18"/>
                <w:highlight w:val="none"/>
              </w:rPr>
              <w:t>（1）具备电力类高级工程师（或以上）职称，得5分，具备电力类中级工程师职称，得2分。</w:t>
            </w:r>
          </w:p>
          <w:p w14:paraId="5D937AD1">
            <w:pPr>
              <w:spacing w:line="360" w:lineRule="auto"/>
              <w:jc w:val="left"/>
              <w:rPr>
                <w:rFonts w:hint="eastAsia" w:ascii="宋体" w:hAnsi="宋体"/>
                <w:color w:val="auto"/>
                <w:szCs w:val="18"/>
                <w:highlight w:val="none"/>
              </w:rPr>
            </w:pPr>
            <w:r>
              <w:rPr>
                <w:rFonts w:hint="eastAsia" w:ascii="宋体" w:hAnsi="宋体"/>
                <w:color w:val="auto"/>
                <w:szCs w:val="18"/>
                <w:highlight w:val="none"/>
              </w:rPr>
              <w:t>（2）从业经历年限满20年或以上（含20年）</w:t>
            </w:r>
            <w:r>
              <w:rPr>
                <w:rFonts w:hint="eastAsia" w:ascii="宋体" w:hAnsi="宋体"/>
                <w:color w:val="auto"/>
                <w:szCs w:val="18"/>
                <w:highlight w:val="none"/>
                <w:lang w:val="en-US" w:eastAsia="zh-CN"/>
              </w:rPr>
              <w:t>的</w:t>
            </w:r>
            <w:r>
              <w:rPr>
                <w:rFonts w:hint="eastAsia" w:ascii="宋体" w:hAnsi="宋体"/>
                <w:color w:val="auto"/>
                <w:szCs w:val="18"/>
                <w:highlight w:val="none"/>
              </w:rPr>
              <w:t>，得5分；从业经历年限满10年（含10年）至20年（不含20年）</w:t>
            </w:r>
            <w:r>
              <w:rPr>
                <w:rFonts w:hint="eastAsia" w:ascii="宋体" w:hAnsi="宋体"/>
                <w:color w:val="auto"/>
                <w:szCs w:val="18"/>
                <w:highlight w:val="none"/>
                <w:lang w:val="en-US" w:eastAsia="zh-CN"/>
              </w:rPr>
              <w:t>的</w:t>
            </w:r>
            <w:r>
              <w:rPr>
                <w:rFonts w:hint="eastAsia" w:ascii="宋体" w:hAnsi="宋体"/>
                <w:color w:val="auto"/>
                <w:szCs w:val="18"/>
                <w:highlight w:val="none"/>
              </w:rPr>
              <w:t>，得3分；从业经历年限满10年以下</w:t>
            </w:r>
            <w:r>
              <w:rPr>
                <w:rFonts w:hint="eastAsia" w:ascii="宋体" w:hAnsi="宋体"/>
                <w:color w:val="auto"/>
                <w:szCs w:val="18"/>
                <w:highlight w:val="none"/>
                <w:lang w:val="en-US" w:eastAsia="zh-CN"/>
              </w:rPr>
              <w:t>的</w:t>
            </w:r>
            <w:r>
              <w:rPr>
                <w:rFonts w:hint="eastAsia" w:ascii="宋体" w:hAnsi="宋体"/>
                <w:color w:val="auto"/>
                <w:szCs w:val="18"/>
                <w:highlight w:val="none"/>
              </w:rPr>
              <w:t>，得1分。</w:t>
            </w:r>
          </w:p>
          <w:p w14:paraId="07F025D9">
            <w:pPr>
              <w:spacing w:line="360" w:lineRule="auto"/>
              <w:jc w:val="left"/>
              <w:rPr>
                <w:rFonts w:ascii="宋体" w:hAnsi="宋体"/>
                <w:color w:val="auto"/>
                <w:szCs w:val="18"/>
                <w:highlight w:val="none"/>
              </w:rPr>
            </w:pPr>
            <w:r>
              <w:rPr>
                <w:rFonts w:hint="eastAsia" w:ascii="宋体" w:hAnsi="宋体"/>
                <w:color w:val="auto"/>
                <w:szCs w:val="18"/>
                <w:highlight w:val="none"/>
              </w:rPr>
              <w:t>注：本项最高得</w:t>
            </w:r>
            <w:r>
              <w:rPr>
                <w:rFonts w:hint="eastAsia" w:ascii="宋体" w:hAnsi="宋体"/>
                <w:color w:val="auto"/>
                <w:szCs w:val="18"/>
                <w:highlight w:val="none"/>
                <w:lang w:val="en-US" w:eastAsia="zh-CN"/>
              </w:rPr>
              <w:t>20</w:t>
            </w:r>
            <w:r>
              <w:rPr>
                <w:rFonts w:hint="eastAsia" w:ascii="宋体" w:hAnsi="宋体"/>
                <w:color w:val="auto"/>
                <w:szCs w:val="18"/>
                <w:highlight w:val="none"/>
              </w:rPr>
              <w:t>分。需提供职称证书、身份证</w:t>
            </w:r>
            <w:r>
              <w:rPr>
                <w:rFonts w:hint="eastAsia" w:ascii="宋体" w:hAnsi="宋体"/>
                <w:color w:val="auto"/>
                <w:szCs w:val="18"/>
                <w:highlight w:val="none"/>
                <w:lang w:eastAsia="zh-CN"/>
              </w:rPr>
              <w:t>、</w:t>
            </w:r>
            <w:r>
              <w:rPr>
                <w:rFonts w:hint="eastAsia" w:ascii="宋体" w:hAnsi="宋体"/>
                <w:color w:val="auto"/>
                <w:szCs w:val="18"/>
                <w:highlight w:val="none"/>
                <w:lang w:val="en-US" w:eastAsia="zh-CN"/>
              </w:rPr>
              <w:t>注册证、毕业证</w:t>
            </w:r>
            <w:r>
              <w:rPr>
                <w:rFonts w:hint="eastAsia" w:ascii="宋体" w:hAnsi="宋体"/>
                <w:color w:val="auto"/>
                <w:szCs w:val="18"/>
                <w:highlight w:val="none"/>
              </w:rPr>
              <w:t>扫描件</w:t>
            </w:r>
            <w:r>
              <w:rPr>
                <w:rFonts w:hint="eastAsia" w:ascii="宋体" w:hAnsi="宋体"/>
                <w:color w:val="auto"/>
                <w:szCs w:val="18"/>
                <w:highlight w:val="none"/>
                <w:lang w:eastAsia="zh-CN"/>
              </w:rPr>
              <w:t>，</w:t>
            </w:r>
            <w:r>
              <w:rPr>
                <w:rFonts w:hint="eastAsia" w:ascii="宋体" w:hAnsi="宋体" w:eastAsia="宋体" w:cs="Times New Roman"/>
                <w:color w:val="auto"/>
                <w:kern w:val="2"/>
                <w:sz w:val="21"/>
                <w:szCs w:val="18"/>
                <w:highlight w:val="none"/>
                <w:lang w:val="en-US" w:eastAsia="zh-CN" w:bidi="ar-SA"/>
              </w:rPr>
              <w:t>具有离投标截止时间最近1个月（</w:t>
            </w:r>
            <w:r>
              <w:rPr>
                <w:rFonts w:hint="eastAsia" w:ascii="宋体" w:hAnsi="宋体" w:eastAsia="宋体" w:cs="Times New Roman"/>
                <w:color w:val="auto"/>
                <w:szCs w:val="18"/>
                <w:highlight w:val="none"/>
              </w:rPr>
              <w:t>即2024年11月份</w:t>
            </w:r>
            <w:r>
              <w:rPr>
                <w:rFonts w:hint="eastAsia" w:ascii="宋体" w:hAnsi="宋体" w:eastAsia="宋体" w:cs="Times New Roman"/>
                <w:color w:val="auto"/>
                <w:kern w:val="2"/>
                <w:sz w:val="21"/>
                <w:szCs w:val="18"/>
                <w:highlight w:val="none"/>
                <w:lang w:val="en-US" w:eastAsia="zh-CN" w:bidi="ar-SA"/>
              </w:rPr>
              <w:t>）在本单位交纳的社保证明文件（以加盖社会保险基金管理中心印章的《投保单》或《社会保险参保人员证明》资料为准），</w:t>
            </w:r>
            <w:r>
              <w:rPr>
                <w:rFonts w:hint="eastAsia" w:ascii="宋体" w:hAnsi="宋体" w:eastAsia="宋体" w:cs="Times New Roman"/>
                <w:color w:val="auto"/>
                <w:szCs w:val="18"/>
                <w:highlight w:val="none"/>
              </w:rPr>
              <w:t>从业经历年限以取得大专（或以上）毕业证书的发证时间开始计算至投标截止日期为准</w:t>
            </w:r>
            <w:r>
              <w:rPr>
                <w:rFonts w:hint="eastAsia" w:ascii="宋体" w:hAnsi="宋体" w:eastAsia="宋体" w:cs="Times New Roman"/>
                <w:color w:val="auto"/>
                <w:kern w:val="2"/>
                <w:sz w:val="21"/>
                <w:szCs w:val="18"/>
                <w:highlight w:val="none"/>
                <w:lang w:val="en-US" w:eastAsia="zh-CN" w:bidi="ar-SA"/>
              </w:rPr>
              <w:t>。</w:t>
            </w:r>
          </w:p>
        </w:tc>
        <w:tc>
          <w:tcPr>
            <w:tcW w:w="709" w:type="dxa"/>
            <w:vMerge w:val="restart"/>
            <w:tcBorders>
              <w:top w:val="single" w:color="auto" w:sz="4" w:space="0"/>
              <w:left w:val="single" w:color="auto" w:sz="4" w:space="0"/>
              <w:right w:val="single" w:color="auto" w:sz="4" w:space="0"/>
            </w:tcBorders>
            <w:noWrap w:val="0"/>
            <w:vAlign w:val="center"/>
          </w:tcPr>
          <w:p w14:paraId="7405BFEE">
            <w:pPr>
              <w:jc w:val="center"/>
              <w:rPr>
                <w:color w:val="auto"/>
                <w:szCs w:val="21"/>
                <w:highlight w:val="none"/>
              </w:rPr>
            </w:pPr>
            <w:r>
              <w:rPr>
                <w:rFonts w:hint="eastAsia"/>
                <w:color w:val="auto"/>
                <w:szCs w:val="21"/>
                <w:highlight w:val="none"/>
              </w:rPr>
              <w:t>去掉一个最高分值，去掉一个最低分，剩余分数取平均值</w:t>
            </w:r>
          </w:p>
        </w:tc>
      </w:tr>
      <w:tr w14:paraId="42A6ED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878" w:type="dxa"/>
            <w:gridSpan w:val="2"/>
            <w:vMerge w:val="continue"/>
            <w:tcBorders>
              <w:right w:val="single" w:color="auto" w:sz="4" w:space="0"/>
            </w:tcBorders>
            <w:noWrap w:val="0"/>
            <w:vAlign w:val="center"/>
          </w:tcPr>
          <w:p w14:paraId="480D496E">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74EE3830">
            <w:pPr>
              <w:spacing w:line="360" w:lineRule="auto"/>
              <w:jc w:val="center"/>
              <w:rPr>
                <w:color w:val="auto"/>
                <w:szCs w:val="21"/>
                <w:highlight w:val="none"/>
              </w:rPr>
            </w:pPr>
          </w:p>
        </w:tc>
        <w:tc>
          <w:tcPr>
            <w:tcW w:w="1782" w:type="dxa"/>
            <w:vMerge w:val="continue"/>
            <w:tcBorders>
              <w:left w:val="single" w:color="auto" w:sz="4" w:space="0"/>
              <w:bottom w:val="single" w:color="auto" w:sz="4" w:space="0"/>
              <w:right w:val="single" w:color="auto" w:sz="4" w:space="0"/>
            </w:tcBorders>
            <w:noWrap w:val="0"/>
            <w:tcMar>
              <w:left w:w="57" w:type="dxa"/>
              <w:right w:w="57" w:type="dxa"/>
            </w:tcMar>
            <w:vAlign w:val="center"/>
          </w:tcPr>
          <w:p w14:paraId="55BFA28D">
            <w:pPr>
              <w:spacing w:line="360" w:lineRule="auto"/>
              <w:jc w:val="center"/>
              <w:rPr>
                <w:rFonts w:hint="eastAsia" w:ascii="宋体" w:hAnsi="宋体"/>
                <w:color w:val="auto"/>
                <w:szCs w:val="21"/>
                <w:highlight w:val="none"/>
              </w:rPr>
            </w:pPr>
          </w:p>
        </w:tc>
        <w:tc>
          <w:tcPr>
            <w:tcW w:w="4678" w:type="dxa"/>
            <w:tcBorders>
              <w:top w:val="single" w:color="auto" w:sz="4" w:space="0"/>
              <w:left w:val="single" w:color="auto" w:sz="4" w:space="0"/>
              <w:bottom w:val="single" w:color="auto" w:sz="4" w:space="0"/>
              <w:right w:val="single" w:color="auto" w:sz="4" w:space="0"/>
            </w:tcBorders>
            <w:noWrap w:val="0"/>
            <w:vAlign w:val="center"/>
          </w:tcPr>
          <w:p w14:paraId="0F91E6E2">
            <w:pPr>
              <w:spacing w:line="360" w:lineRule="auto"/>
              <w:jc w:val="left"/>
              <w:rPr>
                <w:rFonts w:ascii="宋体" w:hAnsi="宋体"/>
                <w:color w:val="auto"/>
                <w:szCs w:val="18"/>
                <w:highlight w:val="none"/>
              </w:rPr>
            </w:pPr>
            <w:r>
              <w:rPr>
                <w:rFonts w:hint="eastAsia" w:ascii="宋体" w:hAnsi="宋体"/>
                <w:color w:val="auto"/>
                <w:szCs w:val="18"/>
                <w:highlight w:val="none"/>
              </w:rPr>
              <w:t>拟投入本工程的现场主要管理人员(项目负责人和技术负责人除外)包含：</w:t>
            </w:r>
          </w:p>
          <w:p w14:paraId="5B7F2B7D">
            <w:pPr>
              <w:spacing w:line="360" w:lineRule="auto"/>
              <w:jc w:val="left"/>
              <w:rPr>
                <w:rFonts w:ascii="宋体" w:hAnsi="宋体"/>
                <w:color w:val="auto"/>
                <w:szCs w:val="18"/>
                <w:highlight w:val="none"/>
              </w:rPr>
            </w:pPr>
            <w:r>
              <w:rPr>
                <w:rFonts w:hint="eastAsia" w:ascii="宋体" w:hAnsi="宋体"/>
                <w:color w:val="auto"/>
                <w:szCs w:val="18"/>
                <w:highlight w:val="none"/>
              </w:rPr>
              <w:t>1、安全专业负责人1名（</w:t>
            </w:r>
            <w:r>
              <w:rPr>
                <w:rFonts w:hint="eastAsia" w:ascii="宋体" w:hAnsi="宋体"/>
                <w:color w:val="auto"/>
                <w:szCs w:val="18"/>
                <w:highlight w:val="none"/>
                <w:lang w:val="en-US" w:eastAsia="zh-CN"/>
              </w:rPr>
              <w:t>10</w:t>
            </w:r>
            <w:r>
              <w:rPr>
                <w:rFonts w:hint="eastAsia" w:ascii="宋体" w:hAnsi="宋体"/>
                <w:color w:val="auto"/>
                <w:szCs w:val="18"/>
                <w:highlight w:val="none"/>
              </w:rPr>
              <w:t>分）：</w:t>
            </w:r>
          </w:p>
          <w:p w14:paraId="6D99F484">
            <w:pPr>
              <w:spacing w:line="360" w:lineRule="auto"/>
              <w:jc w:val="left"/>
              <w:rPr>
                <w:rFonts w:hint="eastAsia" w:ascii="宋体" w:hAnsi="宋体" w:eastAsia="宋体" w:cs="Times New Roman"/>
                <w:color w:val="auto"/>
                <w:szCs w:val="18"/>
                <w:highlight w:val="none"/>
              </w:rPr>
            </w:pPr>
            <w:r>
              <w:rPr>
                <w:rFonts w:hint="eastAsia" w:ascii="宋体" w:hAnsi="宋体" w:eastAsia="宋体" w:cs="Times New Roman"/>
                <w:color w:val="auto"/>
                <w:szCs w:val="18"/>
                <w:highlight w:val="none"/>
              </w:rPr>
              <w:t>（1）具备注册安全工程师资格且在有效期内，得</w:t>
            </w:r>
            <w:r>
              <w:rPr>
                <w:rFonts w:hint="eastAsia" w:ascii="宋体" w:hAnsi="宋体" w:eastAsia="宋体" w:cs="Times New Roman"/>
                <w:color w:val="auto"/>
                <w:szCs w:val="18"/>
                <w:highlight w:val="none"/>
                <w:lang w:val="en-US" w:eastAsia="zh-CN"/>
              </w:rPr>
              <w:t>5</w:t>
            </w:r>
            <w:r>
              <w:rPr>
                <w:rFonts w:hint="eastAsia" w:ascii="宋体" w:hAnsi="宋体" w:eastAsia="宋体" w:cs="Times New Roman"/>
                <w:color w:val="auto"/>
                <w:szCs w:val="18"/>
                <w:highlight w:val="none"/>
              </w:rPr>
              <w:t>分。</w:t>
            </w:r>
          </w:p>
          <w:p w14:paraId="23975971">
            <w:pPr>
              <w:spacing w:line="360" w:lineRule="auto"/>
              <w:jc w:val="left"/>
              <w:rPr>
                <w:rFonts w:ascii="宋体" w:hAnsi="宋体"/>
                <w:color w:val="auto"/>
                <w:szCs w:val="18"/>
                <w:highlight w:val="none"/>
              </w:rPr>
            </w:pPr>
            <w:r>
              <w:rPr>
                <w:rFonts w:hint="eastAsia" w:ascii="宋体" w:hAnsi="宋体" w:eastAsia="宋体" w:cs="Times New Roman"/>
                <w:color w:val="auto"/>
                <w:szCs w:val="18"/>
                <w:highlight w:val="none"/>
              </w:rPr>
              <w:t>（2）</w:t>
            </w:r>
            <w:r>
              <w:rPr>
                <w:rFonts w:hint="eastAsia" w:ascii="宋体" w:hAnsi="宋体" w:eastAsia="宋体" w:cs="Times New Roman"/>
                <w:color w:val="auto"/>
                <w:szCs w:val="18"/>
                <w:highlight w:val="none"/>
                <w:lang w:val="en-US" w:eastAsia="zh-CN"/>
              </w:rPr>
              <w:t>具备</w:t>
            </w:r>
            <w:r>
              <w:rPr>
                <w:rFonts w:hint="eastAsia" w:ascii="宋体" w:hAnsi="宋体" w:eastAsia="宋体" w:cs="Times New Roman"/>
                <w:color w:val="auto"/>
                <w:szCs w:val="18"/>
                <w:highlight w:val="none"/>
              </w:rPr>
              <w:t>电力类高级工程师（或以上）职称，得</w:t>
            </w:r>
            <w:r>
              <w:rPr>
                <w:rFonts w:hint="eastAsia" w:ascii="宋体" w:hAnsi="宋体" w:eastAsia="宋体" w:cs="Times New Roman"/>
                <w:color w:val="auto"/>
                <w:szCs w:val="18"/>
                <w:highlight w:val="none"/>
                <w:lang w:val="en-US" w:eastAsia="zh-CN"/>
              </w:rPr>
              <w:t>5</w:t>
            </w:r>
            <w:r>
              <w:rPr>
                <w:rFonts w:hint="eastAsia" w:ascii="宋体" w:hAnsi="宋体" w:eastAsia="宋体" w:cs="Times New Roman"/>
                <w:color w:val="auto"/>
                <w:szCs w:val="18"/>
                <w:highlight w:val="none"/>
              </w:rPr>
              <w:t>分，具</w:t>
            </w:r>
            <w:r>
              <w:rPr>
                <w:rFonts w:hint="eastAsia" w:ascii="宋体" w:hAnsi="宋体" w:eastAsia="宋体" w:cs="Times New Roman"/>
                <w:color w:val="auto"/>
                <w:kern w:val="2"/>
                <w:sz w:val="21"/>
                <w:szCs w:val="18"/>
                <w:highlight w:val="none"/>
                <w:lang w:val="en-US" w:eastAsia="zh-CN" w:bidi="ar-SA"/>
              </w:rPr>
              <w:t>备</w:t>
            </w:r>
            <w:r>
              <w:rPr>
                <w:rFonts w:hint="eastAsia" w:ascii="宋体" w:hAnsi="宋体" w:eastAsia="宋体" w:cs="Times New Roman"/>
                <w:color w:val="auto"/>
                <w:szCs w:val="18"/>
                <w:highlight w:val="none"/>
              </w:rPr>
              <w:t>电力类中级工程师职称，得</w:t>
            </w:r>
            <w:r>
              <w:rPr>
                <w:rFonts w:hint="eastAsia" w:ascii="宋体" w:hAnsi="宋体" w:eastAsia="宋体" w:cs="Times New Roman"/>
                <w:color w:val="auto"/>
                <w:szCs w:val="18"/>
                <w:highlight w:val="none"/>
                <w:lang w:val="en-US" w:eastAsia="zh-CN"/>
              </w:rPr>
              <w:t>2</w:t>
            </w:r>
            <w:r>
              <w:rPr>
                <w:rFonts w:hint="eastAsia" w:ascii="宋体" w:hAnsi="宋体" w:eastAsia="宋体" w:cs="Times New Roman"/>
                <w:color w:val="auto"/>
                <w:szCs w:val="18"/>
                <w:highlight w:val="none"/>
              </w:rPr>
              <w:t>分。</w:t>
            </w:r>
          </w:p>
          <w:p w14:paraId="0FA90D53">
            <w:pPr>
              <w:spacing w:line="360" w:lineRule="auto"/>
              <w:jc w:val="left"/>
              <w:rPr>
                <w:rFonts w:ascii="宋体" w:hAnsi="宋体"/>
                <w:color w:val="auto"/>
                <w:szCs w:val="18"/>
                <w:highlight w:val="none"/>
              </w:rPr>
            </w:pPr>
            <w:r>
              <w:rPr>
                <w:rFonts w:hint="eastAsia" w:ascii="宋体" w:hAnsi="宋体"/>
                <w:color w:val="auto"/>
                <w:szCs w:val="18"/>
                <w:highlight w:val="none"/>
              </w:rPr>
              <w:t>2、造价专业负责人1名（</w:t>
            </w:r>
            <w:r>
              <w:rPr>
                <w:rFonts w:hint="eastAsia" w:ascii="宋体" w:hAnsi="宋体"/>
                <w:color w:val="auto"/>
                <w:szCs w:val="18"/>
                <w:highlight w:val="none"/>
                <w:lang w:val="en-US" w:eastAsia="zh-CN"/>
              </w:rPr>
              <w:t>10</w:t>
            </w:r>
            <w:r>
              <w:rPr>
                <w:rFonts w:hint="eastAsia" w:ascii="宋体" w:hAnsi="宋体"/>
                <w:color w:val="auto"/>
                <w:szCs w:val="18"/>
                <w:highlight w:val="none"/>
              </w:rPr>
              <w:t>分）：</w:t>
            </w:r>
          </w:p>
          <w:p w14:paraId="28517CA3">
            <w:pPr>
              <w:spacing w:line="360" w:lineRule="auto"/>
              <w:jc w:val="left"/>
              <w:rPr>
                <w:rFonts w:hint="eastAsia" w:ascii="宋体" w:hAnsi="宋体" w:eastAsia="宋体" w:cs="Times New Roman"/>
                <w:color w:val="auto"/>
                <w:szCs w:val="18"/>
                <w:highlight w:val="none"/>
              </w:rPr>
            </w:pP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lang w:val="en-US" w:eastAsia="zh-CN"/>
              </w:rPr>
              <w:t>1</w:t>
            </w: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rPr>
              <w:t>具备安装工程注册造价工程师或一级注册造价工程师证书得</w:t>
            </w:r>
            <w:r>
              <w:rPr>
                <w:rFonts w:hint="eastAsia" w:ascii="宋体" w:hAnsi="宋体" w:eastAsia="宋体" w:cs="Times New Roman"/>
                <w:color w:val="auto"/>
                <w:szCs w:val="18"/>
                <w:highlight w:val="none"/>
                <w:lang w:val="en-US" w:eastAsia="zh-CN"/>
              </w:rPr>
              <w:t>5</w:t>
            </w:r>
            <w:r>
              <w:rPr>
                <w:rFonts w:hint="eastAsia" w:ascii="宋体" w:hAnsi="宋体" w:eastAsia="宋体" w:cs="Times New Roman"/>
                <w:color w:val="auto"/>
                <w:szCs w:val="18"/>
                <w:highlight w:val="none"/>
              </w:rPr>
              <w:t>分；具备安装工程二级注册造价工程师证书得</w:t>
            </w:r>
            <w:r>
              <w:rPr>
                <w:rFonts w:hint="eastAsia" w:ascii="宋体" w:hAnsi="宋体" w:eastAsia="宋体" w:cs="Times New Roman"/>
                <w:color w:val="auto"/>
                <w:szCs w:val="18"/>
                <w:highlight w:val="none"/>
                <w:lang w:val="en-US" w:eastAsia="zh-CN"/>
              </w:rPr>
              <w:t>2</w:t>
            </w:r>
            <w:r>
              <w:rPr>
                <w:rFonts w:hint="eastAsia" w:ascii="宋体" w:hAnsi="宋体" w:eastAsia="宋体" w:cs="Times New Roman"/>
                <w:color w:val="auto"/>
                <w:szCs w:val="18"/>
                <w:highlight w:val="none"/>
              </w:rPr>
              <w:t>分。</w:t>
            </w:r>
          </w:p>
          <w:p w14:paraId="4AFA8A58">
            <w:pPr>
              <w:spacing w:line="360" w:lineRule="auto"/>
              <w:jc w:val="left"/>
              <w:rPr>
                <w:rFonts w:hint="eastAsia" w:ascii="宋体" w:hAnsi="宋体" w:eastAsia="宋体" w:cs="Times New Roman"/>
                <w:color w:val="auto"/>
                <w:szCs w:val="18"/>
                <w:highlight w:val="none"/>
                <w:lang w:val="en-US" w:eastAsia="zh-CN"/>
              </w:rPr>
            </w:pPr>
            <w:r>
              <w:rPr>
                <w:rFonts w:hint="eastAsia" w:ascii="宋体" w:hAnsi="宋体" w:eastAsia="宋体" w:cs="Times New Roman"/>
                <w:color w:val="auto"/>
                <w:szCs w:val="18"/>
                <w:highlight w:val="none"/>
                <w:lang w:val="en-US" w:eastAsia="zh-CN"/>
              </w:rPr>
              <w:t>（2）具</w:t>
            </w:r>
            <w:r>
              <w:rPr>
                <w:rFonts w:hint="eastAsia" w:ascii="宋体" w:hAnsi="宋体" w:eastAsia="宋体" w:cs="Times New Roman"/>
                <w:color w:val="auto"/>
                <w:kern w:val="2"/>
                <w:sz w:val="21"/>
                <w:szCs w:val="18"/>
                <w:highlight w:val="none"/>
                <w:lang w:val="en-US" w:eastAsia="zh-CN" w:bidi="ar-SA"/>
              </w:rPr>
              <w:t>备</w:t>
            </w:r>
            <w:r>
              <w:rPr>
                <w:rFonts w:hint="eastAsia" w:ascii="宋体" w:hAnsi="宋体" w:eastAsia="宋体" w:cs="Times New Roman"/>
                <w:color w:val="auto"/>
                <w:szCs w:val="18"/>
                <w:highlight w:val="none"/>
                <w:lang w:val="en-US" w:eastAsia="zh-CN"/>
              </w:rPr>
              <w:t>电力类高级工程师（或以上）职称，得5分，具</w:t>
            </w:r>
            <w:r>
              <w:rPr>
                <w:rFonts w:hint="eastAsia" w:ascii="宋体" w:hAnsi="宋体" w:eastAsia="宋体" w:cs="Times New Roman"/>
                <w:color w:val="auto"/>
                <w:kern w:val="2"/>
                <w:sz w:val="21"/>
                <w:szCs w:val="18"/>
                <w:highlight w:val="none"/>
                <w:lang w:val="en-US" w:eastAsia="zh-CN" w:bidi="ar-SA"/>
              </w:rPr>
              <w:t>备</w:t>
            </w:r>
            <w:r>
              <w:rPr>
                <w:rFonts w:hint="eastAsia" w:ascii="宋体" w:hAnsi="宋体" w:eastAsia="宋体" w:cs="Times New Roman"/>
                <w:color w:val="auto"/>
                <w:szCs w:val="18"/>
                <w:highlight w:val="none"/>
                <w:lang w:val="en-US" w:eastAsia="zh-CN"/>
              </w:rPr>
              <w:t>电力类中级工程师职称，得2分。</w:t>
            </w:r>
          </w:p>
          <w:p w14:paraId="51F657C8">
            <w:pPr>
              <w:spacing w:line="360" w:lineRule="auto"/>
              <w:jc w:val="left"/>
              <w:rPr>
                <w:rFonts w:ascii="宋体" w:hAnsi="宋体"/>
                <w:color w:val="auto"/>
                <w:szCs w:val="18"/>
                <w:highlight w:val="none"/>
              </w:rPr>
            </w:pPr>
            <w:r>
              <w:rPr>
                <w:rFonts w:hint="eastAsia" w:ascii="宋体" w:hAnsi="宋体"/>
                <w:color w:val="auto"/>
                <w:szCs w:val="18"/>
                <w:highlight w:val="none"/>
              </w:rPr>
              <w:t>3、质量专业负责人1名（</w:t>
            </w:r>
            <w:r>
              <w:rPr>
                <w:rFonts w:hint="eastAsia" w:ascii="宋体" w:hAnsi="宋体"/>
                <w:color w:val="auto"/>
                <w:szCs w:val="18"/>
                <w:highlight w:val="none"/>
                <w:lang w:val="en-US" w:eastAsia="zh-CN"/>
              </w:rPr>
              <w:t>5</w:t>
            </w:r>
            <w:r>
              <w:rPr>
                <w:rFonts w:hint="eastAsia" w:ascii="宋体" w:hAnsi="宋体"/>
                <w:color w:val="auto"/>
                <w:szCs w:val="18"/>
                <w:highlight w:val="none"/>
              </w:rPr>
              <w:t>分）：</w:t>
            </w:r>
          </w:p>
          <w:p w14:paraId="44F4235B">
            <w:pPr>
              <w:spacing w:line="360" w:lineRule="auto"/>
              <w:jc w:val="left"/>
              <w:rPr>
                <w:color w:val="auto"/>
                <w:highlight w:val="none"/>
              </w:rPr>
            </w:pPr>
            <w:r>
              <w:rPr>
                <w:rFonts w:hint="eastAsia" w:ascii="宋体" w:hAnsi="宋体" w:eastAsia="宋体" w:cs="Times New Roman"/>
                <w:color w:val="auto"/>
                <w:szCs w:val="18"/>
                <w:highlight w:val="none"/>
                <w:lang w:val="en-US" w:eastAsia="zh-CN"/>
              </w:rPr>
              <w:t>（1）</w:t>
            </w:r>
            <w:r>
              <w:rPr>
                <w:rFonts w:hint="eastAsia" w:ascii="宋体" w:hAnsi="宋体" w:eastAsia="宋体" w:cs="Times New Roman"/>
                <w:color w:val="auto"/>
                <w:kern w:val="2"/>
                <w:sz w:val="21"/>
                <w:szCs w:val="18"/>
                <w:highlight w:val="none"/>
                <w:lang w:val="en-US" w:eastAsia="zh-CN" w:bidi="ar-SA"/>
              </w:rPr>
              <w:t>具备</w:t>
            </w:r>
            <w:r>
              <w:rPr>
                <w:rFonts w:hint="eastAsia" w:ascii="宋体" w:hAnsi="宋体" w:eastAsia="宋体" w:cs="Times New Roman"/>
                <w:color w:val="auto"/>
                <w:szCs w:val="18"/>
                <w:highlight w:val="none"/>
              </w:rPr>
              <w:t>电力类高级工程师（或以上）职称，得</w:t>
            </w:r>
            <w:r>
              <w:rPr>
                <w:rFonts w:hint="eastAsia" w:ascii="宋体" w:hAnsi="宋体" w:cs="Times New Roman"/>
                <w:color w:val="auto"/>
                <w:szCs w:val="18"/>
                <w:highlight w:val="none"/>
                <w:lang w:val="en-US" w:eastAsia="zh-CN"/>
              </w:rPr>
              <w:t>5</w:t>
            </w:r>
            <w:r>
              <w:rPr>
                <w:rFonts w:hint="eastAsia" w:ascii="宋体" w:hAnsi="宋体" w:eastAsia="宋体" w:cs="Times New Roman"/>
                <w:color w:val="auto"/>
                <w:szCs w:val="18"/>
                <w:highlight w:val="none"/>
              </w:rPr>
              <w:t>分</w:t>
            </w:r>
            <w:r>
              <w:rPr>
                <w:rFonts w:hint="eastAsia" w:ascii="宋体" w:hAnsi="宋体" w:eastAsia="宋体" w:cs="Times New Roman"/>
                <w:color w:val="auto"/>
                <w:szCs w:val="18"/>
                <w:highlight w:val="none"/>
                <w:lang w:eastAsia="zh-CN"/>
              </w:rPr>
              <w:t>。</w:t>
            </w:r>
          </w:p>
          <w:p w14:paraId="6E0F6C9F">
            <w:pPr>
              <w:numPr>
                <w:ilvl w:val="0"/>
                <w:numId w:val="0"/>
              </w:numPr>
              <w:spacing w:line="360" w:lineRule="auto"/>
              <w:jc w:val="left"/>
              <w:rPr>
                <w:rFonts w:hint="default" w:ascii="Calibri" w:hAnsi="Calibri" w:eastAsia="宋体" w:cs="Times New Roman"/>
                <w:color w:val="auto"/>
                <w:szCs w:val="22"/>
                <w:highlight w:val="none"/>
                <w:lang w:val="en-US" w:eastAsia="zh-CN"/>
              </w:rPr>
            </w:pP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lang w:val="en-US" w:eastAsia="zh-CN"/>
              </w:rPr>
              <w:t>2</w:t>
            </w: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rPr>
              <w:t>具</w:t>
            </w:r>
            <w:r>
              <w:rPr>
                <w:rFonts w:hint="eastAsia" w:ascii="宋体" w:hAnsi="宋体" w:eastAsia="宋体" w:cs="Times New Roman"/>
                <w:color w:val="auto"/>
                <w:kern w:val="2"/>
                <w:sz w:val="21"/>
                <w:szCs w:val="18"/>
                <w:highlight w:val="none"/>
                <w:lang w:val="en-US" w:eastAsia="zh-CN" w:bidi="ar-SA"/>
              </w:rPr>
              <w:t>备</w:t>
            </w:r>
            <w:r>
              <w:rPr>
                <w:rFonts w:hint="eastAsia" w:ascii="宋体" w:hAnsi="宋体" w:eastAsia="宋体" w:cs="Times New Roman"/>
                <w:color w:val="auto"/>
                <w:szCs w:val="18"/>
                <w:highlight w:val="none"/>
              </w:rPr>
              <w:t>电力类中级工程师职称，得</w:t>
            </w:r>
            <w:r>
              <w:rPr>
                <w:rFonts w:hint="eastAsia" w:ascii="宋体" w:hAnsi="宋体" w:cs="Times New Roman"/>
                <w:color w:val="auto"/>
                <w:szCs w:val="18"/>
                <w:highlight w:val="none"/>
                <w:lang w:val="en-US" w:eastAsia="zh-CN"/>
              </w:rPr>
              <w:t>2</w:t>
            </w:r>
            <w:r>
              <w:rPr>
                <w:rFonts w:hint="eastAsia" w:ascii="宋体" w:hAnsi="宋体" w:eastAsia="宋体" w:cs="Times New Roman"/>
                <w:color w:val="auto"/>
                <w:szCs w:val="18"/>
                <w:highlight w:val="none"/>
              </w:rPr>
              <w:t>分。</w:t>
            </w:r>
          </w:p>
          <w:p w14:paraId="2843F8E4">
            <w:pPr>
              <w:numPr>
                <w:ilvl w:val="0"/>
                <w:numId w:val="0"/>
              </w:numPr>
              <w:spacing w:line="360" w:lineRule="auto"/>
              <w:jc w:val="left"/>
              <w:rPr>
                <w:rFonts w:hint="eastAsia" w:ascii="宋体" w:hAnsi="宋体"/>
                <w:color w:val="auto"/>
                <w:szCs w:val="18"/>
                <w:highlight w:val="none"/>
              </w:rPr>
            </w:pPr>
            <w:r>
              <w:rPr>
                <w:rFonts w:hint="eastAsia" w:ascii="宋体" w:hAnsi="宋体" w:eastAsia="宋体" w:cs="Times New Roman"/>
                <w:color w:val="auto"/>
                <w:kern w:val="2"/>
                <w:sz w:val="21"/>
                <w:szCs w:val="18"/>
                <w:lang w:val="en-US" w:eastAsia="zh-CN" w:bidi="ar-SA"/>
              </w:rPr>
              <w:t>4、</w:t>
            </w:r>
            <w:r>
              <w:rPr>
                <w:rFonts w:hint="eastAsia" w:ascii="宋体" w:hAnsi="宋体"/>
                <w:color w:val="auto"/>
                <w:szCs w:val="18"/>
                <w:highlight w:val="none"/>
                <w:lang w:val="en-US" w:eastAsia="zh-CN"/>
              </w:rPr>
              <w:t>其他管理技术人员5名</w:t>
            </w:r>
            <w:r>
              <w:rPr>
                <w:rFonts w:hint="eastAsia" w:ascii="宋体" w:hAnsi="宋体"/>
                <w:color w:val="auto"/>
                <w:szCs w:val="18"/>
                <w:highlight w:val="none"/>
              </w:rPr>
              <w:t>（</w:t>
            </w:r>
            <w:r>
              <w:rPr>
                <w:rFonts w:hint="eastAsia" w:ascii="宋体" w:hAnsi="宋体"/>
                <w:color w:val="auto"/>
                <w:szCs w:val="18"/>
                <w:highlight w:val="none"/>
                <w:lang w:val="en-US" w:eastAsia="zh-CN"/>
              </w:rPr>
              <w:t>15</w:t>
            </w:r>
            <w:r>
              <w:rPr>
                <w:rFonts w:hint="eastAsia" w:ascii="宋体" w:hAnsi="宋体"/>
                <w:color w:val="auto"/>
                <w:szCs w:val="18"/>
                <w:highlight w:val="none"/>
              </w:rPr>
              <w:t>分）：</w:t>
            </w:r>
          </w:p>
          <w:p w14:paraId="56867B2A">
            <w:pPr>
              <w:pStyle w:val="16"/>
              <w:numPr>
                <w:ilvl w:val="0"/>
                <w:numId w:val="0"/>
              </w:numPr>
              <w:ind w:firstLine="420" w:firstLineChars="200"/>
              <w:rPr>
                <w:rFonts w:hint="default" w:ascii="宋体" w:hAnsi="宋体" w:eastAsia="宋体" w:cs="Times New Roman"/>
                <w:color w:val="auto"/>
                <w:kern w:val="2"/>
                <w:sz w:val="21"/>
                <w:szCs w:val="18"/>
                <w:highlight w:val="none"/>
                <w:lang w:val="en-US" w:eastAsia="zh-CN" w:bidi="ar-SA"/>
              </w:rPr>
            </w:pPr>
            <w:r>
              <w:rPr>
                <w:rFonts w:hint="eastAsia" w:ascii="宋体" w:hAnsi="宋体" w:eastAsia="宋体" w:cs="Times New Roman"/>
                <w:color w:val="auto"/>
                <w:kern w:val="2"/>
                <w:sz w:val="21"/>
                <w:szCs w:val="18"/>
                <w:highlight w:val="none"/>
                <w:lang w:val="en-US" w:eastAsia="zh-CN" w:bidi="ar-SA"/>
              </w:rPr>
              <w:t>拟投入具有电力工程管理、建筑施工、给水排水施工、机械、</w:t>
            </w:r>
            <w:r>
              <w:rPr>
                <w:rFonts w:hint="eastAsia" w:ascii="宋体" w:hAnsi="宋体" w:cs="Times New Roman"/>
                <w:color w:val="auto"/>
                <w:kern w:val="2"/>
                <w:sz w:val="21"/>
                <w:szCs w:val="18"/>
                <w:highlight w:val="none"/>
                <w:lang w:val="en-US" w:eastAsia="zh-CN" w:bidi="ar-SA"/>
              </w:rPr>
              <w:t>机电</w:t>
            </w:r>
            <w:r>
              <w:rPr>
                <w:rFonts w:hint="eastAsia" w:ascii="宋体" w:hAnsi="宋体" w:eastAsia="宋体" w:cs="Times New Roman"/>
                <w:color w:val="auto"/>
                <w:kern w:val="2"/>
                <w:sz w:val="21"/>
                <w:szCs w:val="18"/>
                <w:highlight w:val="none"/>
                <w:lang w:val="en-US" w:eastAsia="zh-CN" w:bidi="ar-SA"/>
              </w:rPr>
              <w:t>相关专业工程师或以上职称的人员，满足全部5人得15分；满足其中4人得10分；满足其中3人得5分；满足其中2人得2分；其他不得分。</w:t>
            </w:r>
          </w:p>
          <w:p w14:paraId="67FC2F05">
            <w:pPr>
              <w:spacing w:line="360" w:lineRule="auto"/>
              <w:jc w:val="left"/>
              <w:rPr>
                <w:rFonts w:hint="default" w:ascii="宋体" w:hAnsi="宋体" w:eastAsia="宋体"/>
                <w:color w:val="auto"/>
                <w:szCs w:val="18"/>
                <w:highlight w:val="none"/>
                <w:lang w:val="en-US" w:eastAsia="zh-CN"/>
              </w:rPr>
            </w:pPr>
            <w:r>
              <w:rPr>
                <w:rFonts w:hint="eastAsia" w:ascii="宋体" w:hAnsi="宋体"/>
                <w:color w:val="auto"/>
                <w:szCs w:val="18"/>
                <w:highlight w:val="none"/>
                <w:lang w:val="en-US" w:eastAsia="zh-CN"/>
              </w:rPr>
              <w:t>上述人员均不得兼任，本项最高得40分。</w:t>
            </w:r>
          </w:p>
          <w:p w14:paraId="533C4EE3">
            <w:pPr>
              <w:spacing w:line="360" w:lineRule="auto"/>
              <w:jc w:val="left"/>
              <w:rPr>
                <w:rFonts w:hint="eastAsia" w:ascii="宋体" w:hAnsi="宋体" w:eastAsia="宋体"/>
                <w:color w:val="auto"/>
                <w:szCs w:val="18"/>
                <w:highlight w:val="none"/>
                <w:lang w:eastAsia="zh-CN"/>
              </w:rPr>
            </w:pPr>
            <w:r>
              <w:rPr>
                <w:rFonts w:hint="eastAsia" w:ascii="宋体" w:hAnsi="宋体"/>
                <w:color w:val="auto"/>
                <w:szCs w:val="18"/>
                <w:highlight w:val="none"/>
              </w:rPr>
              <w:t>注：（1）需提供职称证、资格证、注册证扫描件、具有离投标截止时间最近1个月（</w:t>
            </w:r>
            <w:r>
              <w:rPr>
                <w:rFonts w:hint="eastAsia"/>
                <w:color w:val="auto"/>
                <w:highlight w:val="none"/>
              </w:rPr>
              <w:t>即2024年11月份</w:t>
            </w:r>
            <w:r>
              <w:rPr>
                <w:rFonts w:hint="eastAsia" w:ascii="宋体" w:hAnsi="宋体"/>
                <w:color w:val="auto"/>
                <w:szCs w:val="18"/>
                <w:highlight w:val="none"/>
              </w:rPr>
              <w:t>）在本单位交纳的社保证明文件（以加盖社会保险基金管理中心印章的《投保单》或《社会保险参保人员证明》资料为准）</w:t>
            </w:r>
            <w:r>
              <w:rPr>
                <w:rFonts w:hint="eastAsia" w:ascii="宋体" w:hAnsi="宋体"/>
                <w:color w:val="auto"/>
                <w:szCs w:val="18"/>
                <w:highlight w:val="none"/>
                <w:lang w:eastAsia="zh-CN"/>
              </w:rPr>
              <w:t>。</w:t>
            </w:r>
          </w:p>
          <w:p w14:paraId="6855370D">
            <w:pPr>
              <w:spacing w:line="360" w:lineRule="auto"/>
              <w:jc w:val="left"/>
              <w:rPr>
                <w:rFonts w:hint="eastAsia" w:ascii="宋体" w:hAnsi="宋体"/>
                <w:color w:val="auto"/>
                <w:szCs w:val="18"/>
                <w:highlight w:val="none"/>
              </w:rPr>
            </w:pPr>
            <w:r>
              <w:rPr>
                <w:rFonts w:hint="eastAsia" w:ascii="宋体" w:hAnsi="宋体"/>
                <w:color w:val="auto"/>
                <w:szCs w:val="18"/>
                <w:highlight w:val="none"/>
              </w:rPr>
              <w:t>（2）职称证应按相应要求提供经合法机构评审颁发的职称证书或人力资源和社会保障行政部门颁发的职称证书【①.职称专业以职称证书上标注的专业为准；②. 若职称证书非人力资源和社会保障行政部门颁发的，需提供职称证书在人力资源和社会保障行政部门（或国务院人力资源社会保障行政部门或省级人力资源社会保障行政部门的核准备案机构）的信息网页查询截图或提供发证机构在国务院人力资源社会保障行政部门（或省级人力资源社会保障行政部门）核准备案开展职称评审工作的证明文件及备案公示查询截图。</w:t>
            </w:r>
          </w:p>
        </w:tc>
        <w:tc>
          <w:tcPr>
            <w:tcW w:w="709" w:type="dxa"/>
            <w:vMerge w:val="continue"/>
            <w:tcBorders>
              <w:left w:val="single" w:color="auto" w:sz="4" w:space="0"/>
              <w:right w:val="single" w:color="auto" w:sz="4" w:space="0"/>
            </w:tcBorders>
            <w:noWrap w:val="0"/>
            <w:vAlign w:val="center"/>
          </w:tcPr>
          <w:p w14:paraId="17D0095F">
            <w:pPr>
              <w:jc w:val="center"/>
              <w:rPr>
                <w:color w:val="auto"/>
                <w:szCs w:val="21"/>
                <w:highlight w:val="none"/>
              </w:rPr>
            </w:pPr>
          </w:p>
        </w:tc>
      </w:tr>
      <w:tr w14:paraId="2D65C1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878" w:type="dxa"/>
            <w:gridSpan w:val="2"/>
            <w:vMerge w:val="continue"/>
            <w:tcBorders>
              <w:right w:val="single" w:color="auto" w:sz="4" w:space="0"/>
            </w:tcBorders>
            <w:noWrap w:val="0"/>
            <w:vAlign w:val="center"/>
          </w:tcPr>
          <w:p w14:paraId="44D1EAE2">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2817CD84">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7C20CC2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投标人的业绩、类似工程经历</w:t>
            </w:r>
          </w:p>
          <w:p w14:paraId="1922FBED">
            <w:pPr>
              <w:spacing w:line="360" w:lineRule="auto"/>
              <w:jc w:val="center"/>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40</w:t>
            </w:r>
            <w:r>
              <w:rPr>
                <w:rFonts w:hint="eastAsia" w:ascii="宋体" w:hAnsi="宋体" w:cs="宋体"/>
                <w:color w:val="auto"/>
                <w:szCs w:val="21"/>
                <w:highlight w:val="none"/>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0775F2DF">
            <w:pPr>
              <w:spacing w:line="360" w:lineRule="auto"/>
              <w:jc w:val="left"/>
              <w:rPr>
                <w:rFonts w:hint="eastAsia" w:ascii="宋体" w:hAnsi="宋体"/>
                <w:color w:val="auto"/>
                <w:szCs w:val="18"/>
                <w:highlight w:val="none"/>
              </w:rPr>
            </w:pPr>
            <w:r>
              <w:rPr>
                <w:rFonts w:hint="eastAsia" w:ascii="宋体" w:hAnsi="宋体"/>
                <w:color w:val="auto"/>
                <w:szCs w:val="18"/>
                <w:highlight w:val="none"/>
              </w:rPr>
              <w:t>投标人近</w:t>
            </w:r>
            <w:r>
              <w:rPr>
                <w:rFonts w:hint="eastAsia" w:ascii="宋体" w:hAnsi="宋体"/>
                <w:color w:val="auto"/>
                <w:szCs w:val="18"/>
                <w:highlight w:val="none"/>
                <w:lang w:val="en-US" w:eastAsia="zh-CN"/>
              </w:rPr>
              <w:t>3</w:t>
            </w:r>
            <w:r>
              <w:rPr>
                <w:rFonts w:hint="eastAsia" w:ascii="宋体" w:hAnsi="宋体"/>
                <w:color w:val="auto"/>
                <w:szCs w:val="18"/>
                <w:highlight w:val="none"/>
              </w:rPr>
              <w:t>年（指20</w:t>
            </w:r>
            <w:r>
              <w:rPr>
                <w:rFonts w:hint="eastAsia" w:ascii="宋体" w:hAnsi="宋体"/>
                <w:color w:val="auto"/>
                <w:szCs w:val="18"/>
                <w:highlight w:val="none"/>
                <w:lang w:val="en-US" w:eastAsia="zh-CN"/>
              </w:rPr>
              <w:t>21</w:t>
            </w:r>
            <w:r>
              <w:rPr>
                <w:rFonts w:hint="eastAsia" w:ascii="宋体" w:hAnsi="宋体"/>
                <w:color w:val="auto"/>
                <w:szCs w:val="18"/>
                <w:highlight w:val="none"/>
              </w:rPr>
              <w:t>年</w:t>
            </w:r>
            <w:r>
              <w:rPr>
                <w:rFonts w:hint="eastAsia" w:ascii="宋体" w:hAnsi="宋体"/>
                <w:color w:val="auto"/>
                <w:szCs w:val="18"/>
                <w:highlight w:val="none"/>
                <w:lang w:val="en-US" w:eastAsia="zh-CN"/>
              </w:rPr>
              <w:t>1</w:t>
            </w:r>
            <w:r>
              <w:rPr>
                <w:rFonts w:hint="eastAsia" w:ascii="宋体" w:hAnsi="宋体"/>
                <w:color w:val="auto"/>
                <w:szCs w:val="18"/>
                <w:highlight w:val="none"/>
              </w:rPr>
              <w:t>月1日至今）承接过单项合同价≥</w:t>
            </w:r>
            <w:r>
              <w:rPr>
                <w:rFonts w:hint="eastAsia" w:ascii="宋体" w:hAnsi="宋体"/>
                <w:color w:val="auto"/>
                <w:szCs w:val="18"/>
                <w:highlight w:val="none"/>
                <w:lang w:val="en-US" w:eastAsia="zh-CN"/>
              </w:rPr>
              <w:t>400</w:t>
            </w:r>
            <w:r>
              <w:rPr>
                <w:rFonts w:hint="eastAsia" w:ascii="宋体" w:hAnsi="宋体"/>
                <w:color w:val="auto"/>
                <w:szCs w:val="18"/>
                <w:highlight w:val="none"/>
              </w:rPr>
              <w:t>万元的</w:t>
            </w:r>
            <w:r>
              <w:rPr>
                <w:rFonts w:hint="eastAsia" w:ascii="宋体" w:hAnsi="宋体"/>
                <w:color w:val="auto"/>
                <w:szCs w:val="18"/>
                <w:highlight w:val="none"/>
                <w:lang w:val="en-US" w:eastAsia="zh-CN"/>
              </w:rPr>
              <w:t>电力</w:t>
            </w:r>
            <w:r>
              <w:rPr>
                <w:rFonts w:hint="eastAsia" w:ascii="宋体" w:hAnsi="宋体"/>
                <w:color w:val="auto"/>
                <w:szCs w:val="18"/>
                <w:highlight w:val="none"/>
              </w:rPr>
              <w:t>施工</w:t>
            </w:r>
            <w:r>
              <w:rPr>
                <w:rFonts w:hint="eastAsia" w:ascii="宋体" w:hAnsi="宋体"/>
                <w:color w:val="auto"/>
                <w:szCs w:val="18"/>
                <w:highlight w:val="none"/>
                <w:lang w:val="en-US" w:eastAsia="zh-CN"/>
              </w:rPr>
              <w:t>工程</w:t>
            </w:r>
            <w:r>
              <w:rPr>
                <w:rFonts w:hint="eastAsia" w:ascii="宋体" w:hAnsi="宋体"/>
                <w:color w:val="auto"/>
                <w:szCs w:val="18"/>
                <w:highlight w:val="none"/>
              </w:rPr>
              <w:t>业绩的，每项得</w:t>
            </w:r>
            <w:r>
              <w:rPr>
                <w:rFonts w:hint="eastAsia" w:ascii="宋体" w:hAnsi="宋体"/>
                <w:color w:val="auto"/>
                <w:szCs w:val="18"/>
                <w:highlight w:val="none"/>
                <w:lang w:val="en-US" w:eastAsia="zh-CN"/>
              </w:rPr>
              <w:t>4</w:t>
            </w:r>
            <w:r>
              <w:rPr>
                <w:rFonts w:hint="eastAsia" w:ascii="宋体" w:hAnsi="宋体"/>
                <w:color w:val="auto"/>
                <w:szCs w:val="18"/>
                <w:highlight w:val="none"/>
              </w:rPr>
              <w:t>分，本项最高得</w:t>
            </w:r>
            <w:r>
              <w:rPr>
                <w:rFonts w:hint="eastAsia" w:ascii="宋体" w:hAnsi="宋体"/>
                <w:color w:val="auto"/>
                <w:szCs w:val="18"/>
                <w:highlight w:val="none"/>
                <w:lang w:val="en-US" w:eastAsia="zh-CN"/>
              </w:rPr>
              <w:t>40</w:t>
            </w:r>
            <w:r>
              <w:rPr>
                <w:rFonts w:hint="eastAsia" w:ascii="宋体" w:hAnsi="宋体"/>
                <w:color w:val="auto"/>
                <w:szCs w:val="18"/>
                <w:highlight w:val="none"/>
              </w:rPr>
              <w:t>分。</w:t>
            </w:r>
          </w:p>
          <w:p w14:paraId="31757260">
            <w:pPr>
              <w:pStyle w:val="20"/>
              <w:numPr>
                <w:ilvl w:val="0"/>
                <w:numId w:val="0"/>
              </w:numPr>
              <w:spacing w:line="360" w:lineRule="auto"/>
              <w:ind w:leftChars="0"/>
              <w:rPr>
                <w:rFonts w:hint="eastAsia" w:ascii="宋体" w:hAnsi="宋体" w:eastAsia="宋体" w:cs="Times New Roman"/>
                <w:color w:val="auto"/>
                <w:kern w:val="2"/>
                <w:sz w:val="21"/>
                <w:szCs w:val="18"/>
                <w:highlight w:val="none"/>
                <w:lang w:val="en-US" w:eastAsia="zh-CN" w:bidi="ar-SA"/>
              </w:rPr>
            </w:pPr>
            <w:r>
              <w:rPr>
                <w:rFonts w:hint="eastAsia" w:ascii="宋体" w:hAnsi="宋体" w:eastAsia="宋体" w:cs="Times New Roman"/>
                <w:color w:val="auto"/>
                <w:kern w:val="2"/>
                <w:sz w:val="21"/>
                <w:szCs w:val="18"/>
                <w:highlight w:val="none"/>
                <w:lang w:val="en-US" w:eastAsia="zh-CN" w:bidi="ar-SA"/>
              </w:rPr>
              <w:t>注：类似业绩指完成的质量合格且电压等级为10kV(或以上)的单项合同金额</w:t>
            </w:r>
            <w:r>
              <w:rPr>
                <w:rFonts w:hint="eastAsia" w:hAnsi="宋体" w:eastAsia="宋体" w:cs="Times New Roman"/>
                <w:color w:val="auto"/>
                <w:kern w:val="2"/>
                <w:sz w:val="21"/>
                <w:szCs w:val="18"/>
                <w:highlight w:val="none"/>
                <w:lang w:val="en-US" w:eastAsia="zh-CN" w:bidi="ar-SA"/>
              </w:rPr>
              <w:t>400</w:t>
            </w:r>
            <w:r>
              <w:rPr>
                <w:rFonts w:hint="eastAsia" w:ascii="宋体" w:hAnsi="宋体" w:eastAsia="宋体" w:cs="Times New Roman"/>
                <w:color w:val="auto"/>
                <w:kern w:val="2"/>
                <w:sz w:val="21"/>
                <w:szCs w:val="18"/>
                <w:highlight w:val="none"/>
                <w:lang w:val="en-US" w:eastAsia="zh-CN" w:bidi="ar-SA"/>
              </w:rPr>
              <w:t>万元(或以上)电力施工工程业绩。</w:t>
            </w:r>
          </w:p>
          <w:p w14:paraId="407B4729">
            <w:pPr>
              <w:pStyle w:val="20"/>
              <w:numPr>
                <w:ilvl w:val="0"/>
                <w:numId w:val="0"/>
              </w:numPr>
              <w:spacing w:line="360" w:lineRule="auto"/>
              <w:ind w:leftChars="0"/>
              <w:rPr>
                <w:rFonts w:ascii="宋体" w:hAnsi="宋体"/>
                <w:color w:val="auto"/>
                <w:szCs w:val="18"/>
                <w:highlight w:val="none"/>
              </w:rPr>
            </w:pPr>
            <w:r>
              <w:rPr>
                <w:rFonts w:hint="eastAsia" w:ascii="宋体" w:hAnsi="宋体" w:eastAsia="宋体" w:cs="Times New Roman"/>
                <w:color w:val="auto"/>
                <w:kern w:val="2"/>
                <w:sz w:val="21"/>
                <w:szCs w:val="18"/>
                <w:highlight w:val="none"/>
                <w:lang w:val="en-US" w:eastAsia="zh-CN" w:bidi="ar-SA"/>
              </w:rPr>
              <w:t>单独发包的专业工程业绩，需同时提供中标通知书或免招标的相关证明、施工合同、竣工验收报告扫描件。由总承包单位依法分包的专业工程业绩，需同时提供总承包单位的中标通知书、经业主和总承包单位确认的分包合同、竣工验收报告扫描件。如以上资料不能证明业绩规模的技术指标（指电压等级、金额等）的，须另提供可证明业绩技术指标的其他资料；完成时间以竣工验收时间为准；业绩金额按以下方式认定：</w:t>
            </w:r>
            <w:r>
              <w:rPr>
                <w:rFonts w:hint="eastAsia" w:ascii="宋体" w:hAnsi="宋体" w:eastAsia="宋体" w:cs="Times New Roman"/>
                <w:color w:val="auto"/>
                <w:kern w:val="2"/>
                <w:sz w:val="21"/>
                <w:szCs w:val="18"/>
                <w:highlight w:val="none"/>
                <w:lang w:val="en-US" w:eastAsia="zh-CN" w:bidi="ar-SA"/>
              </w:rPr>
              <w:cr/>
            </w:r>
            <w:r>
              <w:rPr>
                <w:rFonts w:hint="eastAsia" w:ascii="宋体" w:hAnsi="宋体" w:eastAsia="宋体" w:cs="Times New Roman"/>
                <w:color w:val="auto"/>
                <w:kern w:val="2"/>
                <w:sz w:val="21"/>
                <w:szCs w:val="18"/>
                <w:highlight w:val="none"/>
                <w:lang w:val="en-US" w:eastAsia="zh-CN" w:bidi="ar-SA"/>
              </w:rPr>
              <w:t>a、适用于施工专业承包项目：单独发包的专业工程的业绩金额以中标通知书为准，中标通知书上没有金额或免招标的，以施工合同（不含补充合同）为准。如中标通知书未能体现对应的专业工程金额，则以施工合同载明的对应的专业工程金额为准，如中标通知书与施工合同均不能单独体现对应的专业工程金额，则以建设单位提供的证明资料中载明的对应专业金额为准。由总承包单位依法分包的专业工程业绩其金额以分包合同中约定的合同金额为准。</w:t>
            </w:r>
            <w:r>
              <w:rPr>
                <w:rFonts w:hint="eastAsia" w:ascii="宋体" w:hAnsi="宋体" w:eastAsia="宋体" w:cs="Times New Roman"/>
                <w:color w:val="auto"/>
                <w:kern w:val="2"/>
                <w:sz w:val="21"/>
                <w:szCs w:val="18"/>
                <w:highlight w:val="none"/>
                <w:lang w:val="en-US" w:eastAsia="zh-CN" w:bidi="ar-SA"/>
              </w:rPr>
              <w:cr/>
            </w:r>
            <w:r>
              <w:rPr>
                <w:rFonts w:hint="eastAsia" w:ascii="宋体" w:hAnsi="宋体" w:eastAsia="宋体" w:cs="Times New Roman"/>
                <w:color w:val="auto"/>
                <w:kern w:val="2"/>
                <w:sz w:val="21"/>
                <w:szCs w:val="18"/>
                <w:highlight w:val="none"/>
                <w:lang w:val="en-US" w:eastAsia="zh-CN" w:bidi="ar-SA"/>
              </w:rPr>
              <w:t>b、投标单位提供的施工合同（分包合同）扫描件证明材料。（可提供合同关键页，但应至少包括合同封面、合同指标金额规模页、合同盖章页）。</w:t>
            </w:r>
          </w:p>
        </w:tc>
        <w:tc>
          <w:tcPr>
            <w:tcW w:w="709" w:type="dxa"/>
            <w:vMerge w:val="continue"/>
            <w:tcBorders>
              <w:left w:val="single" w:color="auto" w:sz="4" w:space="0"/>
              <w:right w:val="single" w:color="auto" w:sz="4" w:space="0"/>
            </w:tcBorders>
            <w:noWrap w:val="0"/>
            <w:vAlign w:val="center"/>
          </w:tcPr>
          <w:p w14:paraId="14B28579">
            <w:pPr>
              <w:jc w:val="center"/>
              <w:rPr>
                <w:color w:val="auto"/>
                <w:szCs w:val="21"/>
                <w:highlight w:val="none"/>
              </w:rPr>
            </w:pPr>
          </w:p>
        </w:tc>
      </w:tr>
      <w:tr w14:paraId="0FD3F56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802" w:hRule="atLeast"/>
        </w:trPr>
        <w:tc>
          <w:tcPr>
            <w:tcW w:w="878" w:type="dxa"/>
            <w:gridSpan w:val="2"/>
            <w:tcBorders>
              <w:top w:val="single" w:color="auto" w:sz="4" w:space="0"/>
              <w:left w:val="single" w:color="auto" w:sz="4" w:space="0"/>
              <w:bottom w:val="single" w:color="auto" w:sz="4" w:space="0"/>
              <w:right w:val="single" w:color="auto" w:sz="4" w:space="0"/>
            </w:tcBorders>
            <w:noWrap w:val="0"/>
            <w:vAlign w:val="center"/>
          </w:tcPr>
          <w:p w14:paraId="6ED81C04">
            <w:pPr>
              <w:spacing w:line="360" w:lineRule="auto"/>
              <w:jc w:val="center"/>
              <w:rPr>
                <w:color w:val="auto"/>
                <w:szCs w:val="21"/>
                <w:highlight w:val="none"/>
              </w:rPr>
            </w:pPr>
            <w:r>
              <w:rPr>
                <w:color w:val="auto"/>
                <w:szCs w:val="21"/>
                <w:highlight w:val="none"/>
              </w:rPr>
              <w:t>2.2.</w:t>
            </w:r>
            <w:r>
              <w:rPr>
                <w:rFonts w:hint="eastAsia"/>
                <w:color w:val="auto"/>
                <w:szCs w:val="21"/>
                <w:highlight w:val="none"/>
              </w:rPr>
              <w:t>5(3)</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2142DAF6">
            <w:pPr>
              <w:spacing w:line="360" w:lineRule="auto"/>
              <w:jc w:val="center"/>
              <w:rPr>
                <w:color w:val="auto"/>
                <w:szCs w:val="21"/>
                <w:highlight w:val="none"/>
              </w:rPr>
            </w:pPr>
            <w:r>
              <w:rPr>
                <w:rFonts w:hint="eastAsia"/>
                <w:color w:val="auto"/>
                <w:szCs w:val="21"/>
                <w:highlight w:val="none"/>
              </w:rPr>
              <w:t>投标报价评审</w:t>
            </w:r>
          </w:p>
        </w:tc>
        <w:tc>
          <w:tcPr>
            <w:tcW w:w="7169" w:type="dxa"/>
            <w:gridSpan w:val="3"/>
            <w:tcBorders>
              <w:top w:val="single" w:color="auto" w:sz="4" w:space="0"/>
              <w:left w:val="single" w:color="auto" w:sz="4" w:space="0"/>
              <w:bottom w:val="single" w:color="auto" w:sz="4" w:space="0"/>
              <w:right w:val="single" w:color="auto" w:sz="4" w:space="0"/>
            </w:tcBorders>
            <w:noWrap w:val="0"/>
            <w:vAlign w:val="center"/>
          </w:tcPr>
          <w:p w14:paraId="44F76C43">
            <w:pPr>
              <w:spacing w:line="360" w:lineRule="auto"/>
              <w:jc w:val="left"/>
              <w:rPr>
                <w:color w:val="auto"/>
                <w:szCs w:val="21"/>
                <w:highlight w:val="none"/>
              </w:rPr>
            </w:pPr>
            <w:r>
              <w:rPr>
                <w:rFonts w:hint="eastAsia" w:ascii="宋体" w:hAnsi="宋体"/>
                <w:color w:val="auto"/>
                <w:szCs w:val="21"/>
                <w:highlight w:val="none"/>
              </w:rPr>
              <w:t>示例：投标人的投标报价等于评标</w:t>
            </w:r>
            <w:r>
              <w:rPr>
                <w:rFonts w:hint="eastAsia" w:ascii="宋体" w:hAnsi="宋体"/>
                <w:color w:val="auto"/>
                <w:szCs w:val="18"/>
                <w:highlight w:val="none"/>
              </w:rPr>
              <w:t>基准</w:t>
            </w:r>
            <w:r>
              <w:rPr>
                <w:rFonts w:hint="eastAsia" w:ascii="宋体" w:hAnsi="宋体"/>
                <w:color w:val="auto"/>
                <w:szCs w:val="21"/>
                <w:highlight w:val="none"/>
              </w:rPr>
              <w:t>价的，得100分，投标报价比评标基准价每高</w:t>
            </w:r>
            <w:r>
              <w:rPr>
                <w:rFonts w:ascii="宋体" w:hAnsi="宋体"/>
                <w:color w:val="auto"/>
                <w:szCs w:val="21"/>
                <w:highlight w:val="none"/>
              </w:rPr>
              <w:t>1%</w:t>
            </w:r>
            <w:r>
              <w:rPr>
                <w:rFonts w:hint="eastAsia" w:ascii="宋体" w:hAnsi="宋体"/>
                <w:color w:val="auto"/>
                <w:szCs w:val="21"/>
                <w:highlight w:val="none"/>
              </w:rPr>
              <w:t>扣0.</w:t>
            </w:r>
            <w:r>
              <w:rPr>
                <w:rFonts w:hint="eastAsia" w:ascii="宋体" w:hAnsi="宋体"/>
                <w:color w:val="auto"/>
                <w:szCs w:val="21"/>
                <w:highlight w:val="none"/>
                <w:lang w:val="en-US" w:eastAsia="zh-CN"/>
              </w:rPr>
              <w:t>8</w:t>
            </w:r>
            <w:r>
              <w:rPr>
                <w:rFonts w:hint="eastAsia" w:ascii="宋体" w:hAnsi="宋体"/>
                <w:color w:val="auto"/>
                <w:szCs w:val="21"/>
                <w:highlight w:val="none"/>
              </w:rPr>
              <w:t>分；每低1%扣0.</w:t>
            </w:r>
            <w:r>
              <w:rPr>
                <w:rFonts w:hint="eastAsia" w:ascii="宋体" w:hAnsi="宋体"/>
                <w:color w:val="auto"/>
                <w:szCs w:val="21"/>
                <w:highlight w:val="none"/>
                <w:lang w:val="en-US" w:eastAsia="zh-CN"/>
              </w:rPr>
              <w:t>3</w:t>
            </w:r>
            <w:r>
              <w:rPr>
                <w:rFonts w:hint="eastAsia" w:ascii="宋体" w:hAnsi="宋体"/>
                <w:color w:val="auto"/>
                <w:szCs w:val="21"/>
                <w:highlight w:val="none"/>
              </w:rPr>
              <w:t>分，扣至0分为止。（注：由招标人自行制定）</w:t>
            </w:r>
          </w:p>
        </w:tc>
      </w:tr>
    </w:tbl>
    <w:p w14:paraId="32737727">
      <w:pPr>
        <w:spacing w:line="360" w:lineRule="auto"/>
        <w:ind w:firstLine="480" w:firstLineChars="200"/>
        <w:rPr>
          <w:rFonts w:ascii="宋体" w:hAnsi="宋体"/>
          <w:color w:val="auto"/>
          <w:sz w:val="24"/>
          <w:highlight w:val="none"/>
        </w:rPr>
      </w:pPr>
    </w:p>
    <w:bookmarkEnd w:id="201"/>
    <w:bookmarkEnd w:id="202"/>
    <w:bookmarkEnd w:id="203"/>
    <w:p w14:paraId="67A4733D">
      <w:pPr>
        <w:pStyle w:val="3"/>
        <w:numPr>
          <w:ilvl w:val="0"/>
          <w:numId w:val="18"/>
        </w:numPr>
        <w:rPr>
          <w:color w:val="auto"/>
          <w:highlight w:val="none"/>
        </w:rPr>
      </w:pPr>
      <w:r>
        <w:rPr>
          <w:color w:val="auto"/>
          <w:highlight w:val="none"/>
        </w:rPr>
        <w:br w:type="page"/>
      </w:r>
      <w:bookmarkStart w:id="204" w:name="_Toc10460"/>
      <w:bookmarkStart w:id="205" w:name="_Toc21787690"/>
      <w:bookmarkStart w:id="206" w:name="_Toc180758559"/>
      <w:r>
        <w:rPr>
          <w:rFonts w:hint="eastAsia"/>
          <w:color w:val="auto"/>
          <w:highlight w:val="none"/>
        </w:rPr>
        <w:t>评标方法</w:t>
      </w:r>
      <w:bookmarkEnd w:id="204"/>
      <w:bookmarkEnd w:id="205"/>
      <w:bookmarkEnd w:id="206"/>
    </w:p>
    <w:p w14:paraId="03850BD9">
      <w:pPr>
        <w:spacing w:line="360" w:lineRule="auto"/>
        <w:ind w:firstLine="480" w:firstLineChars="200"/>
        <w:rPr>
          <w:color w:val="auto"/>
          <w:sz w:val="24"/>
          <w:highlight w:val="none"/>
        </w:rPr>
      </w:pPr>
      <w:r>
        <w:rPr>
          <w:rFonts w:hint="eastAsia"/>
          <w:color w:val="auto"/>
          <w:sz w:val="24"/>
          <w:highlight w:val="none"/>
        </w:rPr>
        <w:t>本次评标采用综合评估法。</w:t>
      </w:r>
      <w:r>
        <w:rPr>
          <w:rFonts w:hint="eastAsia" w:ascii="宋体" w:hAnsi="宋体"/>
          <w:color w:val="auto"/>
          <w:sz w:val="24"/>
          <w:highlight w:val="none"/>
        </w:rPr>
        <w:t>评标</w:t>
      </w:r>
      <w:r>
        <w:rPr>
          <w:rFonts w:hint="eastAsia"/>
          <w:color w:val="auto"/>
          <w:sz w:val="24"/>
          <w:highlight w:val="none"/>
        </w:rPr>
        <w:t>委员会对满足招标文件实质性要求的投标文件，按照本章第2.2款规定的评分标准进行打分，并按得分由高到低顺序推荐中标候选人，或根据招标人授权直接确定中标人，但投标报价低于其成本的除外。总得分相同的，商务评审得分高的投标人排序为先；若商务评审得分也相同，技术评审得分高的投标人排序为先；若技术评审得分、商务评审得分均相同，则由评委通过记名投标表决（不得弃权），以“少数服从多数”的原则确定排序。</w:t>
      </w:r>
    </w:p>
    <w:p w14:paraId="17599299">
      <w:pPr>
        <w:pStyle w:val="3"/>
        <w:rPr>
          <w:color w:val="auto"/>
          <w:highlight w:val="none"/>
        </w:rPr>
      </w:pPr>
      <w:bookmarkStart w:id="207" w:name="_Toc29688"/>
      <w:bookmarkStart w:id="208" w:name="_Toc21787691"/>
      <w:bookmarkStart w:id="209" w:name="_Toc180758560"/>
      <w:r>
        <w:rPr>
          <w:rFonts w:hint="eastAsia"/>
          <w:color w:val="auto"/>
          <w:highlight w:val="none"/>
        </w:rPr>
        <w:t>评审标准</w:t>
      </w:r>
      <w:bookmarkEnd w:id="207"/>
      <w:bookmarkEnd w:id="208"/>
      <w:bookmarkEnd w:id="209"/>
    </w:p>
    <w:p w14:paraId="3F7F38D8">
      <w:pPr>
        <w:numPr>
          <w:ilvl w:val="1"/>
          <w:numId w:val="19"/>
        </w:numPr>
        <w:spacing w:line="360" w:lineRule="auto"/>
        <w:ind w:left="1322"/>
        <w:outlineLvl w:val="2"/>
        <w:rPr>
          <w:rFonts w:ascii="黑体" w:hAnsi="黑体" w:eastAsia="黑体"/>
          <w:b/>
          <w:color w:val="auto"/>
          <w:sz w:val="28"/>
          <w:szCs w:val="28"/>
          <w:highlight w:val="none"/>
        </w:rPr>
      </w:pPr>
      <w:bookmarkStart w:id="210" w:name="_Toc21787692"/>
      <w:bookmarkStart w:id="211" w:name="_Toc180758561"/>
      <w:bookmarkStart w:id="212" w:name="_Toc15344"/>
      <w:r>
        <w:rPr>
          <w:rFonts w:hint="eastAsia" w:ascii="黑体" w:hAnsi="黑体" w:eastAsia="黑体"/>
          <w:b/>
          <w:color w:val="auto"/>
          <w:sz w:val="28"/>
          <w:szCs w:val="28"/>
          <w:highlight w:val="none"/>
        </w:rPr>
        <w:t>初步评审标准</w:t>
      </w:r>
      <w:bookmarkEnd w:id="210"/>
      <w:bookmarkEnd w:id="211"/>
      <w:bookmarkEnd w:id="212"/>
    </w:p>
    <w:p w14:paraId="764FB0E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2.1.1资格评审标准：见评标办法前附表。</w:t>
      </w:r>
    </w:p>
    <w:p w14:paraId="7344CFE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2.1.2形式评审标准：见评标办法前附表。</w:t>
      </w:r>
    </w:p>
    <w:p w14:paraId="002E4132">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2.1.3 响应性评审标准：见评标办法前附表。</w:t>
      </w:r>
    </w:p>
    <w:p w14:paraId="5218A0DA">
      <w:pPr>
        <w:pStyle w:val="20"/>
        <w:spacing w:line="360" w:lineRule="auto"/>
        <w:rPr>
          <w:color w:val="auto"/>
          <w:highlight w:val="none"/>
        </w:rPr>
      </w:pPr>
      <w:r>
        <w:rPr>
          <w:rFonts w:hint="eastAsia" w:hAnsi="宋体"/>
          <w:color w:val="auto"/>
          <w:sz w:val="24"/>
          <w:highlight w:val="none"/>
        </w:rPr>
        <w:t xml:space="preserve">   </w:t>
      </w:r>
      <w:r>
        <w:rPr>
          <w:rFonts w:hint="eastAsia" w:ascii="Calibri" w:hAnsi="Calibri" w:eastAsia="宋体"/>
          <w:color w:val="auto"/>
          <w:kern w:val="2"/>
          <w:sz w:val="24"/>
          <w:highlight w:val="none"/>
        </w:rPr>
        <w:t xml:space="preserve"> 注：不得将文件顺序、明显的文字错误等列为否决投标的情形。评委发现投标文件中含义不明确、对同类问题表述不一致、有明显文字和计算错误、投标报价可能低于成本影响履约的，应当要求投标人作必要的澄清、说明后再判定投标人是否通过初步评审，不得直接认定其不通过初步评审。</w:t>
      </w:r>
    </w:p>
    <w:p w14:paraId="1A871AEE">
      <w:pPr>
        <w:numPr>
          <w:ilvl w:val="1"/>
          <w:numId w:val="19"/>
        </w:numPr>
        <w:spacing w:line="360" w:lineRule="auto"/>
        <w:ind w:left="1322"/>
        <w:outlineLvl w:val="2"/>
        <w:rPr>
          <w:rFonts w:ascii="黑体" w:hAnsi="黑体" w:eastAsia="黑体"/>
          <w:b/>
          <w:color w:val="auto"/>
          <w:sz w:val="28"/>
          <w:szCs w:val="28"/>
          <w:highlight w:val="none"/>
        </w:rPr>
      </w:pPr>
      <w:bookmarkStart w:id="213" w:name="_Toc21787693"/>
      <w:bookmarkStart w:id="214" w:name="_Toc180758562"/>
      <w:bookmarkStart w:id="215" w:name="_Toc149"/>
      <w:r>
        <w:rPr>
          <w:rFonts w:hint="eastAsia" w:ascii="黑体" w:hAnsi="黑体" w:eastAsia="黑体"/>
          <w:b/>
          <w:color w:val="auto"/>
          <w:sz w:val="28"/>
          <w:szCs w:val="28"/>
          <w:highlight w:val="none"/>
        </w:rPr>
        <w:t>分值构成与评分标准</w:t>
      </w:r>
      <w:bookmarkEnd w:id="213"/>
      <w:bookmarkEnd w:id="214"/>
      <w:bookmarkEnd w:id="215"/>
    </w:p>
    <w:p w14:paraId="6785B29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2.2.1 分值构成</w:t>
      </w:r>
    </w:p>
    <w:p w14:paraId="6C25C0B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（1）技术部分：见评标办法前附表；</w:t>
      </w:r>
    </w:p>
    <w:p w14:paraId="692D5E0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（2）商务部分：见评标办法前附表；</w:t>
      </w:r>
    </w:p>
    <w:p w14:paraId="7CA4D3CE">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（3）投标报价：见评标办法前附表。</w:t>
      </w:r>
    </w:p>
    <w:p w14:paraId="0705989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2.2.2有效投标报价</w:t>
      </w:r>
    </w:p>
    <w:p w14:paraId="3F628F0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通过初步评审且不高于最高投标限价的投标报价为有效投标报价。非竞争性费用需与招标人发布的金额一致，不一致的投标报价无效。投标报价不得低于成本价，否则投标报价为无效投标报价。成本警示价见第二章投标人须知前附表第3.2.4项。</w:t>
      </w:r>
      <w:r>
        <w:rPr>
          <w:rFonts w:hint="eastAsia" w:ascii="宋体" w:hAnsi="宋体"/>
          <w:color w:val="auto"/>
          <w:sz w:val="24"/>
          <w:highlight w:val="none"/>
          <w:u w:val="single"/>
        </w:rPr>
        <w:t>对低于该成本警示价的投标报价，投标人必须提供详细的施工组织设计、单价、措施性费用、单价分析表、主要材料价格表、投标人成本分析供评标委员会评审，由评标委员会判定其是否低于企业自身成本，投标人未在投标文件中提供相关材料或者不能合理说明的，由评标委员会认定该投标人以低于成本报价竞标，应当否决其投标；在评标过程中，评标委员会发现投标人的报价明显低于其他投标报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bookmarkStart w:id="216" w:name="_Toc179632620"/>
      <w:bookmarkStart w:id="217" w:name="_Toc152042379"/>
      <w:bookmarkStart w:id="218" w:name="_Toc144974569"/>
      <w:bookmarkStart w:id="219" w:name="_Toc152045602"/>
    </w:p>
    <w:bookmarkEnd w:id="216"/>
    <w:bookmarkEnd w:id="217"/>
    <w:bookmarkEnd w:id="218"/>
    <w:bookmarkEnd w:id="219"/>
    <w:p w14:paraId="4C2B97E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2.2.</w:t>
      </w:r>
      <w:r>
        <w:rPr>
          <w:rFonts w:ascii="宋体" w:hAnsi="宋体"/>
          <w:color w:val="auto"/>
          <w:sz w:val="24"/>
          <w:szCs w:val="24"/>
          <w:highlight w:val="none"/>
        </w:rPr>
        <w:t>3</w:t>
      </w:r>
      <w:r>
        <w:rPr>
          <w:rFonts w:hint="eastAsia" w:ascii="宋体" w:hAnsi="宋体"/>
          <w:color w:val="auto"/>
          <w:sz w:val="24"/>
          <w:szCs w:val="24"/>
          <w:highlight w:val="none"/>
        </w:rPr>
        <w:t xml:space="preserve"> 评标基准价计算</w:t>
      </w:r>
    </w:p>
    <w:p w14:paraId="4A03A732">
      <w:pPr>
        <w:spacing w:line="360" w:lineRule="auto"/>
        <w:ind w:firstLine="480" w:firstLineChars="200"/>
        <w:rPr>
          <w:rFonts w:ascii="宋体" w:hAnsi="宋体"/>
          <w:strike/>
          <w:color w:val="auto"/>
          <w:sz w:val="24"/>
          <w:szCs w:val="24"/>
          <w:highlight w:val="none"/>
        </w:rPr>
      </w:pPr>
      <w:r>
        <w:rPr>
          <w:rFonts w:hint="eastAsia" w:ascii="宋体" w:hAnsi="宋体"/>
          <w:color w:val="auto"/>
          <w:sz w:val="24"/>
          <w:szCs w:val="24"/>
          <w:highlight w:val="none"/>
        </w:rPr>
        <w:t>评标基准价可按以下方式确定：</w:t>
      </w:r>
      <w:r>
        <w:rPr>
          <w:rFonts w:hint="eastAsia" w:ascii="宋体" w:hAnsi="宋体"/>
          <w:b/>
          <w:color w:val="auto"/>
          <w:sz w:val="24"/>
          <w:szCs w:val="24"/>
          <w:highlight w:val="none"/>
        </w:rPr>
        <w:t>本项目采用方式六</w:t>
      </w:r>
    </w:p>
    <w:p w14:paraId="56D456C0">
      <w:pPr>
        <w:spacing w:line="360" w:lineRule="auto"/>
        <w:ind w:firstLine="482" w:firstLineChars="200"/>
        <w:rPr>
          <w:rFonts w:ascii="宋体" w:hAnsi="宋体"/>
          <w:strike/>
          <w:color w:val="auto"/>
          <w:sz w:val="24"/>
          <w:szCs w:val="24"/>
          <w:highlight w:val="none"/>
        </w:rPr>
      </w:pPr>
      <w:r>
        <w:rPr>
          <w:rFonts w:hint="eastAsia" w:ascii="宋体" w:hAnsi="宋体"/>
          <w:b/>
          <w:strike/>
          <w:color w:val="auto"/>
          <w:sz w:val="24"/>
          <w:szCs w:val="24"/>
          <w:highlight w:val="none"/>
        </w:rPr>
        <w:t>可选方式一</w:t>
      </w:r>
      <w:r>
        <w:rPr>
          <w:rFonts w:hint="eastAsia" w:ascii="宋体" w:hAnsi="宋体"/>
          <w:strike/>
          <w:color w:val="auto"/>
          <w:sz w:val="24"/>
          <w:szCs w:val="24"/>
          <w:highlight w:val="none"/>
        </w:rPr>
        <w:t>：以全部或随机抽取的有效投标报价的算术平均值</w:t>
      </w:r>
      <w:r>
        <w:rPr>
          <w:rFonts w:hint="eastAsia"/>
          <w:strike/>
          <w:color w:val="auto"/>
          <w:sz w:val="24"/>
          <w:szCs w:val="24"/>
          <w:highlight w:val="none"/>
        </w:rPr>
        <w:t>按</w:t>
      </w:r>
      <w:r>
        <w:rPr>
          <w:rFonts w:hint="eastAsia" w:ascii="宋体" w:hAnsi="宋体"/>
          <w:strike/>
          <w:color w:val="auto"/>
          <w:sz w:val="24"/>
          <w:szCs w:val="24"/>
          <w:highlight w:val="none"/>
        </w:rPr>
        <w:t>随机抽取的评标基准价下浮率（2～5%，0.5一个级别）下浮作为评标基准价。具体确定方法如下：</w:t>
      </w:r>
    </w:p>
    <w:p w14:paraId="6FBB779C">
      <w:pPr>
        <w:spacing w:line="360" w:lineRule="auto"/>
        <w:ind w:firstLine="480" w:firstLineChars="200"/>
        <w:rPr>
          <w:rFonts w:ascii="宋体" w:hAnsi="宋体"/>
          <w:strike/>
          <w:color w:val="auto"/>
          <w:sz w:val="24"/>
          <w:szCs w:val="24"/>
          <w:highlight w:val="none"/>
        </w:rPr>
      </w:pPr>
      <w:r>
        <w:rPr>
          <w:rFonts w:ascii="宋体" w:hAnsi="宋体"/>
          <w:strike/>
          <w:color w:val="auto"/>
          <w:sz w:val="24"/>
          <w:szCs w:val="24"/>
          <w:highlight w:val="none"/>
        </w:rPr>
        <w:t>a</w:t>
      </w:r>
      <w:r>
        <w:rPr>
          <w:rFonts w:hint="eastAsia" w:ascii="宋体" w:hAnsi="宋体"/>
          <w:strike/>
          <w:color w:val="auto"/>
          <w:sz w:val="24"/>
          <w:szCs w:val="24"/>
          <w:highlight w:val="none"/>
        </w:rPr>
        <w:t>、当有效投标报价的投标人少于或等于5个时，取全部有效投标报价的算术平均</w:t>
      </w:r>
      <w:r>
        <w:rPr>
          <w:rFonts w:hint="eastAsia"/>
          <w:strike/>
          <w:color w:val="auto"/>
          <w:sz w:val="24"/>
          <w:szCs w:val="24"/>
          <w:highlight w:val="none"/>
        </w:rPr>
        <w:t>按</w:t>
      </w:r>
      <w:r>
        <w:rPr>
          <w:rFonts w:hint="eastAsia" w:ascii="宋体" w:hAnsi="宋体"/>
          <w:strike/>
          <w:color w:val="auto"/>
          <w:sz w:val="24"/>
          <w:szCs w:val="24"/>
          <w:highlight w:val="none"/>
        </w:rPr>
        <w:t>随机抽取的评标基准价下浮率（2～5%，0.5一个级别）下浮作为评标基准价。</w:t>
      </w:r>
    </w:p>
    <w:p w14:paraId="18D81DA1">
      <w:pPr>
        <w:spacing w:line="360" w:lineRule="auto"/>
        <w:ind w:firstLine="480" w:firstLineChars="200"/>
        <w:rPr>
          <w:rFonts w:ascii="宋体" w:hAnsi="宋体"/>
          <w:strike/>
          <w:color w:val="auto"/>
          <w:sz w:val="24"/>
          <w:szCs w:val="24"/>
          <w:highlight w:val="none"/>
        </w:rPr>
      </w:pPr>
      <w:r>
        <w:rPr>
          <w:rFonts w:ascii="宋体" w:hAnsi="宋体"/>
          <w:strike/>
          <w:color w:val="auto"/>
          <w:sz w:val="24"/>
          <w:szCs w:val="24"/>
          <w:highlight w:val="none"/>
        </w:rPr>
        <w:t>b</w:t>
      </w:r>
      <w:r>
        <w:rPr>
          <w:rFonts w:hint="eastAsia" w:ascii="宋体" w:hAnsi="宋体"/>
          <w:strike/>
          <w:color w:val="auto"/>
          <w:sz w:val="24"/>
          <w:szCs w:val="24"/>
          <w:highlight w:val="none"/>
        </w:rPr>
        <w:t>、当有效投标报价的投标人为6至10个时，从全部有效投标报价中去掉一个最大值和最小值，其他有效投标报价的算术平均值</w:t>
      </w:r>
      <w:r>
        <w:rPr>
          <w:rFonts w:hint="eastAsia"/>
          <w:strike/>
          <w:color w:val="auto"/>
          <w:sz w:val="24"/>
          <w:szCs w:val="24"/>
          <w:highlight w:val="none"/>
        </w:rPr>
        <w:t>按</w:t>
      </w:r>
      <w:r>
        <w:rPr>
          <w:rFonts w:hint="eastAsia" w:ascii="宋体" w:hAnsi="宋体"/>
          <w:strike/>
          <w:color w:val="auto"/>
          <w:sz w:val="24"/>
          <w:szCs w:val="24"/>
          <w:highlight w:val="none"/>
        </w:rPr>
        <w:t>随机抽取的评标基准价下浮率（2～5%，0.5一个级别）下浮作为评标基准价。</w:t>
      </w:r>
    </w:p>
    <w:p w14:paraId="4FF81FCB">
      <w:pPr>
        <w:spacing w:line="360" w:lineRule="auto"/>
        <w:ind w:firstLine="480" w:firstLineChars="200"/>
        <w:rPr>
          <w:rFonts w:ascii="宋体" w:hAnsi="宋体"/>
          <w:strike/>
          <w:color w:val="auto"/>
          <w:sz w:val="24"/>
          <w:szCs w:val="24"/>
          <w:highlight w:val="none"/>
        </w:rPr>
      </w:pPr>
      <w:r>
        <w:rPr>
          <w:rFonts w:ascii="宋体" w:hAnsi="宋体"/>
          <w:strike/>
          <w:color w:val="auto"/>
          <w:sz w:val="24"/>
          <w:szCs w:val="24"/>
          <w:highlight w:val="none"/>
        </w:rPr>
        <w:t>c</w:t>
      </w:r>
      <w:r>
        <w:rPr>
          <w:rFonts w:hint="eastAsia" w:ascii="宋体" w:hAnsi="宋体"/>
          <w:strike/>
          <w:color w:val="auto"/>
          <w:sz w:val="24"/>
          <w:szCs w:val="24"/>
          <w:highlight w:val="none"/>
        </w:rPr>
        <w:t>、当有效投标报价的投标人大于10个时，随机抽取10个有效投标报价并从中去掉一个最大值和最小值后计算算术平均值，该平均值</w:t>
      </w:r>
      <w:r>
        <w:rPr>
          <w:rFonts w:hint="eastAsia"/>
          <w:strike/>
          <w:color w:val="auto"/>
          <w:sz w:val="24"/>
          <w:szCs w:val="24"/>
          <w:highlight w:val="none"/>
        </w:rPr>
        <w:t>按</w:t>
      </w:r>
      <w:r>
        <w:rPr>
          <w:rFonts w:hint="eastAsia" w:ascii="宋体" w:hAnsi="宋体"/>
          <w:strike/>
          <w:color w:val="auto"/>
          <w:sz w:val="24"/>
          <w:szCs w:val="24"/>
          <w:highlight w:val="none"/>
        </w:rPr>
        <w:t>随机抽取的评标基准价下浮率（2～5%，0.5一个级别）下浮作为评标基准价。</w:t>
      </w:r>
    </w:p>
    <w:p w14:paraId="5B38DD71">
      <w:pPr>
        <w:spacing w:line="360" w:lineRule="auto"/>
        <w:ind w:firstLine="482" w:firstLineChars="200"/>
        <w:rPr>
          <w:rFonts w:hint="eastAsia" w:ascii="宋体" w:hAnsi="宋体" w:cs="宋体"/>
          <w:strike/>
          <w:color w:val="auto"/>
          <w:sz w:val="24"/>
          <w:szCs w:val="24"/>
          <w:highlight w:val="none"/>
        </w:rPr>
      </w:pPr>
      <w:r>
        <w:rPr>
          <w:rFonts w:hint="eastAsia" w:ascii="宋体" w:hAnsi="宋体" w:cs="宋体"/>
          <w:b/>
          <w:bCs/>
          <w:strike/>
          <w:color w:val="auto"/>
          <w:sz w:val="24"/>
          <w:szCs w:val="24"/>
          <w:highlight w:val="none"/>
        </w:rPr>
        <w:t>可选方式二：</w:t>
      </w:r>
      <w:r>
        <w:rPr>
          <w:rFonts w:hint="eastAsia" w:ascii="宋体" w:hAnsi="宋体"/>
          <w:strike/>
          <w:color w:val="auto"/>
          <w:sz w:val="24"/>
          <w:szCs w:val="24"/>
          <w:highlight w:val="none"/>
        </w:rPr>
        <w:t>以有效投标报价的算术平均值按随机抽取的评标基准价下浮率（2～5%，0.5一个级别）下浮作为评标基准价。</w:t>
      </w:r>
    </w:p>
    <w:p w14:paraId="3D72F720">
      <w:pPr>
        <w:spacing w:line="360" w:lineRule="auto"/>
        <w:ind w:firstLine="482" w:firstLineChars="200"/>
        <w:rPr>
          <w:rFonts w:hint="eastAsia" w:ascii="宋体" w:hAnsi="宋体"/>
          <w:strike/>
          <w:color w:val="auto"/>
          <w:sz w:val="24"/>
          <w:szCs w:val="24"/>
          <w:highlight w:val="none"/>
        </w:rPr>
      </w:pPr>
      <w:r>
        <w:rPr>
          <w:rFonts w:hint="eastAsia" w:ascii="宋体" w:hAnsi="宋体"/>
          <w:b/>
          <w:strike/>
          <w:color w:val="auto"/>
          <w:sz w:val="24"/>
          <w:szCs w:val="24"/>
          <w:highlight w:val="none"/>
        </w:rPr>
        <w:t>可选方式三</w:t>
      </w:r>
      <w:r>
        <w:rPr>
          <w:rFonts w:hint="eastAsia" w:ascii="宋体" w:hAnsi="宋体"/>
          <w:strike/>
          <w:color w:val="auto"/>
          <w:sz w:val="24"/>
          <w:szCs w:val="24"/>
          <w:highlight w:val="none"/>
        </w:rPr>
        <w:t>：以有效投标报价其中的最低投标报价作为评标基准价。</w:t>
      </w:r>
    </w:p>
    <w:p w14:paraId="1BD2823D">
      <w:pPr>
        <w:spacing w:line="360" w:lineRule="auto"/>
        <w:ind w:firstLine="482" w:firstLineChars="200"/>
        <w:rPr>
          <w:rFonts w:hint="eastAsia" w:ascii="宋体" w:hAnsi="宋体"/>
          <w:strike/>
          <w:color w:val="auto"/>
          <w:sz w:val="24"/>
          <w:szCs w:val="24"/>
          <w:highlight w:val="none"/>
        </w:rPr>
      </w:pPr>
      <w:r>
        <w:rPr>
          <w:rFonts w:hint="eastAsia" w:ascii="宋体" w:hAnsi="宋体"/>
          <w:b/>
          <w:strike/>
          <w:color w:val="auto"/>
          <w:sz w:val="24"/>
          <w:szCs w:val="24"/>
          <w:highlight w:val="none"/>
        </w:rPr>
        <w:t>可选方式四</w:t>
      </w:r>
      <w:r>
        <w:rPr>
          <w:rFonts w:hint="eastAsia" w:ascii="宋体" w:hAnsi="宋体"/>
          <w:strike/>
          <w:color w:val="auto"/>
          <w:sz w:val="24"/>
          <w:szCs w:val="24"/>
          <w:highlight w:val="none"/>
        </w:rPr>
        <w:t>：将技术评审或技术评审加诚信得分（具体由招标人自定）排序。</w:t>
      </w:r>
    </w:p>
    <w:p w14:paraId="1566B875">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a、当有效投标报价的投标人少于或等于7个时，取全部有效投标报价的算术平均按随机抽取的评标基准价下浮率（2～5%，0.5一个级别）下浮作为评标基准价。</w:t>
      </w:r>
    </w:p>
    <w:p w14:paraId="00920D4F">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b、当有效投标报价的投标人大于7个小于10个时，从全部有效投标报价中去掉一个最大值和最小值，其他有效投标报价的算术平均值按随机抽取的评标基准价下浮率（2～5%，0.5一个级别）下浮作为评标基准价。</w:t>
      </w:r>
    </w:p>
    <w:p w14:paraId="54D9D1B9">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c、当有效投标报价的投标人数量大于或等于10时，随机从前  名（前10-20名，具体由招标人自定）抽取  个（选7-10个，具体由招标人自定）有效投标报价并从中去掉一个最大值和最小值后计算算术平均值，该平均值按随机抽取的评标基准价下浮率（2～5%，0.5一个级别）下浮作为评标基准价。</w:t>
      </w:r>
    </w:p>
    <w:p w14:paraId="1727ACE7">
      <w:pPr>
        <w:pStyle w:val="106"/>
        <w:ind w:firstLine="480"/>
        <w:rPr>
          <w:strike/>
          <w:color w:val="auto"/>
          <w:highlight w:val="none"/>
        </w:rPr>
      </w:pPr>
      <w:r>
        <w:rPr>
          <w:rFonts w:ascii="宋体" w:hAnsi="宋体" w:eastAsia="宋体"/>
          <w:strike/>
          <w:color w:val="auto"/>
          <w:szCs w:val="24"/>
          <w:highlight w:val="none"/>
        </w:rPr>
        <w:t>技术评审或技术评审加诚信得分相同的，以诚信得分靠前的排前；技术评审得分与诚信得分均相同的投标人，由评标委员会采用记名投票方式，确定投标人的排序（具体由招标人自定）。</w:t>
      </w:r>
    </w:p>
    <w:p w14:paraId="1BF474D0">
      <w:pPr>
        <w:spacing w:line="360" w:lineRule="auto"/>
        <w:ind w:firstLine="482" w:firstLineChars="200"/>
        <w:rPr>
          <w:rFonts w:hint="eastAsia" w:ascii="宋体" w:hAnsi="宋体"/>
          <w:strike/>
          <w:color w:val="auto"/>
          <w:sz w:val="24"/>
          <w:szCs w:val="24"/>
          <w:highlight w:val="none"/>
        </w:rPr>
      </w:pPr>
      <w:r>
        <w:rPr>
          <w:rFonts w:hint="eastAsia" w:ascii="宋体" w:hAnsi="宋体"/>
          <w:b/>
          <w:strike/>
          <w:color w:val="auto"/>
          <w:sz w:val="24"/>
          <w:szCs w:val="24"/>
          <w:highlight w:val="none"/>
        </w:rPr>
        <w:t>可选方式五</w:t>
      </w:r>
      <w:r>
        <w:rPr>
          <w:rFonts w:hint="eastAsia" w:ascii="宋体" w:hAnsi="宋体"/>
          <w:strike/>
          <w:color w:val="auto"/>
          <w:sz w:val="24"/>
          <w:szCs w:val="24"/>
          <w:highlight w:val="none"/>
        </w:rPr>
        <w:t>：将技术评审或技术评审加诚信得分（具体由招标人自定）排序。</w:t>
      </w:r>
    </w:p>
    <w:p w14:paraId="5879138C">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a、当有效投标报价的投标人少于或等于7个时，取全部有效投标报价的加权平均按随机抽取的评标基准价下浮率（0～3%，0.5一个级别）下浮作为评标基准价。</w:t>
      </w:r>
    </w:p>
    <w:p w14:paraId="70F15ED9">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b、当有效投标报价的投标人大于7个小于10个时，从全部有效投标报价中去掉一个最大值和最小值，其他有效投标报价的加权平均值按随机抽取的评标基准价下浮率（0～3%，0.5一个级别）下浮作为评标基准价。</w:t>
      </w:r>
    </w:p>
    <w:p w14:paraId="21283CEA">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c、当有效投标报价的投标人数量大于或等于10时，随机从前  名（前10-20名，具体由招标人自定）抽取  个（选7-10个，具体由招标人自定）有效投标报价，从中去掉一个最大值和最小值后计算加权平均值，该平均值按随机抽取的评标基准价下浮率（0～3%，0.5一个级别）下浮作为评标基准价。</w:t>
      </w:r>
    </w:p>
    <w:p w14:paraId="66A300D1">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按上述办法确定参与计算评标参考价的投标报价后，计算评标参考价计算公式如下：</w:t>
      </w:r>
    </w:p>
    <w:p w14:paraId="4531E671">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评标参考价＝∑（投标人的投标报价*报价权重）</w:t>
      </w:r>
    </w:p>
    <w:p w14:paraId="7D2EE18F">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其中：报价权重的计算方法为：将 N 名投标人按技术评审或技术评审加诚信得分由高至低进行排序，第一名投标人的权重为（</w:t>
      </w:r>
      <w:r>
        <w:rPr>
          <w:rFonts w:ascii="宋体" w:hAnsi="宋体" w:cs="宋体"/>
          <w:strike/>
          <w:color w:val="auto"/>
          <w:sz w:val="24"/>
          <w:szCs w:val="24"/>
          <w:highlight w:val="none"/>
        </w:rPr>
        <w:drawing>
          <wp:inline distT="0" distB="0" distL="114300" distR="114300">
            <wp:extent cx="381000" cy="447675"/>
            <wp:effectExtent l="0" t="0" r="0" b="952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5"/>
                    <a:stretch>
                      <a:fillRect/>
                    </a:stretch>
                  </pic:blipFill>
                  <pic:spPr>
                    <a:xfrm>
                      <a:off x="0" y="0"/>
                      <a:ext cx="381000" cy="447675"/>
                    </a:xfrm>
                    <a:prstGeom prst="rect">
                      <a:avLst/>
                    </a:prstGeom>
                    <a:noFill/>
                    <a:ln>
                      <a:noFill/>
                    </a:ln>
                  </pic:spPr>
                </pic:pic>
              </a:graphicData>
            </a:graphic>
          </wp:inline>
        </w:drawing>
      </w:r>
      <w:r>
        <w:rPr>
          <w:rFonts w:hint="eastAsia" w:ascii="宋体" w:hAnsi="宋体"/>
          <w:strike/>
          <w:color w:val="auto"/>
          <w:sz w:val="24"/>
          <w:szCs w:val="24"/>
          <w:highlight w:val="none"/>
        </w:rPr>
        <w:t xml:space="preserve"> ），第二名投标人的权重为（</w:t>
      </w:r>
      <w:r>
        <w:rPr>
          <w:rFonts w:ascii="宋体" w:hAnsi="宋体" w:cs="宋体"/>
          <w:strike/>
          <w:color w:val="auto"/>
          <w:sz w:val="24"/>
          <w:szCs w:val="24"/>
          <w:highlight w:val="none"/>
        </w:rPr>
        <w:drawing>
          <wp:inline distT="0" distB="0" distL="114300" distR="114300">
            <wp:extent cx="323850" cy="400050"/>
            <wp:effectExtent l="0" t="0" r="6350" b="635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6"/>
                    <a:stretch>
                      <a:fillRect/>
                    </a:stretch>
                  </pic:blipFill>
                  <pic:spPr>
                    <a:xfrm>
                      <a:off x="0" y="0"/>
                      <a:ext cx="323850" cy="400050"/>
                    </a:xfrm>
                    <a:prstGeom prst="rect">
                      <a:avLst/>
                    </a:prstGeom>
                    <a:noFill/>
                    <a:ln>
                      <a:noFill/>
                    </a:ln>
                  </pic:spPr>
                </pic:pic>
              </a:graphicData>
            </a:graphic>
          </wp:inline>
        </w:drawing>
      </w:r>
      <w:r>
        <w:rPr>
          <w:rFonts w:hint="eastAsia" w:ascii="宋体" w:hAnsi="宋体"/>
          <w:strike/>
          <w:color w:val="auto"/>
          <w:sz w:val="24"/>
          <w:szCs w:val="24"/>
          <w:highlight w:val="none"/>
        </w:rPr>
        <w:t>），以此类推，最后一名投标人的权重为（</w:t>
      </w:r>
      <w:r>
        <w:rPr>
          <w:rFonts w:ascii="宋体" w:hAnsi="宋体" w:cs="宋体"/>
          <w:strike/>
          <w:color w:val="auto"/>
          <w:sz w:val="24"/>
          <w:szCs w:val="24"/>
          <w:highlight w:val="none"/>
        </w:rPr>
        <w:drawing>
          <wp:inline distT="0" distB="0" distL="114300" distR="114300">
            <wp:extent cx="323850" cy="400050"/>
            <wp:effectExtent l="0" t="0" r="6350" b="635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7"/>
                    <a:stretch>
                      <a:fillRect/>
                    </a:stretch>
                  </pic:blipFill>
                  <pic:spPr>
                    <a:xfrm>
                      <a:off x="0" y="0"/>
                      <a:ext cx="323850" cy="400050"/>
                    </a:xfrm>
                    <a:prstGeom prst="rect">
                      <a:avLst/>
                    </a:prstGeom>
                    <a:noFill/>
                    <a:ln>
                      <a:noFill/>
                    </a:ln>
                  </pic:spPr>
                </pic:pic>
              </a:graphicData>
            </a:graphic>
          </wp:inline>
        </w:drawing>
      </w:r>
      <w:r>
        <w:rPr>
          <w:rFonts w:hint="eastAsia" w:ascii="宋体" w:hAnsi="宋体"/>
          <w:strike/>
          <w:color w:val="auto"/>
          <w:sz w:val="24"/>
          <w:szCs w:val="24"/>
          <w:highlight w:val="none"/>
        </w:rPr>
        <w:t>）。</w:t>
      </w:r>
    </w:p>
    <w:p w14:paraId="77B9BC2B">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技术评审或技术评审加诚信得分相同的，以诚信得分靠前的排前；技术评审得分与诚信得分均相同的投标人，由评标委员会采用记名投票方式，确定投标人的排序（具体由招标人自定）。</w:t>
      </w:r>
    </w:p>
    <w:p w14:paraId="4A56D2B8">
      <w:pPr>
        <w:spacing w:line="360" w:lineRule="auto"/>
        <w:ind w:firstLine="482" w:firstLineChars="200"/>
        <w:rPr>
          <w:rFonts w:hint="eastAsia" w:ascii="宋体" w:hAnsi="宋体"/>
          <w:color w:val="auto"/>
          <w:sz w:val="24"/>
          <w:highlight w:val="none"/>
          <w:u w:val="single"/>
        </w:rPr>
      </w:pPr>
      <w:r>
        <w:rPr>
          <w:rFonts w:hint="eastAsia" w:ascii="宋体" w:hAnsi="宋体"/>
          <w:b/>
          <w:color w:val="auto"/>
          <w:sz w:val="24"/>
          <w:szCs w:val="24"/>
          <w:highlight w:val="none"/>
          <w:u w:val="single"/>
        </w:rPr>
        <w:t>可选方式六</w:t>
      </w:r>
      <w:r>
        <w:rPr>
          <w:rFonts w:hint="eastAsia" w:ascii="宋体" w:hAnsi="宋体"/>
          <w:color w:val="auto"/>
          <w:sz w:val="24"/>
          <w:szCs w:val="24"/>
          <w:highlight w:val="none"/>
          <w:u w:val="single"/>
        </w:rPr>
        <w:t>：（由招标人依据相关法律法规合理确定）。</w:t>
      </w:r>
    </w:p>
    <w:p w14:paraId="10FD2B8A">
      <w:pPr>
        <w:spacing w:line="360" w:lineRule="auto"/>
        <w:ind w:firstLine="480" w:firstLineChars="200"/>
        <w:rPr>
          <w:rFonts w:hint="eastAsia" w:ascii="宋体" w:hAnsi="宋体"/>
          <w:color w:val="auto"/>
          <w:sz w:val="24"/>
          <w:highlight w:val="none"/>
          <w:u w:val="single"/>
        </w:rPr>
      </w:pPr>
      <w:r>
        <w:rPr>
          <w:rFonts w:hint="eastAsia" w:ascii="宋体" w:hAnsi="宋体"/>
          <w:color w:val="auto"/>
          <w:sz w:val="24"/>
          <w:highlight w:val="none"/>
          <w:u w:val="single"/>
        </w:rPr>
        <w:t>以通过初步评审且投标报价位于【成本警示价～最高投标限价】区间的投标人的投标报价的算术平均值，并按随机抽取的评标基准价下浮率（2～5%，0.5一个级别）下浮作为评标基准价。</w:t>
      </w:r>
    </w:p>
    <w:p w14:paraId="1C134E90">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在首次评标过程中，投标人未被发现存在串通投标、弄虚作假、行贿等情形的，无论是否重评，经确定的评标基准价不变。</w:t>
      </w:r>
    </w:p>
    <w:p w14:paraId="232B7397">
      <w:pPr>
        <w:spacing w:line="360" w:lineRule="auto"/>
        <w:ind w:firstLine="480" w:firstLineChars="200"/>
        <w:rPr>
          <w:color w:val="auto"/>
          <w:sz w:val="24"/>
          <w:szCs w:val="24"/>
          <w:highlight w:val="none"/>
        </w:rPr>
      </w:pPr>
      <w:r>
        <w:rPr>
          <w:rFonts w:ascii="宋体" w:hAnsi="宋体"/>
          <w:color w:val="auto"/>
          <w:sz w:val="24"/>
          <w:highlight w:val="none"/>
        </w:rPr>
        <w:t>2.2.4</w:t>
      </w:r>
      <w:r>
        <w:rPr>
          <w:rFonts w:hint="eastAsia"/>
          <w:color w:val="auto"/>
          <w:sz w:val="24"/>
          <w:szCs w:val="24"/>
          <w:highlight w:val="none"/>
        </w:rPr>
        <w:t>投标报价偏差率计算</w:t>
      </w:r>
    </w:p>
    <w:p w14:paraId="5F02F42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投标报价的偏差率计算公式：见评标办法前附表；</w:t>
      </w:r>
    </w:p>
    <w:p w14:paraId="13FB11DC">
      <w:pPr>
        <w:spacing w:line="360" w:lineRule="auto"/>
        <w:ind w:firstLine="480" w:firstLineChars="200"/>
        <w:rPr>
          <w:rFonts w:ascii="宋体" w:hAnsi="宋体"/>
          <w:color w:val="auto"/>
          <w:sz w:val="24"/>
          <w:highlight w:val="none"/>
        </w:rPr>
      </w:pPr>
      <w:r>
        <w:rPr>
          <w:rFonts w:ascii="宋体" w:hAnsi="宋体"/>
          <w:color w:val="auto"/>
          <w:sz w:val="24"/>
          <w:highlight w:val="none"/>
        </w:rPr>
        <w:t>2.2.5</w:t>
      </w:r>
      <w:r>
        <w:rPr>
          <w:rFonts w:hint="eastAsia" w:ascii="宋体" w:hAnsi="宋体"/>
          <w:color w:val="auto"/>
          <w:sz w:val="24"/>
          <w:highlight w:val="none"/>
        </w:rPr>
        <w:t>评标标准</w:t>
      </w:r>
    </w:p>
    <w:p w14:paraId="74E1E76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（1）技术部分评分标准：见评标办法前附表；</w:t>
      </w:r>
    </w:p>
    <w:p w14:paraId="13E69289">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（2）商务部分评分标准：见评标办法前附表；</w:t>
      </w:r>
    </w:p>
    <w:p w14:paraId="1E7C2003">
      <w:pPr>
        <w:spacing w:line="360" w:lineRule="auto"/>
        <w:ind w:firstLine="480" w:firstLineChars="200"/>
        <w:jc w:val="left"/>
        <w:rPr>
          <w:rFonts w:ascii="宋体" w:hAnsi="宋体"/>
          <w:color w:val="auto"/>
          <w:sz w:val="24"/>
          <w:szCs w:val="24"/>
          <w:highlight w:val="none"/>
        </w:rPr>
      </w:pPr>
      <w:r>
        <w:rPr>
          <w:rFonts w:hint="eastAsia" w:ascii="宋体" w:hAnsi="宋体"/>
          <w:color w:val="auto"/>
          <w:sz w:val="24"/>
          <w:highlight w:val="none"/>
        </w:rPr>
        <w:t>（3）投标报价评分标准：见评标办法前附表。</w:t>
      </w:r>
    </w:p>
    <w:p w14:paraId="3C1F0C7E">
      <w:pPr>
        <w:pStyle w:val="3"/>
        <w:rPr>
          <w:color w:val="auto"/>
          <w:highlight w:val="none"/>
        </w:rPr>
      </w:pPr>
      <w:bookmarkStart w:id="220" w:name="_Toc180758563"/>
      <w:bookmarkStart w:id="221" w:name="_Toc21418"/>
      <w:bookmarkStart w:id="222" w:name="_Toc21787694"/>
      <w:r>
        <w:rPr>
          <w:rFonts w:hint="eastAsia"/>
          <w:color w:val="auto"/>
          <w:highlight w:val="none"/>
        </w:rPr>
        <w:t>评标程序</w:t>
      </w:r>
      <w:bookmarkEnd w:id="220"/>
      <w:bookmarkEnd w:id="221"/>
      <w:bookmarkEnd w:id="222"/>
    </w:p>
    <w:p w14:paraId="1D08847C">
      <w:pPr>
        <w:numPr>
          <w:ilvl w:val="1"/>
          <w:numId w:val="20"/>
        </w:numPr>
        <w:spacing w:line="360" w:lineRule="auto"/>
        <w:outlineLvl w:val="2"/>
        <w:rPr>
          <w:rFonts w:ascii="黑体" w:hAnsi="黑体" w:eastAsia="黑体"/>
          <w:b/>
          <w:color w:val="auto"/>
          <w:sz w:val="28"/>
          <w:szCs w:val="28"/>
          <w:highlight w:val="none"/>
        </w:rPr>
      </w:pPr>
      <w:bookmarkStart w:id="223" w:name="_Toc180758564"/>
      <w:bookmarkStart w:id="224" w:name="_Toc21787695"/>
      <w:bookmarkStart w:id="225" w:name="_Toc21320"/>
      <w:r>
        <w:rPr>
          <w:rFonts w:hint="eastAsia" w:ascii="黑体" w:hAnsi="黑体" w:eastAsia="黑体"/>
          <w:b/>
          <w:color w:val="auto"/>
          <w:sz w:val="28"/>
          <w:szCs w:val="28"/>
          <w:highlight w:val="none"/>
        </w:rPr>
        <w:t>初步评审</w:t>
      </w:r>
      <w:bookmarkEnd w:id="223"/>
      <w:bookmarkEnd w:id="224"/>
      <w:bookmarkEnd w:id="225"/>
    </w:p>
    <w:p w14:paraId="5664A16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3.1.1 评标委员会依据本章第2.1节规定的标准对投标文件进行初步评审。有一项不符合评审标准的，评标委员会应当否决其投标。</w:t>
      </w:r>
    </w:p>
    <w:p w14:paraId="2CB4005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3.1.2 投标人有以下情形之一的，评标委员会应当否决其投标：</w:t>
      </w:r>
    </w:p>
    <w:p w14:paraId="785A6DB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（1）第二章“投标人须知”第1.4.3项规定的任何一种情形的；</w:t>
      </w:r>
    </w:p>
    <w:p w14:paraId="5FDEC10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（2）串通投标或弄虚作假或有其他违法行为的；</w:t>
      </w:r>
    </w:p>
    <w:p w14:paraId="4D5FB07C">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（3）不按评标委员会要求澄清、说明或补正的。</w:t>
      </w:r>
    </w:p>
    <w:p w14:paraId="7619019B">
      <w:pPr>
        <w:pStyle w:val="16"/>
        <w:tabs>
          <w:tab w:val="left" w:pos="1343"/>
          <w:tab w:val="left" w:pos="2697"/>
          <w:tab w:val="left" w:pos="3264"/>
          <w:tab w:val="left" w:pos="4896"/>
          <w:tab w:val="left" w:pos="6005"/>
          <w:tab w:val="left" w:pos="7085"/>
          <w:tab w:val="left" w:pos="7498"/>
        </w:tabs>
        <w:kinsoku w:val="0"/>
        <w:overflowPunct w:val="0"/>
        <w:spacing w:line="351" w:lineRule="auto"/>
        <w:ind w:firstLine="480" w:firstLineChars="200"/>
        <w:rPr>
          <w:rFonts w:hint="eastAsia"/>
          <w:color w:val="auto"/>
          <w:sz w:val="24"/>
          <w:szCs w:val="24"/>
          <w:highlight w:val="none"/>
        </w:rPr>
      </w:pPr>
      <w:r>
        <w:rPr>
          <w:rFonts w:hint="eastAsia"/>
          <w:color w:val="auto"/>
          <w:sz w:val="24"/>
          <w:szCs w:val="24"/>
          <w:highlight w:val="none"/>
        </w:rPr>
        <w:t>（4）</w:t>
      </w:r>
      <w:r>
        <w:rPr>
          <w:rFonts w:hint="eastAsia" w:ascii="宋体" w:hAnsi="宋体"/>
          <w:color w:val="auto"/>
          <w:sz w:val="24"/>
          <w:szCs w:val="24"/>
          <w:highlight w:val="none"/>
        </w:rPr>
        <w:t>两个（含两个）以上</w:t>
      </w:r>
      <w:r>
        <w:rPr>
          <w:rFonts w:hint="eastAsia" w:ascii="宋体" w:hAnsi="宋体" w:eastAsia="Times New Roman"/>
          <w:color w:val="auto"/>
          <w:sz w:val="24"/>
          <w:szCs w:val="24"/>
          <w:highlight w:val="none"/>
        </w:rPr>
        <w:t>投标人加密打包投标文件</w:t>
      </w:r>
      <w:r>
        <w:rPr>
          <w:rFonts w:hint="eastAsia" w:ascii="宋体" w:hAnsi="宋体"/>
          <w:color w:val="auto"/>
          <w:sz w:val="24"/>
          <w:szCs w:val="24"/>
          <w:highlight w:val="none"/>
        </w:rPr>
        <w:t>工程量清单编制</w:t>
      </w:r>
      <w:r>
        <w:rPr>
          <w:rFonts w:hint="eastAsia" w:ascii="宋体" w:hAnsi="宋体" w:eastAsia="Times New Roman"/>
          <w:color w:val="auto"/>
          <w:sz w:val="24"/>
          <w:szCs w:val="24"/>
          <w:highlight w:val="none"/>
        </w:rPr>
        <w:t>机器</w:t>
      </w:r>
      <w:r>
        <w:rPr>
          <w:rFonts w:hint="eastAsia" w:ascii="宋体" w:hAnsi="宋体"/>
          <w:color w:val="auto"/>
          <w:sz w:val="24"/>
          <w:szCs w:val="24"/>
          <w:highlight w:val="none"/>
        </w:rPr>
        <w:t>硬件信息</w:t>
      </w:r>
      <w:r>
        <w:rPr>
          <w:rFonts w:hint="eastAsia" w:ascii="宋体" w:hAnsi="宋体" w:eastAsia="Times New Roman"/>
          <w:color w:val="auto"/>
          <w:sz w:val="24"/>
          <w:szCs w:val="24"/>
          <w:highlight w:val="none"/>
        </w:rPr>
        <w:t>一致的</w:t>
      </w:r>
      <w:r>
        <w:rPr>
          <w:rFonts w:hint="eastAsia"/>
          <w:color w:val="auto"/>
          <w:sz w:val="24"/>
          <w:szCs w:val="24"/>
          <w:highlight w:val="none"/>
        </w:rPr>
        <w:t>。</w:t>
      </w:r>
    </w:p>
    <w:p w14:paraId="3D53C1C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3.1.3投标报价有算术错误的，评标</w:t>
      </w:r>
      <w:bookmarkStart w:id="226" w:name="_Toc152042381"/>
      <w:bookmarkStart w:id="227" w:name="_Toc179632622"/>
      <w:bookmarkStart w:id="228" w:name="_Toc144974571"/>
      <w:bookmarkStart w:id="229" w:name="_Toc152045604"/>
      <w:r>
        <w:rPr>
          <w:rFonts w:hint="eastAsia" w:ascii="宋体" w:hAnsi="宋体"/>
          <w:color w:val="auto"/>
          <w:sz w:val="24"/>
          <w:szCs w:val="24"/>
          <w:highlight w:val="none"/>
        </w:rPr>
        <w:t>委员会按以下原</w:t>
      </w:r>
      <w:bookmarkEnd w:id="226"/>
      <w:bookmarkEnd w:id="227"/>
      <w:bookmarkEnd w:id="228"/>
      <w:bookmarkEnd w:id="229"/>
      <w:r>
        <w:rPr>
          <w:rFonts w:hint="eastAsia" w:ascii="宋体" w:hAnsi="宋体"/>
          <w:color w:val="auto"/>
          <w:sz w:val="24"/>
          <w:szCs w:val="24"/>
          <w:highlight w:val="none"/>
        </w:rPr>
        <w:t>则</w:t>
      </w:r>
      <w:bookmarkStart w:id="230" w:name="_Toc144974572"/>
      <w:bookmarkStart w:id="231" w:name="_Toc152045605"/>
      <w:bookmarkStart w:id="232" w:name="_Toc179632623"/>
      <w:bookmarkStart w:id="233" w:name="_Toc152042382"/>
      <w:r>
        <w:rPr>
          <w:rFonts w:hint="eastAsia" w:ascii="宋体" w:hAnsi="宋体"/>
          <w:color w:val="auto"/>
          <w:sz w:val="24"/>
          <w:szCs w:val="24"/>
          <w:highlight w:val="none"/>
        </w:rPr>
        <w:t>对投标报价进行修</w:t>
      </w:r>
      <w:bookmarkEnd w:id="230"/>
      <w:bookmarkEnd w:id="231"/>
      <w:bookmarkEnd w:id="232"/>
      <w:bookmarkEnd w:id="233"/>
      <w:r>
        <w:rPr>
          <w:rFonts w:hint="eastAsia" w:ascii="宋体" w:hAnsi="宋体"/>
          <w:color w:val="auto"/>
          <w:sz w:val="24"/>
          <w:szCs w:val="24"/>
          <w:highlight w:val="none"/>
        </w:rPr>
        <w:t>正，修正的价格经投标人书面确认后具有约束力。投标人不接受修正价格的，其投标作否决投标处理。如评标委员会成员的评审意见不一致时，以评标委员会过半数成员的意见作为评标委员会对该情形的认定结论。</w:t>
      </w:r>
    </w:p>
    <w:p w14:paraId="1F26232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（1）投标文件中的大写金额与小写金额不一致的，以大写金额为准。</w:t>
      </w:r>
    </w:p>
    <w:p w14:paraId="7CC75FD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（2）总价金额与依据单价计算出的结果不一致的，以单价金额为准修正总价，但单价金额小数点有明显错误的除外。</w:t>
      </w:r>
    </w:p>
    <w:p w14:paraId="7D05A5D6">
      <w:pPr>
        <w:numPr>
          <w:ilvl w:val="1"/>
          <w:numId w:val="20"/>
        </w:numPr>
        <w:spacing w:line="360" w:lineRule="auto"/>
        <w:outlineLvl w:val="2"/>
        <w:rPr>
          <w:rFonts w:ascii="黑体" w:hAnsi="黑体" w:eastAsia="黑体"/>
          <w:b/>
          <w:color w:val="auto"/>
          <w:sz w:val="28"/>
          <w:szCs w:val="28"/>
          <w:highlight w:val="none"/>
        </w:rPr>
      </w:pPr>
      <w:bookmarkStart w:id="234" w:name="_Toc180758565"/>
      <w:bookmarkStart w:id="235" w:name="_Toc21787696"/>
      <w:bookmarkStart w:id="236" w:name="_Toc5639"/>
      <w:r>
        <w:rPr>
          <w:rFonts w:hint="eastAsia" w:ascii="黑体" w:hAnsi="黑体" w:eastAsia="黑体"/>
          <w:b/>
          <w:color w:val="auto"/>
          <w:sz w:val="28"/>
          <w:szCs w:val="28"/>
          <w:highlight w:val="none"/>
        </w:rPr>
        <w:t>详细评审</w:t>
      </w:r>
      <w:bookmarkEnd w:id="234"/>
      <w:bookmarkEnd w:id="235"/>
      <w:bookmarkEnd w:id="236"/>
    </w:p>
    <w:p w14:paraId="052ED36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3.2.1通过初步评审的投标人全部进入详细评审。</w:t>
      </w:r>
    </w:p>
    <w:p w14:paraId="0B658D7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3.2.2评标委员会按本章第2.2款规定的量化因素和分值进行打分，并计算出综合评估得分。</w:t>
      </w:r>
    </w:p>
    <w:p w14:paraId="41A8233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（1）按本章第2.2.5（1）目规定的评审因素和分值对技术部分计算出得分，</w:t>
      </w:r>
      <w:r>
        <w:rPr>
          <w:rFonts w:hint="eastAsia" w:ascii="宋体" w:hAnsi="宋体"/>
          <w:color w:val="auto"/>
          <w:sz w:val="24"/>
          <w:szCs w:val="24"/>
          <w:highlight w:val="none"/>
          <w:u w:val="single"/>
        </w:rPr>
        <w:fldChar w:fldCharType="begin"/>
      </w:r>
      <w:r>
        <w:rPr>
          <w:rFonts w:hint="eastAsia" w:ascii="宋体" w:hAnsi="宋体"/>
          <w:color w:val="auto"/>
          <w:sz w:val="24"/>
          <w:szCs w:val="24"/>
          <w:highlight w:val="none"/>
          <w:u w:val="single"/>
        </w:rPr>
        <w:instrText xml:space="preserve"> = 1 \* GB3 \* MERGEFORMAT </w:instrText>
      </w:r>
      <w:r>
        <w:rPr>
          <w:rFonts w:hint="eastAsia" w:ascii="宋体" w:hAnsi="宋体"/>
          <w:color w:val="auto"/>
          <w:sz w:val="24"/>
          <w:szCs w:val="24"/>
          <w:highlight w:val="none"/>
          <w:u w:val="single"/>
        </w:rPr>
        <w:fldChar w:fldCharType="separate"/>
      </w:r>
      <w:r>
        <w:rPr>
          <w:color w:val="auto"/>
          <w:sz w:val="24"/>
          <w:szCs w:val="24"/>
          <w:highlight w:val="none"/>
          <w:u w:val="single"/>
        </w:rPr>
        <w:t>①</w:t>
      </w:r>
      <w:r>
        <w:rPr>
          <w:rFonts w:hint="eastAsia" w:ascii="宋体" w:hAnsi="宋体"/>
          <w:color w:val="auto"/>
          <w:sz w:val="24"/>
          <w:szCs w:val="24"/>
          <w:highlight w:val="none"/>
          <w:u w:val="single"/>
        </w:rPr>
        <w:fldChar w:fldCharType="end"/>
      </w:r>
      <w:r>
        <w:rPr>
          <w:rFonts w:hint="eastAsia" w:ascii="宋体" w:hAnsi="宋体"/>
          <w:color w:val="auto"/>
          <w:sz w:val="24"/>
          <w:szCs w:val="24"/>
          <w:highlight w:val="none"/>
          <w:u w:val="single"/>
        </w:rPr>
        <w:t>技术部分</w:t>
      </w:r>
      <w:r>
        <w:rPr>
          <w:rFonts w:hint="eastAsia"/>
          <w:color w:val="auto"/>
          <w:sz w:val="24"/>
          <w:szCs w:val="24"/>
          <w:highlight w:val="none"/>
          <w:u w:val="single"/>
        </w:rPr>
        <w:t>评审得分</w:t>
      </w:r>
      <w:r>
        <w:rPr>
          <w:rFonts w:hint="eastAsia" w:ascii="宋体" w:hAnsi="宋体"/>
          <w:color w:val="auto"/>
          <w:sz w:val="24"/>
          <w:szCs w:val="24"/>
          <w:highlight w:val="none"/>
          <w:u w:val="single"/>
        </w:rPr>
        <w:t>A</w:t>
      </w:r>
      <w:r>
        <w:rPr>
          <w:rFonts w:hint="eastAsia"/>
          <w:color w:val="auto"/>
          <w:sz w:val="24"/>
          <w:szCs w:val="24"/>
          <w:highlight w:val="none"/>
          <w:u w:val="single"/>
        </w:rPr>
        <w:t>为从各评标专家打分中去掉一个最高分和去掉一个最低分后的剩余评标专家打分的算术平均值</w:t>
      </w:r>
      <w:r>
        <w:rPr>
          <w:rFonts w:hint="eastAsia"/>
          <w:strike/>
          <w:color w:val="auto"/>
          <w:sz w:val="24"/>
          <w:szCs w:val="24"/>
          <w:highlight w:val="none"/>
          <w:u w:val="single"/>
        </w:rPr>
        <w:t>或</w:t>
      </w:r>
      <w:r>
        <w:rPr>
          <w:rFonts w:hint="eastAsia"/>
          <w:strike/>
          <w:color w:val="auto"/>
          <w:sz w:val="24"/>
          <w:szCs w:val="24"/>
          <w:highlight w:val="none"/>
          <w:u w:val="single"/>
        </w:rPr>
        <w:fldChar w:fldCharType="begin"/>
      </w:r>
      <w:r>
        <w:rPr>
          <w:rFonts w:hint="eastAsia"/>
          <w:strike/>
          <w:color w:val="auto"/>
          <w:sz w:val="24"/>
          <w:szCs w:val="24"/>
          <w:highlight w:val="none"/>
          <w:u w:val="single"/>
        </w:rPr>
        <w:instrText xml:space="preserve"> = 2 \* GB3 \* MERGEFORMAT </w:instrText>
      </w:r>
      <w:r>
        <w:rPr>
          <w:rFonts w:hint="eastAsia"/>
          <w:strike/>
          <w:color w:val="auto"/>
          <w:sz w:val="24"/>
          <w:szCs w:val="24"/>
          <w:highlight w:val="none"/>
          <w:u w:val="single"/>
        </w:rPr>
        <w:fldChar w:fldCharType="separate"/>
      </w:r>
      <w:r>
        <w:rPr>
          <w:strike/>
          <w:color w:val="auto"/>
          <w:sz w:val="24"/>
          <w:szCs w:val="24"/>
          <w:highlight w:val="none"/>
          <w:u w:val="single"/>
        </w:rPr>
        <w:t>②</w:t>
      </w:r>
      <w:r>
        <w:rPr>
          <w:rFonts w:hint="eastAsia"/>
          <w:strike/>
          <w:color w:val="auto"/>
          <w:sz w:val="24"/>
          <w:szCs w:val="24"/>
          <w:highlight w:val="none"/>
          <w:u w:val="single"/>
        </w:rPr>
        <w:fldChar w:fldCharType="end"/>
      </w:r>
      <w:r>
        <w:rPr>
          <w:rFonts w:hint="eastAsia" w:ascii="宋体" w:hAnsi="宋体"/>
          <w:strike/>
          <w:color w:val="auto"/>
          <w:sz w:val="24"/>
          <w:szCs w:val="24"/>
          <w:highlight w:val="none"/>
          <w:u w:val="single"/>
        </w:rPr>
        <w:t>技术部分</w:t>
      </w:r>
      <w:r>
        <w:rPr>
          <w:rFonts w:hint="eastAsia"/>
          <w:strike/>
          <w:color w:val="auto"/>
          <w:sz w:val="24"/>
          <w:szCs w:val="24"/>
          <w:highlight w:val="none"/>
          <w:u w:val="single"/>
        </w:rPr>
        <w:t>评审得分</w:t>
      </w:r>
      <w:r>
        <w:rPr>
          <w:rFonts w:hint="eastAsia" w:ascii="宋体" w:hAnsi="宋体"/>
          <w:strike/>
          <w:color w:val="auto"/>
          <w:sz w:val="24"/>
          <w:szCs w:val="24"/>
          <w:highlight w:val="none"/>
          <w:u w:val="single"/>
        </w:rPr>
        <w:t>A</w:t>
      </w:r>
      <w:r>
        <w:rPr>
          <w:rFonts w:hint="eastAsia"/>
          <w:strike/>
          <w:color w:val="auto"/>
          <w:sz w:val="24"/>
          <w:szCs w:val="24"/>
          <w:highlight w:val="none"/>
          <w:u w:val="single"/>
        </w:rPr>
        <w:t>为各评标专家打分的算术平均值</w:t>
      </w:r>
      <w:r>
        <w:rPr>
          <w:rFonts w:hint="eastAsia" w:ascii="仿宋" w:hAnsi="仿宋" w:eastAsia="仿宋" w:cs="仿宋"/>
          <w:i/>
          <w:iCs/>
          <w:strike/>
          <w:color w:val="auto"/>
          <w:sz w:val="24"/>
          <w:szCs w:val="24"/>
          <w:highlight w:val="none"/>
          <w:u w:val="single"/>
        </w:rPr>
        <w:t>（二选一，招标人自行选择）</w:t>
      </w:r>
      <w:r>
        <w:rPr>
          <w:rFonts w:hint="eastAsia" w:ascii="宋体" w:hAnsi="宋体"/>
          <w:color w:val="auto"/>
          <w:sz w:val="24"/>
          <w:szCs w:val="24"/>
          <w:highlight w:val="none"/>
        </w:rPr>
        <w:t>；</w:t>
      </w:r>
    </w:p>
    <w:p w14:paraId="754A0B1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（2）按本章第2.2.5（2）目规定的评审因素和分值对商务部分计算出得分，</w:t>
      </w:r>
      <w:r>
        <w:rPr>
          <w:rFonts w:hint="eastAsia" w:ascii="宋体" w:hAnsi="宋体"/>
          <w:color w:val="auto"/>
          <w:sz w:val="24"/>
          <w:szCs w:val="24"/>
          <w:highlight w:val="none"/>
          <w:u w:val="single"/>
        </w:rPr>
        <w:t>商务部分评审得分B</w:t>
      </w:r>
      <w:r>
        <w:rPr>
          <w:rFonts w:hint="eastAsia"/>
          <w:color w:val="auto"/>
          <w:sz w:val="24"/>
          <w:szCs w:val="24"/>
          <w:highlight w:val="none"/>
          <w:u w:val="single"/>
        </w:rPr>
        <w:t>为从各评标专家打分中去掉一个最高分和去掉一个最低分后的剩余评标专家打分的算术平均值</w:t>
      </w:r>
      <w:r>
        <w:rPr>
          <w:rFonts w:hint="eastAsia" w:ascii="宋体" w:hAnsi="宋体"/>
          <w:color w:val="auto"/>
          <w:sz w:val="24"/>
          <w:szCs w:val="24"/>
          <w:highlight w:val="none"/>
        </w:rPr>
        <w:t>；</w:t>
      </w:r>
    </w:p>
    <w:p w14:paraId="66ABB2E5">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（3）按本章第2.2.5（3）目规定的评审因素和分值对投标报价计算出得分C。</w:t>
      </w:r>
    </w:p>
    <w:p w14:paraId="5C610B6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3.2.2 评分分值计算保留小数点后两位，小数点后第三位“四舍五入”</w:t>
      </w:r>
      <w:bookmarkStart w:id="237" w:name="_Toc152042384"/>
      <w:bookmarkStart w:id="238" w:name="_Toc179632624"/>
      <w:bookmarkStart w:id="239" w:name="_Toc152045606"/>
      <w:bookmarkStart w:id="240" w:name="_Toc144974573"/>
      <w:r>
        <w:rPr>
          <w:rFonts w:hint="eastAsia" w:ascii="宋体" w:hAnsi="宋体"/>
          <w:color w:val="auto"/>
          <w:sz w:val="24"/>
          <w:highlight w:val="none"/>
        </w:rPr>
        <w:t>。</w:t>
      </w:r>
    </w:p>
    <w:p w14:paraId="1A84E50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3.2.3</w:t>
      </w:r>
      <w:bookmarkEnd w:id="237"/>
      <w:bookmarkEnd w:id="238"/>
      <w:bookmarkEnd w:id="239"/>
      <w:bookmarkEnd w:id="240"/>
      <w:r>
        <w:rPr>
          <w:rFonts w:hint="eastAsia" w:ascii="宋体" w:hAnsi="宋体"/>
          <w:color w:val="auto"/>
          <w:sz w:val="24"/>
          <w:highlight w:val="none"/>
          <w:u w:val="single"/>
        </w:rPr>
        <w:t>投标人的得分为技术部分得分、商务部分得分、投标报价得分之和。评标委员会应按照得分从高至低的顺序，确定得分前三名的投标人为第一中标候选人、第二中标候选人和第三中标候选人。计分采用百分制，得分计算方法：评标总得分=技术部分得分（A）×得分权重+商务部分得分（B）×得分权重+投标报价得分(C)×得分权重。</w:t>
      </w:r>
    </w:p>
    <w:p w14:paraId="096799F2">
      <w:pPr>
        <w:numPr>
          <w:ilvl w:val="1"/>
          <w:numId w:val="20"/>
        </w:numPr>
        <w:spacing w:line="360" w:lineRule="auto"/>
        <w:outlineLvl w:val="2"/>
        <w:rPr>
          <w:rFonts w:ascii="黑体" w:hAnsi="黑体" w:eastAsia="黑体"/>
          <w:b/>
          <w:color w:val="auto"/>
          <w:sz w:val="28"/>
          <w:szCs w:val="28"/>
          <w:highlight w:val="none"/>
        </w:rPr>
      </w:pPr>
      <w:bookmarkStart w:id="241" w:name="_Toc17523"/>
      <w:bookmarkStart w:id="242" w:name="_Toc21787697"/>
      <w:bookmarkStart w:id="243" w:name="_Toc180758566"/>
      <w:r>
        <w:rPr>
          <w:rFonts w:hint="eastAsia" w:ascii="黑体" w:hAnsi="黑体" w:eastAsia="黑体"/>
          <w:b/>
          <w:color w:val="auto"/>
          <w:sz w:val="28"/>
          <w:szCs w:val="28"/>
          <w:highlight w:val="none"/>
        </w:rPr>
        <w:t>投标文件的澄清和补正</w:t>
      </w:r>
      <w:bookmarkEnd w:id="241"/>
      <w:bookmarkEnd w:id="242"/>
      <w:bookmarkEnd w:id="243"/>
    </w:p>
    <w:p w14:paraId="31B7275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3.3.1为有助于投标文件的审查、评价和比较，在评标过程中，经评标委员会中两人以上（含两人）以书面形式提出动议，评标委员会应当书面发出澄清通知，要求投标人对投标文件含义不明确的内容作出澄清或说明，或者对细微偏差进行补正。评标委员会不接受投标人主动提出的澄清、说明或补正。</w:t>
      </w:r>
    </w:p>
    <w:p w14:paraId="4257CB0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3.3.2 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评审的依据。</w:t>
      </w:r>
    </w:p>
    <w:p w14:paraId="23B7DD4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评标委员会对投标人提交的澄清、说明或补正有疑问的，可以要求投标人进一步澄清、说明或补正，直至满足评标委员会的要求。</w:t>
      </w:r>
    </w:p>
    <w:p w14:paraId="1D0F253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3.3.3 评标委员会均应当阅读投标人的澄清，但应独立参考澄清对投标文件进行评审。</w:t>
      </w:r>
    </w:p>
    <w:p w14:paraId="0A7CCF8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3.3.4如果投标文件实质上不响应招标文件的各项要求，评标委员会将按照符合性审查标准予以拒绝，不接受投标人通过修改或撤销其不符合要求的差异或保留，使之成为具有响应性的投标。</w:t>
      </w:r>
    </w:p>
    <w:p w14:paraId="78522D9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3.3.5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14:paraId="460B26BE">
      <w:pPr>
        <w:numPr>
          <w:ilvl w:val="1"/>
          <w:numId w:val="20"/>
        </w:numPr>
        <w:spacing w:line="360" w:lineRule="auto"/>
        <w:outlineLvl w:val="2"/>
        <w:rPr>
          <w:rFonts w:ascii="黑体" w:hAnsi="黑体" w:eastAsia="黑体"/>
          <w:b/>
          <w:color w:val="auto"/>
          <w:sz w:val="28"/>
          <w:szCs w:val="28"/>
          <w:highlight w:val="none"/>
        </w:rPr>
      </w:pPr>
      <w:bookmarkStart w:id="244" w:name="_Toc180758567"/>
      <w:bookmarkStart w:id="245" w:name="_Toc25318"/>
      <w:bookmarkStart w:id="246" w:name="_Toc21787698"/>
      <w:r>
        <w:rPr>
          <w:rFonts w:hint="eastAsia" w:ascii="黑体" w:hAnsi="黑体" w:eastAsia="黑体"/>
          <w:b/>
          <w:color w:val="auto"/>
          <w:sz w:val="28"/>
          <w:szCs w:val="28"/>
          <w:highlight w:val="none"/>
        </w:rPr>
        <w:t>评标过程应急预案</w:t>
      </w:r>
      <w:bookmarkEnd w:id="244"/>
      <w:bookmarkEnd w:id="245"/>
      <w:bookmarkEnd w:id="246"/>
    </w:p>
    <w:p w14:paraId="734B4369">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3.4.1在评标过程中，当全流程电子化招投标系统发生评审故障时，若当天可解除评审故障，则继续采用电子化系统评标；若当天无法解除评审故障，则评标委员会依据电子投标文件对未完成的评标活动采用手动评审（开启投标人递交的投标文件备用光盘，并按光盘内容进行评审），提交包含已完成电子评审成果在内的纸质评标报告。评审故障情况评估以广州交易集团有限公司（广州公共资源交易中心）交易平台的认定为准。当交易平台的系统维护人员在评标室告知评标委员会当天无法解除评审故障后，评标委员会即可对未完成的评标活动启动手动评审（开启投标人递交的投标文件备用光盘，并按光盘内容进行评审）。</w:t>
      </w:r>
    </w:p>
    <w:p w14:paraId="49442C6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3.4.2</w:t>
      </w:r>
      <w:r>
        <w:rPr>
          <w:rFonts w:ascii="宋体" w:hAnsi="宋体"/>
          <w:color w:val="auto"/>
          <w:sz w:val="24"/>
          <w:highlight w:val="none"/>
        </w:rPr>
        <w:t>在电子评标过程中，无论遇到任何系统异常或故障，评标委员会均应出具评标报告。</w:t>
      </w:r>
    </w:p>
    <w:p w14:paraId="4E9AD2C9">
      <w:pPr>
        <w:numPr>
          <w:ilvl w:val="1"/>
          <w:numId w:val="20"/>
        </w:numPr>
        <w:spacing w:line="360" w:lineRule="auto"/>
        <w:outlineLvl w:val="2"/>
        <w:rPr>
          <w:rFonts w:ascii="黑体" w:hAnsi="黑体" w:eastAsia="黑体"/>
          <w:b/>
          <w:color w:val="auto"/>
          <w:sz w:val="28"/>
          <w:szCs w:val="28"/>
          <w:highlight w:val="none"/>
        </w:rPr>
      </w:pPr>
      <w:bookmarkStart w:id="247" w:name="_Toc21787699"/>
      <w:bookmarkStart w:id="248" w:name="_Toc8531"/>
      <w:bookmarkStart w:id="249" w:name="_Toc180758568"/>
      <w:r>
        <w:rPr>
          <w:rFonts w:hint="eastAsia" w:ascii="黑体" w:hAnsi="黑体" w:eastAsia="黑体"/>
          <w:b/>
          <w:color w:val="auto"/>
          <w:sz w:val="28"/>
          <w:szCs w:val="28"/>
          <w:highlight w:val="none"/>
        </w:rPr>
        <w:t>评标结</w:t>
      </w:r>
      <w:bookmarkStart w:id="250" w:name="_Toc144974575"/>
      <w:bookmarkStart w:id="251" w:name="_Toc152042385"/>
      <w:bookmarkStart w:id="252" w:name="_Toc179632625"/>
      <w:bookmarkStart w:id="253" w:name="_Toc152045607"/>
      <w:r>
        <w:rPr>
          <w:rFonts w:hint="eastAsia" w:ascii="黑体" w:hAnsi="黑体" w:eastAsia="黑体"/>
          <w:b/>
          <w:color w:val="auto"/>
          <w:sz w:val="28"/>
          <w:szCs w:val="28"/>
          <w:highlight w:val="none"/>
        </w:rPr>
        <w:t>果</w:t>
      </w:r>
      <w:bookmarkEnd w:id="247"/>
      <w:bookmarkEnd w:id="248"/>
      <w:bookmarkEnd w:id="249"/>
    </w:p>
    <w:p w14:paraId="34AC8B1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3.5.1</w:t>
      </w:r>
      <w:r>
        <w:rPr>
          <w:rFonts w:ascii="宋体" w:hAnsi="宋体"/>
          <w:color w:val="auto"/>
          <w:sz w:val="24"/>
          <w:highlight w:val="none"/>
        </w:rPr>
        <w:t>评标委员会依据本章第2.2条评分标准进行评分，按评标办法前附表的约定计算投标人综合得分，根据得分由高到低的顺序推荐3名中标候选人，并标明推荐顺序。</w:t>
      </w:r>
      <w:bookmarkEnd w:id="250"/>
      <w:bookmarkEnd w:id="251"/>
      <w:bookmarkEnd w:id="252"/>
      <w:bookmarkEnd w:id="253"/>
    </w:p>
    <w:p w14:paraId="7F24E2CB">
      <w:pPr>
        <w:spacing w:line="360" w:lineRule="auto"/>
        <w:ind w:firstLine="480" w:firstLineChars="200"/>
        <w:jc w:val="left"/>
        <w:rPr>
          <w:rFonts w:ascii="宋体" w:hAnsi="宋体"/>
          <w:color w:val="auto"/>
          <w:sz w:val="24"/>
          <w:highlight w:val="none"/>
        </w:rPr>
        <w:sectPr>
          <w:pgSz w:w="11906" w:h="16838"/>
          <w:pgMar w:top="1440" w:right="1797" w:bottom="1440" w:left="1797" w:header="851" w:footer="992" w:gutter="0"/>
          <w:cols w:space="720" w:num="1"/>
          <w:docGrid w:linePitch="312" w:charSpace="0"/>
        </w:sectPr>
      </w:pPr>
      <w:r>
        <w:rPr>
          <w:rFonts w:hint="eastAsia" w:ascii="宋体" w:hAnsi="宋体"/>
          <w:color w:val="auto"/>
          <w:sz w:val="24"/>
          <w:highlight w:val="none"/>
        </w:rPr>
        <w:t>3.5.2 评标委员会完成评标后，应当向招标人提交书面评标报告。</w:t>
      </w:r>
    </w:p>
    <w:p w14:paraId="0C572487">
      <w:pPr>
        <w:spacing w:line="360" w:lineRule="auto"/>
        <w:jc w:val="left"/>
        <w:outlineLvl w:val="2"/>
        <w:rPr>
          <w:rFonts w:ascii="宋体" w:hAnsi="宋体"/>
          <w:color w:val="auto"/>
          <w:sz w:val="28"/>
          <w:szCs w:val="27"/>
          <w:highlight w:val="none"/>
        </w:rPr>
      </w:pPr>
      <w:bookmarkStart w:id="254" w:name="_Toc115179786"/>
      <w:bookmarkStart w:id="255" w:name="_Toc180758569"/>
      <w:r>
        <w:rPr>
          <w:rFonts w:hint="eastAsia" w:ascii="宋体" w:hAnsi="宋体"/>
          <w:color w:val="auto"/>
          <w:sz w:val="28"/>
          <w:szCs w:val="27"/>
          <w:highlight w:val="none"/>
        </w:rPr>
        <w:t>附表1：</w:t>
      </w:r>
      <w:r>
        <w:rPr>
          <w:rFonts w:ascii="宋体" w:hAnsi="宋体"/>
          <w:b/>
          <w:color w:val="auto"/>
          <w:sz w:val="30"/>
          <w:szCs w:val="30"/>
          <w:highlight w:val="none"/>
        </w:rPr>
        <w:t>资格评审意见记录表</w:t>
      </w:r>
      <w:r>
        <w:rPr>
          <w:rFonts w:hint="eastAsia" w:ascii="宋体" w:hAnsi="宋体"/>
          <w:b/>
          <w:color w:val="auto"/>
          <w:sz w:val="30"/>
          <w:szCs w:val="30"/>
          <w:highlight w:val="none"/>
        </w:rPr>
        <w:t>（格式）</w:t>
      </w:r>
      <w:bookmarkEnd w:id="254"/>
      <w:bookmarkEnd w:id="255"/>
    </w:p>
    <w:p w14:paraId="0F98B01A">
      <w:pPr>
        <w:jc w:val="center"/>
        <w:rPr>
          <w:rFonts w:ascii="宋体" w:hAnsi="宋体"/>
          <w:b/>
          <w:color w:val="auto"/>
          <w:sz w:val="30"/>
          <w:szCs w:val="30"/>
          <w:highlight w:val="none"/>
        </w:rPr>
      </w:pPr>
      <w:r>
        <w:rPr>
          <w:rFonts w:hint="eastAsia" w:ascii="宋体" w:hAnsi="宋体"/>
          <w:b/>
          <w:color w:val="auto"/>
          <w:sz w:val="30"/>
          <w:szCs w:val="30"/>
          <w:highlight w:val="none"/>
        </w:rPr>
        <w:t>资格审查个人</w:t>
      </w:r>
      <w:r>
        <w:rPr>
          <w:rFonts w:ascii="宋体" w:hAnsi="宋体"/>
          <w:b/>
          <w:color w:val="auto"/>
          <w:sz w:val="30"/>
          <w:szCs w:val="30"/>
          <w:highlight w:val="none"/>
        </w:rPr>
        <w:t>表</w:t>
      </w:r>
    </w:p>
    <w:p w14:paraId="3724052B">
      <w:pPr>
        <w:jc w:val="center"/>
        <w:rPr>
          <w:rFonts w:ascii="宋体" w:hAnsi="宋体"/>
          <w:b/>
          <w:color w:val="auto"/>
          <w:szCs w:val="21"/>
          <w:highlight w:val="none"/>
        </w:rPr>
      </w:pPr>
    </w:p>
    <w:p w14:paraId="5F3CB2C2">
      <w:pPr>
        <w:rPr>
          <w:rFonts w:ascii="宋体" w:hAnsi="宋体"/>
          <w:color w:val="auto"/>
          <w:highlight w:val="none"/>
        </w:rPr>
      </w:pPr>
      <w:r>
        <w:rPr>
          <w:rFonts w:hint="eastAsia" w:ascii="宋体" w:hAnsi="宋体"/>
          <w:color w:val="auto"/>
          <w:highlight w:val="none"/>
        </w:rPr>
        <w:t>项目编号：</w:t>
      </w:r>
    </w:p>
    <w:p w14:paraId="3CF0A74C">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X="1"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8"/>
        <w:gridCol w:w="2382"/>
        <w:gridCol w:w="1885"/>
        <w:gridCol w:w="1925"/>
        <w:gridCol w:w="1924"/>
        <w:gridCol w:w="1787"/>
        <w:gridCol w:w="1787"/>
        <w:gridCol w:w="1653"/>
      </w:tblGrid>
      <w:tr w14:paraId="7C6577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18" w:type="dxa"/>
            <w:vMerge w:val="restart"/>
            <w:tcBorders>
              <w:top w:val="single" w:color="auto" w:sz="4" w:space="0"/>
              <w:left w:val="single" w:color="auto" w:sz="4" w:space="0"/>
              <w:right w:val="single" w:color="auto" w:sz="4" w:space="0"/>
            </w:tcBorders>
            <w:noWrap w:val="0"/>
            <w:vAlign w:val="center"/>
          </w:tcPr>
          <w:p w14:paraId="085CA9F5">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382" w:type="dxa"/>
            <w:vMerge w:val="restart"/>
            <w:tcBorders>
              <w:top w:val="single" w:color="auto" w:sz="4" w:space="0"/>
              <w:left w:val="single" w:color="auto" w:sz="4" w:space="0"/>
              <w:right w:val="single" w:color="auto" w:sz="4" w:space="0"/>
            </w:tcBorders>
            <w:noWrap w:val="0"/>
            <w:vAlign w:val="center"/>
          </w:tcPr>
          <w:p w14:paraId="0C0E2C66">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961" w:type="dxa"/>
            <w:gridSpan w:val="6"/>
            <w:tcBorders>
              <w:top w:val="single" w:color="auto" w:sz="4" w:space="0"/>
              <w:left w:val="single" w:color="auto" w:sz="4" w:space="0"/>
              <w:bottom w:val="single" w:color="auto" w:sz="4" w:space="0"/>
              <w:right w:val="single" w:color="auto" w:sz="4" w:space="0"/>
            </w:tcBorders>
            <w:noWrap w:val="0"/>
            <w:vAlign w:val="center"/>
          </w:tcPr>
          <w:p w14:paraId="37FC6252">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投标单位名称及评审意见</w:t>
            </w:r>
          </w:p>
        </w:tc>
      </w:tr>
      <w:tr w14:paraId="734A8E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18" w:type="dxa"/>
            <w:vMerge w:val="continue"/>
            <w:tcBorders>
              <w:left w:val="single" w:color="auto" w:sz="4" w:space="0"/>
              <w:bottom w:val="single" w:color="auto" w:sz="4" w:space="0"/>
              <w:right w:val="single" w:color="auto" w:sz="4" w:space="0"/>
            </w:tcBorders>
            <w:noWrap w:val="0"/>
            <w:vAlign w:val="center"/>
          </w:tcPr>
          <w:p w14:paraId="52AEF1FB">
            <w:pPr>
              <w:spacing w:line="320" w:lineRule="exact"/>
              <w:jc w:val="center"/>
              <w:rPr>
                <w:rFonts w:ascii="宋体" w:hAnsi="宋体" w:cs="宋体"/>
                <w:b/>
                <w:color w:val="auto"/>
                <w:szCs w:val="21"/>
                <w:highlight w:val="none"/>
              </w:rPr>
            </w:pPr>
          </w:p>
        </w:tc>
        <w:tc>
          <w:tcPr>
            <w:tcW w:w="2382" w:type="dxa"/>
            <w:vMerge w:val="continue"/>
            <w:tcBorders>
              <w:left w:val="single" w:color="auto" w:sz="4" w:space="0"/>
              <w:bottom w:val="single" w:color="auto" w:sz="4" w:space="0"/>
              <w:right w:val="single" w:color="auto" w:sz="4" w:space="0"/>
            </w:tcBorders>
            <w:noWrap w:val="0"/>
            <w:vAlign w:val="center"/>
          </w:tcPr>
          <w:p w14:paraId="1A8196EB">
            <w:pPr>
              <w:spacing w:line="320" w:lineRule="exact"/>
              <w:jc w:val="center"/>
              <w:rPr>
                <w:rFonts w:ascii="宋体" w:hAnsi="宋体" w:cs="宋体"/>
                <w:b/>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7AB2F54D">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投标人一</w:t>
            </w:r>
          </w:p>
        </w:tc>
        <w:tc>
          <w:tcPr>
            <w:tcW w:w="1925" w:type="dxa"/>
            <w:tcBorders>
              <w:top w:val="single" w:color="auto" w:sz="4" w:space="0"/>
              <w:left w:val="single" w:color="auto" w:sz="4" w:space="0"/>
              <w:bottom w:val="single" w:color="auto" w:sz="4" w:space="0"/>
              <w:right w:val="single" w:color="auto" w:sz="4" w:space="0"/>
            </w:tcBorders>
            <w:noWrap w:val="0"/>
            <w:vAlign w:val="center"/>
          </w:tcPr>
          <w:p w14:paraId="3D0952C2">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投标人二</w:t>
            </w:r>
          </w:p>
        </w:tc>
        <w:tc>
          <w:tcPr>
            <w:tcW w:w="1924" w:type="dxa"/>
            <w:tcBorders>
              <w:top w:val="single" w:color="auto" w:sz="4" w:space="0"/>
              <w:left w:val="single" w:color="auto" w:sz="4" w:space="0"/>
              <w:bottom w:val="single" w:color="auto" w:sz="4" w:space="0"/>
              <w:right w:val="single" w:color="auto" w:sz="4" w:space="0"/>
            </w:tcBorders>
            <w:noWrap w:val="0"/>
            <w:vAlign w:val="center"/>
          </w:tcPr>
          <w:p w14:paraId="4B4AEF6E">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投标人三</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490FB11">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405CA39">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2478F72D">
            <w:pPr>
              <w:spacing w:line="320" w:lineRule="exact"/>
              <w:jc w:val="center"/>
              <w:rPr>
                <w:rFonts w:ascii="宋体" w:hAnsi="宋体" w:cs="宋体"/>
                <w:color w:val="auto"/>
                <w:szCs w:val="21"/>
                <w:highlight w:val="none"/>
              </w:rPr>
            </w:pPr>
          </w:p>
        </w:tc>
      </w:tr>
      <w:tr w14:paraId="203545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6A4E277D">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18B267C8">
            <w:pPr>
              <w:spacing w:line="320" w:lineRule="exact"/>
              <w:jc w:val="center"/>
              <w:rPr>
                <w:rFonts w:ascii="宋体" w:hAnsi="宋体" w:cs="宋体"/>
                <w:color w:val="auto"/>
                <w:szCs w:val="21"/>
                <w:highlight w:val="none"/>
              </w:rPr>
            </w:pPr>
            <w:r>
              <w:rPr>
                <w:rFonts w:hint="eastAsia"/>
                <w:color w:val="auto"/>
                <w:szCs w:val="21"/>
                <w:highlight w:val="none"/>
              </w:rPr>
              <w:t>资格审查1</w:t>
            </w:r>
          </w:p>
        </w:tc>
        <w:tc>
          <w:tcPr>
            <w:tcW w:w="1885" w:type="dxa"/>
            <w:tcBorders>
              <w:top w:val="single" w:color="auto" w:sz="4" w:space="0"/>
              <w:left w:val="single" w:color="auto" w:sz="4" w:space="0"/>
              <w:bottom w:val="single" w:color="auto" w:sz="4" w:space="0"/>
              <w:right w:val="single" w:color="auto" w:sz="4" w:space="0"/>
            </w:tcBorders>
            <w:noWrap w:val="0"/>
            <w:vAlign w:val="center"/>
          </w:tcPr>
          <w:p w14:paraId="78F14E1B">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通过或不通过</w:t>
            </w:r>
          </w:p>
        </w:tc>
        <w:tc>
          <w:tcPr>
            <w:tcW w:w="1925" w:type="dxa"/>
            <w:tcBorders>
              <w:top w:val="single" w:color="auto" w:sz="4" w:space="0"/>
              <w:left w:val="single" w:color="auto" w:sz="4" w:space="0"/>
              <w:bottom w:val="single" w:color="auto" w:sz="4" w:space="0"/>
              <w:right w:val="single" w:color="auto" w:sz="4" w:space="0"/>
            </w:tcBorders>
            <w:noWrap w:val="0"/>
            <w:vAlign w:val="center"/>
          </w:tcPr>
          <w:p w14:paraId="36406ACD">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333E14DC">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C527D05">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2495EB8B">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2B77BDEB">
            <w:pPr>
              <w:spacing w:line="320" w:lineRule="exact"/>
              <w:jc w:val="center"/>
              <w:rPr>
                <w:rFonts w:ascii="宋体" w:hAnsi="宋体" w:cs="宋体"/>
                <w:color w:val="auto"/>
                <w:szCs w:val="21"/>
                <w:highlight w:val="none"/>
              </w:rPr>
            </w:pPr>
          </w:p>
        </w:tc>
      </w:tr>
      <w:tr w14:paraId="6D0CEA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5D37425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68335C46">
            <w:pPr>
              <w:spacing w:line="320" w:lineRule="exact"/>
              <w:jc w:val="center"/>
              <w:rPr>
                <w:rFonts w:ascii="宋体" w:hAnsi="宋体" w:cs="宋体"/>
                <w:color w:val="auto"/>
                <w:szCs w:val="21"/>
                <w:highlight w:val="none"/>
              </w:rPr>
            </w:pPr>
            <w:r>
              <w:rPr>
                <w:rFonts w:hint="eastAsia"/>
                <w:color w:val="auto"/>
                <w:szCs w:val="21"/>
                <w:highlight w:val="none"/>
              </w:rPr>
              <w:t>资格审查2</w:t>
            </w:r>
          </w:p>
        </w:tc>
        <w:tc>
          <w:tcPr>
            <w:tcW w:w="1885" w:type="dxa"/>
            <w:tcBorders>
              <w:top w:val="single" w:color="auto" w:sz="4" w:space="0"/>
              <w:left w:val="single" w:color="auto" w:sz="4" w:space="0"/>
              <w:bottom w:val="single" w:color="auto" w:sz="4" w:space="0"/>
              <w:right w:val="single" w:color="auto" w:sz="4" w:space="0"/>
            </w:tcBorders>
            <w:noWrap w:val="0"/>
            <w:vAlign w:val="center"/>
          </w:tcPr>
          <w:p w14:paraId="3BFADB6B">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476E14B7">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195E0D3A">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62E7F6B1">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5657625">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4A61D639">
            <w:pPr>
              <w:spacing w:line="320" w:lineRule="exact"/>
              <w:jc w:val="center"/>
              <w:rPr>
                <w:rFonts w:ascii="宋体" w:hAnsi="宋体" w:cs="宋体"/>
                <w:color w:val="auto"/>
                <w:szCs w:val="21"/>
                <w:highlight w:val="none"/>
              </w:rPr>
            </w:pPr>
          </w:p>
        </w:tc>
      </w:tr>
      <w:tr w14:paraId="536B79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61843A55">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2D834238">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4699E195">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7112702F">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7DA844A9">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7A8FA3D1">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87DBA5C">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4183ED94">
            <w:pPr>
              <w:spacing w:line="320" w:lineRule="exact"/>
              <w:jc w:val="center"/>
              <w:rPr>
                <w:rFonts w:ascii="宋体" w:hAnsi="宋体" w:cs="宋体"/>
                <w:color w:val="auto"/>
                <w:szCs w:val="21"/>
                <w:highlight w:val="none"/>
              </w:rPr>
            </w:pPr>
          </w:p>
        </w:tc>
      </w:tr>
      <w:tr w14:paraId="4F79B1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44A3973E">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222EF070">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2C635EF2">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0AAD39A4">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1617F062">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748EF61B">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49A6A3C">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2491100D">
            <w:pPr>
              <w:spacing w:line="320" w:lineRule="exact"/>
              <w:jc w:val="center"/>
              <w:rPr>
                <w:rFonts w:ascii="宋体" w:hAnsi="宋体" w:cs="宋体"/>
                <w:color w:val="auto"/>
                <w:szCs w:val="21"/>
                <w:highlight w:val="none"/>
              </w:rPr>
            </w:pPr>
          </w:p>
        </w:tc>
      </w:tr>
      <w:tr w14:paraId="638C7B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303C7BBB">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53904719">
            <w:pPr>
              <w:widowControl/>
              <w:spacing w:line="360" w:lineRule="auto"/>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4A81CD78">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49ECC9C9">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6E5E5464">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A819467">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07BD6ED4">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770F9101">
            <w:pPr>
              <w:spacing w:line="320" w:lineRule="exact"/>
              <w:jc w:val="center"/>
              <w:rPr>
                <w:rFonts w:ascii="宋体" w:hAnsi="宋体" w:cs="宋体"/>
                <w:color w:val="auto"/>
                <w:szCs w:val="21"/>
                <w:highlight w:val="none"/>
              </w:rPr>
            </w:pPr>
          </w:p>
        </w:tc>
      </w:tr>
      <w:tr w14:paraId="3D13D0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2A8025E2">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3FAA2064">
            <w:pPr>
              <w:widowControl/>
              <w:spacing w:line="360" w:lineRule="auto"/>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7FFDCD48">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183EE3A0">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7D68837E">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0F9F5E17">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008101B">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117DE8B3">
            <w:pPr>
              <w:spacing w:line="320" w:lineRule="exact"/>
              <w:jc w:val="center"/>
              <w:rPr>
                <w:rFonts w:ascii="宋体" w:hAnsi="宋体" w:cs="宋体"/>
                <w:color w:val="auto"/>
                <w:szCs w:val="21"/>
                <w:highlight w:val="none"/>
              </w:rPr>
            </w:pPr>
          </w:p>
        </w:tc>
      </w:tr>
      <w:tr w14:paraId="0ECFFD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2C66F509">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06BA7B48">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00674F1F">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322B07D9">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6191CCBA">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04EC39F">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69180CB9">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1AF6395B">
            <w:pPr>
              <w:spacing w:line="320" w:lineRule="exact"/>
              <w:jc w:val="center"/>
              <w:rPr>
                <w:rFonts w:ascii="宋体" w:hAnsi="宋体" w:cs="宋体"/>
                <w:color w:val="auto"/>
                <w:szCs w:val="21"/>
                <w:highlight w:val="none"/>
              </w:rPr>
            </w:pPr>
          </w:p>
        </w:tc>
      </w:tr>
      <w:tr w14:paraId="2DE556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77CCDD27">
            <w:pPr>
              <w:spacing w:line="320" w:lineRule="exact"/>
              <w:jc w:val="center"/>
              <w:rPr>
                <w:rFonts w:ascii="宋体" w:hAnsi="宋体" w:cs="宋体"/>
                <w:color w:val="auto"/>
                <w:szCs w:val="21"/>
                <w:highlight w:val="none"/>
              </w:rPr>
            </w:pPr>
            <w:r>
              <w:rPr>
                <w:rFonts w:ascii="宋体" w:hAnsi="宋体" w:cs="宋体"/>
                <w:color w:val="auto"/>
                <w:szCs w:val="21"/>
                <w:highlight w:val="none"/>
              </w:rPr>
              <w:t>8</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03DB937F">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28C37716">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68244951">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7A7616A0">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E4AF27B">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6FDDC26">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3191C85A">
            <w:pPr>
              <w:spacing w:line="320" w:lineRule="exact"/>
              <w:jc w:val="center"/>
              <w:rPr>
                <w:rFonts w:ascii="宋体" w:hAnsi="宋体" w:cs="宋体"/>
                <w:color w:val="auto"/>
                <w:szCs w:val="21"/>
                <w:highlight w:val="none"/>
              </w:rPr>
            </w:pPr>
          </w:p>
        </w:tc>
      </w:tr>
      <w:tr w14:paraId="30101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75FFB1B8">
            <w:pPr>
              <w:spacing w:line="320" w:lineRule="exact"/>
              <w:jc w:val="center"/>
              <w:rPr>
                <w:rFonts w:ascii="宋体" w:hAnsi="宋体" w:cs="宋体"/>
                <w:color w:val="auto"/>
                <w:szCs w:val="21"/>
                <w:highlight w:val="none"/>
              </w:rPr>
            </w:pPr>
            <w:r>
              <w:rPr>
                <w:rFonts w:ascii="宋体" w:hAnsi="宋体" w:cs="宋体"/>
                <w:color w:val="auto"/>
                <w:szCs w:val="21"/>
                <w:highlight w:val="none"/>
              </w:rPr>
              <w:t>9</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7B373ACA">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3F3F6391">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45820763">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1D859577">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70936510">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75AE9F8">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00BEADC3">
            <w:pPr>
              <w:spacing w:line="320" w:lineRule="exact"/>
              <w:jc w:val="center"/>
              <w:rPr>
                <w:rFonts w:ascii="宋体" w:hAnsi="宋体" w:cs="宋体"/>
                <w:color w:val="auto"/>
                <w:szCs w:val="21"/>
                <w:highlight w:val="none"/>
              </w:rPr>
            </w:pPr>
          </w:p>
        </w:tc>
      </w:tr>
      <w:tr w14:paraId="28F289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2B420D8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0</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00E07298">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1885" w:type="dxa"/>
            <w:tcBorders>
              <w:top w:val="single" w:color="auto" w:sz="4" w:space="0"/>
              <w:left w:val="single" w:color="auto" w:sz="4" w:space="0"/>
              <w:bottom w:val="single" w:color="auto" w:sz="4" w:space="0"/>
              <w:right w:val="single" w:color="auto" w:sz="4" w:space="0"/>
            </w:tcBorders>
            <w:noWrap w:val="0"/>
            <w:vAlign w:val="center"/>
          </w:tcPr>
          <w:p w14:paraId="06FAAA96">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058383E0">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4EDBCA38">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7963CD86">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95C40AC">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4E13FD73">
            <w:pPr>
              <w:spacing w:line="320" w:lineRule="exact"/>
              <w:jc w:val="center"/>
              <w:rPr>
                <w:rFonts w:ascii="宋体" w:hAnsi="宋体" w:cs="宋体"/>
                <w:color w:val="auto"/>
                <w:szCs w:val="21"/>
                <w:highlight w:val="none"/>
              </w:rPr>
            </w:pPr>
          </w:p>
        </w:tc>
      </w:tr>
      <w:tr w14:paraId="06F5E7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3200" w:type="dxa"/>
            <w:gridSpan w:val="2"/>
            <w:tcBorders>
              <w:top w:val="single" w:color="auto" w:sz="4" w:space="0"/>
              <w:left w:val="single" w:color="auto" w:sz="4" w:space="0"/>
              <w:bottom w:val="single" w:color="auto" w:sz="4" w:space="0"/>
              <w:right w:val="single" w:color="auto" w:sz="4" w:space="0"/>
            </w:tcBorders>
            <w:noWrap w:val="0"/>
            <w:vAlign w:val="center"/>
          </w:tcPr>
          <w:p w14:paraId="69C5AB47">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汇总</w:t>
            </w:r>
          </w:p>
        </w:tc>
        <w:tc>
          <w:tcPr>
            <w:tcW w:w="1885" w:type="dxa"/>
            <w:tcBorders>
              <w:top w:val="single" w:color="auto" w:sz="4" w:space="0"/>
              <w:left w:val="single" w:color="auto" w:sz="4" w:space="0"/>
              <w:bottom w:val="single" w:color="auto" w:sz="4" w:space="0"/>
              <w:right w:val="single" w:color="auto" w:sz="4" w:space="0"/>
            </w:tcBorders>
            <w:noWrap w:val="0"/>
            <w:vAlign w:val="center"/>
          </w:tcPr>
          <w:p w14:paraId="0165C29C">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02291460">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5FB9E2EA">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9F91589">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B62E633">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2ACB0EE5">
            <w:pPr>
              <w:spacing w:line="320" w:lineRule="exact"/>
              <w:jc w:val="center"/>
              <w:rPr>
                <w:rFonts w:ascii="宋体" w:hAnsi="宋体" w:cs="宋体"/>
                <w:color w:val="auto"/>
                <w:szCs w:val="21"/>
                <w:highlight w:val="none"/>
              </w:rPr>
            </w:pPr>
          </w:p>
        </w:tc>
      </w:tr>
    </w:tbl>
    <w:p w14:paraId="1A2A9D70">
      <w:pPr>
        <w:rPr>
          <w:rFonts w:ascii="宋体" w:hAnsi="宋体"/>
          <w:color w:val="auto"/>
          <w:highlight w:val="none"/>
        </w:rPr>
      </w:pPr>
    </w:p>
    <w:p w14:paraId="0E601981">
      <w:pPr>
        <w:rPr>
          <w:rFonts w:ascii="宋体" w:hAnsi="宋体"/>
          <w:color w:val="auto"/>
          <w:highlight w:val="none"/>
        </w:rPr>
      </w:pPr>
      <w:r>
        <w:rPr>
          <w:rFonts w:hint="eastAsia" w:ascii="宋体" w:hAnsi="宋体" w:cs="宋体"/>
          <w:b/>
          <w:color w:val="auto"/>
          <w:highlight w:val="none"/>
        </w:rPr>
        <w:t>注：表格最终以广州交易集团有限公司（广州公共资源交易中心）系统生成的为准。</w:t>
      </w:r>
    </w:p>
    <w:p w14:paraId="37C0A8AD">
      <w:pPr>
        <w:spacing w:line="200" w:lineRule="exact"/>
        <w:rPr>
          <w:rFonts w:ascii="宋体" w:hAnsi="宋体"/>
          <w:color w:val="auto"/>
          <w:sz w:val="18"/>
          <w:szCs w:val="18"/>
          <w:highlight w:val="none"/>
        </w:rPr>
        <w:sectPr>
          <w:pgSz w:w="16838" w:h="11906" w:orient="landscape"/>
          <w:pgMar w:top="1797" w:right="1440" w:bottom="1797" w:left="1440" w:header="851" w:footer="992" w:gutter="0"/>
          <w:cols w:space="720" w:num="1"/>
          <w:docGrid w:linePitch="312" w:charSpace="0"/>
        </w:sectPr>
      </w:pPr>
    </w:p>
    <w:p w14:paraId="13145600">
      <w:pPr>
        <w:jc w:val="center"/>
        <w:rPr>
          <w:rFonts w:ascii="宋体" w:hAnsi="宋体"/>
          <w:b/>
          <w:color w:val="auto"/>
          <w:sz w:val="30"/>
          <w:szCs w:val="30"/>
          <w:highlight w:val="none"/>
        </w:rPr>
      </w:pPr>
      <w:r>
        <w:rPr>
          <w:rFonts w:ascii="宋体" w:hAnsi="宋体"/>
          <w:b/>
          <w:color w:val="auto"/>
          <w:sz w:val="30"/>
          <w:szCs w:val="30"/>
          <w:highlight w:val="none"/>
        </w:rPr>
        <w:t>资格评审结果汇总表</w:t>
      </w:r>
    </w:p>
    <w:p w14:paraId="29ECC822">
      <w:pPr>
        <w:rPr>
          <w:rFonts w:ascii="宋体" w:hAnsi="宋体"/>
          <w:color w:val="auto"/>
          <w:highlight w:val="none"/>
        </w:rPr>
      </w:pPr>
      <w:r>
        <w:rPr>
          <w:rFonts w:hint="eastAsia" w:ascii="宋体" w:hAnsi="宋体"/>
          <w:color w:val="auto"/>
          <w:highlight w:val="none"/>
        </w:rPr>
        <w:t>项目编号：</w:t>
      </w:r>
    </w:p>
    <w:p w14:paraId="5626100C">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15"/>
        <w:gridCol w:w="2382"/>
        <w:gridCol w:w="1885"/>
        <w:gridCol w:w="1925"/>
        <w:gridCol w:w="1924"/>
        <w:gridCol w:w="1787"/>
        <w:gridCol w:w="1787"/>
        <w:gridCol w:w="1653"/>
      </w:tblGrid>
      <w:tr w14:paraId="226FA5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615" w:type="dxa"/>
            <w:vMerge w:val="restart"/>
            <w:tcBorders>
              <w:top w:val="single" w:color="auto" w:sz="4" w:space="0"/>
              <w:left w:val="single" w:color="auto" w:sz="4" w:space="0"/>
              <w:right w:val="single" w:color="auto" w:sz="4" w:space="0"/>
            </w:tcBorders>
            <w:noWrap w:val="0"/>
            <w:vAlign w:val="center"/>
          </w:tcPr>
          <w:p w14:paraId="2D4CB761">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382" w:type="dxa"/>
            <w:vMerge w:val="restart"/>
            <w:tcBorders>
              <w:top w:val="single" w:color="auto" w:sz="4" w:space="0"/>
              <w:left w:val="single" w:color="auto" w:sz="4" w:space="0"/>
              <w:right w:val="single" w:color="auto" w:sz="4" w:space="0"/>
            </w:tcBorders>
            <w:noWrap w:val="0"/>
            <w:vAlign w:val="center"/>
          </w:tcPr>
          <w:p w14:paraId="38DEAD37">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961" w:type="dxa"/>
            <w:gridSpan w:val="6"/>
            <w:tcBorders>
              <w:top w:val="single" w:color="auto" w:sz="4" w:space="0"/>
              <w:left w:val="single" w:color="auto" w:sz="4" w:space="0"/>
              <w:bottom w:val="single" w:color="auto" w:sz="4" w:space="0"/>
              <w:right w:val="single" w:color="auto" w:sz="4" w:space="0"/>
            </w:tcBorders>
            <w:noWrap w:val="0"/>
            <w:vAlign w:val="center"/>
          </w:tcPr>
          <w:p w14:paraId="768AD877">
            <w:pPr>
              <w:spacing w:line="320" w:lineRule="exact"/>
              <w:jc w:val="center"/>
              <w:rPr>
                <w:rFonts w:ascii="宋体" w:hAnsi="宋体" w:cs="宋体"/>
                <w:color w:val="auto"/>
                <w:szCs w:val="21"/>
                <w:highlight w:val="none"/>
              </w:rPr>
            </w:pPr>
            <w:r>
              <w:rPr>
                <w:rFonts w:hint="eastAsia" w:ascii="宋体" w:hAnsi="宋体" w:cs="宋体"/>
                <w:b/>
                <w:color w:val="auto"/>
                <w:szCs w:val="21"/>
                <w:highlight w:val="none"/>
              </w:rPr>
              <w:t>投标人及资格评审结果</w:t>
            </w:r>
          </w:p>
        </w:tc>
      </w:tr>
      <w:tr w14:paraId="310F5D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615" w:type="dxa"/>
            <w:vMerge w:val="continue"/>
            <w:tcBorders>
              <w:left w:val="single" w:color="auto" w:sz="4" w:space="0"/>
              <w:bottom w:val="single" w:color="auto" w:sz="4" w:space="0"/>
              <w:right w:val="single" w:color="auto" w:sz="4" w:space="0"/>
            </w:tcBorders>
            <w:noWrap w:val="0"/>
            <w:vAlign w:val="center"/>
          </w:tcPr>
          <w:p w14:paraId="645CD76F">
            <w:pPr>
              <w:spacing w:line="320" w:lineRule="exact"/>
              <w:jc w:val="center"/>
              <w:rPr>
                <w:rFonts w:ascii="宋体" w:hAnsi="宋体" w:cs="宋体"/>
                <w:b/>
                <w:color w:val="auto"/>
                <w:szCs w:val="21"/>
                <w:highlight w:val="none"/>
              </w:rPr>
            </w:pPr>
          </w:p>
        </w:tc>
        <w:tc>
          <w:tcPr>
            <w:tcW w:w="2382" w:type="dxa"/>
            <w:vMerge w:val="continue"/>
            <w:tcBorders>
              <w:left w:val="single" w:color="auto" w:sz="4" w:space="0"/>
              <w:bottom w:val="single" w:color="auto" w:sz="4" w:space="0"/>
              <w:right w:val="single" w:color="auto" w:sz="4" w:space="0"/>
            </w:tcBorders>
            <w:noWrap w:val="0"/>
            <w:vAlign w:val="center"/>
          </w:tcPr>
          <w:p w14:paraId="4745047B">
            <w:pPr>
              <w:spacing w:line="320" w:lineRule="exact"/>
              <w:jc w:val="center"/>
              <w:rPr>
                <w:rFonts w:ascii="宋体" w:hAnsi="宋体" w:cs="宋体"/>
                <w:b/>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07596FA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投标人一</w:t>
            </w:r>
          </w:p>
        </w:tc>
        <w:tc>
          <w:tcPr>
            <w:tcW w:w="1925" w:type="dxa"/>
            <w:tcBorders>
              <w:top w:val="single" w:color="auto" w:sz="4" w:space="0"/>
              <w:left w:val="single" w:color="auto" w:sz="4" w:space="0"/>
              <w:bottom w:val="single" w:color="auto" w:sz="4" w:space="0"/>
              <w:right w:val="single" w:color="auto" w:sz="4" w:space="0"/>
            </w:tcBorders>
            <w:noWrap w:val="0"/>
            <w:vAlign w:val="center"/>
          </w:tcPr>
          <w:p w14:paraId="7C5A30D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投标人二</w:t>
            </w:r>
          </w:p>
        </w:tc>
        <w:tc>
          <w:tcPr>
            <w:tcW w:w="1924" w:type="dxa"/>
            <w:tcBorders>
              <w:top w:val="single" w:color="auto" w:sz="4" w:space="0"/>
              <w:left w:val="single" w:color="auto" w:sz="4" w:space="0"/>
              <w:bottom w:val="single" w:color="auto" w:sz="4" w:space="0"/>
              <w:right w:val="single" w:color="auto" w:sz="4" w:space="0"/>
            </w:tcBorders>
            <w:noWrap w:val="0"/>
            <w:vAlign w:val="center"/>
          </w:tcPr>
          <w:p w14:paraId="583DAC4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投标人三</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05FCE27">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07B7607">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3168CB8C">
            <w:pPr>
              <w:spacing w:line="320" w:lineRule="exact"/>
              <w:jc w:val="center"/>
              <w:rPr>
                <w:rFonts w:ascii="宋体" w:hAnsi="宋体" w:cs="宋体"/>
                <w:color w:val="auto"/>
                <w:szCs w:val="21"/>
                <w:highlight w:val="none"/>
              </w:rPr>
            </w:pPr>
          </w:p>
        </w:tc>
      </w:tr>
      <w:tr w14:paraId="749E0D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362A7EBB">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152F5A3C">
            <w:pPr>
              <w:spacing w:line="320" w:lineRule="exact"/>
              <w:jc w:val="center"/>
              <w:rPr>
                <w:rFonts w:ascii="宋体" w:hAnsi="宋体" w:cs="宋体"/>
                <w:color w:val="auto"/>
                <w:szCs w:val="21"/>
                <w:highlight w:val="none"/>
              </w:rPr>
            </w:pPr>
            <w:r>
              <w:rPr>
                <w:rFonts w:hint="eastAsia"/>
                <w:color w:val="auto"/>
                <w:szCs w:val="21"/>
                <w:highlight w:val="none"/>
              </w:rPr>
              <w:t>资格审查1</w:t>
            </w:r>
          </w:p>
        </w:tc>
        <w:tc>
          <w:tcPr>
            <w:tcW w:w="1885" w:type="dxa"/>
            <w:tcBorders>
              <w:top w:val="single" w:color="auto" w:sz="4" w:space="0"/>
              <w:left w:val="single" w:color="auto" w:sz="4" w:space="0"/>
              <w:bottom w:val="single" w:color="auto" w:sz="4" w:space="0"/>
              <w:right w:val="single" w:color="auto" w:sz="4" w:space="0"/>
            </w:tcBorders>
            <w:noWrap w:val="0"/>
            <w:vAlign w:val="center"/>
          </w:tcPr>
          <w:p w14:paraId="3DF770C4">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通过或不通过</w:t>
            </w:r>
          </w:p>
        </w:tc>
        <w:tc>
          <w:tcPr>
            <w:tcW w:w="1925" w:type="dxa"/>
            <w:tcBorders>
              <w:top w:val="single" w:color="auto" w:sz="4" w:space="0"/>
              <w:left w:val="single" w:color="auto" w:sz="4" w:space="0"/>
              <w:bottom w:val="single" w:color="auto" w:sz="4" w:space="0"/>
              <w:right w:val="single" w:color="auto" w:sz="4" w:space="0"/>
            </w:tcBorders>
            <w:noWrap w:val="0"/>
            <w:vAlign w:val="center"/>
          </w:tcPr>
          <w:p w14:paraId="0DEBBC6E">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1E512567">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61B700B">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E7840DA">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62AFCE5C">
            <w:pPr>
              <w:spacing w:line="320" w:lineRule="exact"/>
              <w:jc w:val="center"/>
              <w:rPr>
                <w:rFonts w:ascii="宋体" w:hAnsi="宋体" w:cs="宋体"/>
                <w:color w:val="auto"/>
                <w:szCs w:val="21"/>
                <w:highlight w:val="none"/>
              </w:rPr>
            </w:pPr>
          </w:p>
        </w:tc>
      </w:tr>
      <w:tr w14:paraId="26771F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02F6FC8A">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03624D6D">
            <w:pPr>
              <w:spacing w:line="320" w:lineRule="exact"/>
              <w:jc w:val="center"/>
              <w:rPr>
                <w:rFonts w:ascii="宋体" w:hAnsi="宋体" w:cs="宋体"/>
                <w:color w:val="auto"/>
                <w:szCs w:val="21"/>
                <w:highlight w:val="none"/>
              </w:rPr>
            </w:pPr>
            <w:r>
              <w:rPr>
                <w:rFonts w:hint="eastAsia"/>
                <w:color w:val="auto"/>
                <w:szCs w:val="21"/>
                <w:highlight w:val="none"/>
              </w:rPr>
              <w:t>资格审查2</w:t>
            </w:r>
          </w:p>
        </w:tc>
        <w:tc>
          <w:tcPr>
            <w:tcW w:w="1885" w:type="dxa"/>
            <w:tcBorders>
              <w:top w:val="single" w:color="auto" w:sz="4" w:space="0"/>
              <w:left w:val="single" w:color="auto" w:sz="4" w:space="0"/>
              <w:bottom w:val="single" w:color="auto" w:sz="4" w:space="0"/>
              <w:right w:val="single" w:color="auto" w:sz="4" w:space="0"/>
            </w:tcBorders>
            <w:noWrap w:val="0"/>
            <w:vAlign w:val="center"/>
          </w:tcPr>
          <w:p w14:paraId="0F540677">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5192809A">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11798F95">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40FBC68">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62F53528">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110B3E0F">
            <w:pPr>
              <w:spacing w:line="320" w:lineRule="exact"/>
              <w:jc w:val="center"/>
              <w:rPr>
                <w:rFonts w:ascii="宋体" w:hAnsi="宋体" w:cs="宋体"/>
                <w:color w:val="auto"/>
                <w:szCs w:val="21"/>
                <w:highlight w:val="none"/>
              </w:rPr>
            </w:pPr>
          </w:p>
        </w:tc>
      </w:tr>
      <w:tr w14:paraId="25917B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785F8269">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34FA6E1C">
            <w:pPr>
              <w:spacing w:line="320" w:lineRule="exact"/>
              <w:jc w:val="center"/>
              <w:rPr>
                <w:rFonts w:ascii="宋体" w:hAnsi="宋体" w:cs="宋体"/>
                <w:color w:val="auto"/>
                <w:szCs w:val="21"/>
                <w:highlight w:val="none"/>
              </w:rPr>
            </w:pPr>
            <w:r>
              <w:rPr>
                <w:rFonts w:hint="eastAsia"/>
                <w:color w:val="auto"/>
                <w:szCs w:val="21"/>
                <w:highlight w:val="none"/>
              </w:rPr>
              <w:t>资格审查3</w:t>
            </w:r>
          </w:p>
        </w:tc>
        <w:tc>
          <w:tcPr>
            <w:tcW w:w="1885" w:type="dxa"/>
            <w:tcBorders>
              <w:top w:val="single" w:color="auto" w:sz="4" w:space="0"/>
              <w:left w:val="single" w:color="auto" w:sz="4" w:space="0"/>
              <w:bottom w:val="single" w:color="auto" w:sz="4" w:space="0"/>
              <w:right w:val="single" w:color="auto" w:sz="4" w:space="0"/>
            </w:tcBorders>
            <w:noWrap w:val="0"/>
            <w:vAlign w:val="center"/>
          </w:tcPr>
          <w:p w14:paraId="53BAB895">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3CF9FC12">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55944E3B">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02485EC">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2E3FDF2">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48EAC85D">
            <w:pPr>
              <w:spacing w:line="320" w:lineRule="exact"/>
              <w:jc w:val="center"/>
              <w:rPr>
                <w:rFonts w:ascii="宋体" w:hAnsi="宋体" w:cs="宋体"/>
                <w:color w:val="auto"/>
                <w:szCs w:val="21"/>
                <w:highlight w:val="none"/>
              </w:rPr>
            </w:pPr>
          </w:p>
        </w:tc>
      </w:tr>
      <w:tr w14:paraId="13C08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378326BB">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304EF464">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55E83737">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2E19CFB9">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3D6E45A6">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F69168A">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2914A1A0">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7CB6F8E5">
            <w:pPr>
              <w:spacing w:line="320" w:lineRule="exact"/>
              <w:jc w:val="center"/>
              <w:rPr>
                <w:rFonts w:ascii="宋体" w:hAnsi="宋体" w:cs="宋体"/>
                <w:color w:val="auto"/>
                <w:szCs w:val="21"/>
                <w:highlight w:val="none"/>
              </w:rPr>
            </w:pPr>
          </w:p>
        </w:tc>
      </w:tr>
      <w:tr w14:paraId="5B2E7A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40A8236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14FD87AD">
            <w:pPr>
              <w:widowControl/>
              <w:spacing w:line="360" w:lineRule="auto"/>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52D2225C">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2D5235CA">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3C6793FA">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E61EAB8">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65ED6279">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0DEC340D">
            <w:pPr>
              <w:spacing w:line="320" w:lineRule="exact"/>
              <w:jc w:val="center"/>
              <w:rPr>
                <w:rFonts w:ascii="宋体" w:hAnsi="宋体" w:cs="宋体"/>
                <w:color w:val="auto"/>
                <w:szCs w:val="21"/>
                <w:highlight w:val="none"/>
              </w:rPr>
            </w:pPr>
          </w:p>
        </w:tc>
      </w:tr>
      <w:tr w14:paraId="6D9EE5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09D1D12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26EC1A00">
            <w:pPr>
              <w:widowControl/>
              <w:spacing w:line="360" w:lineRule="auto"/>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7700E56E">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0CEF1BB2">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44CF5A2F">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2C44533B">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D91BB3A">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69629BE2">
            <w:pPr>
              <w:spacing w:line="320" w:lineRule="exact"/>
              <w:jc w:val="center"/>
              <w:rPr>
                <w:rFonts w:ascii="宋体" w:hAnsi="宋体" w:cs="宋体"/>
                <w:color w:val="auto"/>
                <w:szCs w:val="21"/>
                <w:highlight w:val="none"/>
              </w:rPr>
            </w:pPr>
          </w:p>
        </w:tc>
      </w:tr>
      <w:tr w14:paraId="21B6FA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4832225F">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20B72819">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3C4CBF5F">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218DFA6D">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7298E4BC">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EB72197">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70897B9">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63ADAE87">
            <w:pPr>
              <w:spacing w:line="320" w:lineRule="exact"/>
              <w:jc w:val="center"/>
              <w:rPr>
                <w:rFonts w:ascii="宋体" w:hAnsi="宋体" w:cs="宋体"/>
                <w:color w:val="auto"/>
                <w:szCs w:val="21"/>
                <w:highlight w:val="none"/>
              </w:rPr>
            </w:pPr>
          </w:p>
        </w:tc>
      </w:tr>
      <w:tr w14:paraId="75D4DD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126D625F">
            <w:pPr>
              <w:spacing w:line="320" w:lineRule="exact"/>
              <w:jc w:val="center"/>
              <w:rPr>
                <w:rFonts w:ascii="宋体" w:hAnsi="宋体" w:cs="宋体"/>
                <w:color w:val="auto"/>
                <w:szCs w:val="21"/>
                <w:highlight w:val="none"/>
              </w:rPr>
            </w:pPr>
            <w:r>
              <w:rPr>
                <w:rFonts w:ascii="宋体" w:hAnsi="宋体" w:cs="宋体"/>
                <w:color w:val="auto"/>
                <w:szCs w:val="21"/>
                <w:highlight w:val="none"/>
              </w:rPr>
              <w:t>8</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4616DB80">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0F481F0C">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103822B5">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4CD610BA">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7E501258">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D4F2060">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6969114F">
            <w:pPr>
              <w:spacing w:line="320" w:lineRule="exact"/>
              <w:jc w:val="center"/>
              <w:rPr>
                <w:rFonts w:ascii="宋体" w:hAnsi="宋体" w:cs="宋体"/>
                <w:color w:val="auto"/>
                <w:szCs w:val="21"/>
                <w:highlight w:val="none"/>
              </w:rPr>
            </w:pPr>
          </w:p>
        </w:tc>
      </w:tr>
      <w:tr w14:paraId="450559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0ED09D01">
            <w:pPr>
              <w:spacing w:line="320" w:lineRule="exact"/>
              <w:jc w:val="center"/>
              <w:rPr>
                <w:rFonts w:ascii="宋体" w:hAnsi="宋体" w:cs="宋体"/>
                <w:color w:val="auto"/>
                <w:szCs w:val="21"/>
                <w:highlight w:val="none"/>
              </w:rPr>
            </w:pPr>
            <w:r>
              <w:rPr>
                <w:rFonts w:ascii="宋体" w:hAnsi="宋体" w:cs="宋体"/>
                <w:color w:val="auto"/>
                <w:szCs w:val="21"/>
                <w:highlight w:val="none"/>
              </w:rPr>
              <w:t>9</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0C9C12EE">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4B72A28C">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1BEFED58">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5CF09A27">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0D43AD4">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0D0F597">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1335F10E">
            <w:pPr>
              <w:spacing w:line="320" w:lineRule="exact"/>
              <w:jc w:val="center"/>
              <w:rPr>
                <w:rFonts w:ascii="宋体" w:hAnsi="宋体" w:cs="宋体"/>
                <w:color w:val="auto"/>
                <w:szCs w:val="21"/>
                <w:highlight w:val="none"/>
              </w:rPr>
            </w:pPr>
          </w:p>
        </w:tc>
      </w:tr>
      <w:tr w14:paraId="77EAFF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2B0D0D39">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0</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26C8910B">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09C5CDFB">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36BEB41E">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5091B042">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2CFAA260">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2BD6C876">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45622F3D">
            <w:pPr>
              <w:spacing w:line="320" w:lineRule="exact"/>
              <w:jc w:val="center"/>
              <w:rPr>
                <w:rFonts w:ascii="宋体" w:hAnsi="宋体" w:cs="宋体"/>
                <w:color w:val="auto"/>
                <w:szCs w:val="21"/>
                <w:highlight w:val="none"/>
              </w:rPr>
            </w:pPr>
          </w:p>
        </w:tc>
      </w:tr>
      <w:tr w14:paraId="4C787E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2997" w:type="dxa"/>
            <w:gridSpan w:val="2"/>
            <w:tcBorders>
              <w:top w:val="single" w:color="auto" w:sz="4" w:space="0"/>
              <w:left w:val="single" w:color="auto" w:sz="4" w:space="0"/>
              <w:bottom w:val="single" w:color="auto" w:sz="4" w:space="0"/>
              <w:right w:val="single" w:color="auto" w:sz="4" w:space="0"/>
            </w:tcBorders>
            <w:noWrap w:val="0"/>
            <w:vAlign w:val="center"/>
          </w:tcPr>
          <w:p w14:paraId="4F44794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汇总</w:t>
            </w:r>
          </w:p>
        </w:tc>
        <w:tc>
          <w:tcPr>
            <w:tcW w:w="1885" w:type="dxa"/>
            <w:tcBorders>
              <w:top w:val="single" w:color="auto" w:sz="4" w:space="0"/>
              <w:left w:val="single" w:color="auto" w:sz="4" w:space="0"/>
              <w:bottom w:val="single" w:color="auto" w:sz="4" w:space="0"/>
              <w:right w:val="single" w:color="auto" w:sz="4" w:space="0"/>
            </w:tcBorders>
            <w:noWrap w:val="0"/>
            <w:vAlign w:val="center"/>
          </w:tcPr>
          <w:p w14:paraId="4163DD72">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25408F6D">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31F904AD">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8B58AAA">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0FEA4216">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2FF8775A">
            <w:pPr>
              <w:spacing w:line="320" w:lineRule="exact"/>
              <w:jc w:val="center"/>
              <w:rPr>
                <w:rFonts w:ascii="宋体" w:hAnsi="宋体" w:cs="宋体"/>
                <w:color w:val="auto"/>
                <w:szCs w:val="21"/>
                <w:highlight w:val="none"/>
              </w:rPr>
            </w:pPr>
          </w:p>
        </w:tc>
      </w:tr>
    </w:tbl>
    <w:p w14:paraId="631B9784">
      <w:pPr>
        <w:pStyle w:val="112"/>
        <w:rPr>
          <w:rFonts w:ascii="宋体" w:hAnsi="宋体"/>
          <w:color w:val="auto"/>
          <w:highlight w:val="none"/>
        </w:rPr>
      </w:pPr>
    </w:p>
    <w:p w14:paraId="7C8D3D41">
      <w:pPr>
        <w:rPr>
          <w:rFonts w:ascii="宋体" w:hAnsi="宋体"/>
          <w:color w:val="auto"/>
          <w:sz w:val="24"/>
          <w:highlight w:val="none"/>
        </w:rPr>
      </w:pPr>
      <w:r>
        <w:rPr>
          <w:rFonts w:hint="eastAsia" w:ascii="宋体" w:hAnsi="宋体" w:cs="宋体"/>
          <w:b/>
          <w:color w:val="auto"/>
          <w:highlight w:val="none"/>
        </w:rPr>
        <w:t>注：表格最终以广州交易集团有限公司（广州公共资源交易中心）系统生成的为准。</w:t>
      </w:r>
    </w:p>
    <w:p w14:paraId="089CF8CF">
      <w:pPr>
        <w:spacing w:line="360" w:lineRule="auto"/>
        <w:ind w:firstLine="480" w:firstLineChars="200"/>
        <w:jc w:val="left"/>
        <w:rPr>
          <w:rFonts w:ascii="宋体" w:hAnsi="宋体"/>
          <w:color w:val="auto"/>
          <w:sz w:val="24"/>
          <w:highlight w:val="none"/>
        </w:rPr>
        <w:sectPr>
          <w:pgSz w:w="16838" w:h="11906" w:orient="landscape"/>
          <w:pgMar w:top="1800" w:right="1440" w:bottom="1800" w:left="1440" w:header="851" w:footer="992" w:gutter="0"/>
          <w:cols w:space="720" w:num="1"/>
          <w:docGrid w:type="lines" w:linePitch="312" w:charSpace="0"/>
        </w:sectPr>
      </w:pPr>
    </w:p>
    <w:p w14:paraId="7C334009">
      <w:pPr>
        <w:spacing w:line="360" w:lineRule="auto"/>
        <w:jc w:val="left"/>
        <w:outlineLvl w:val="2"/>
        <w:rPr>
          <w:rFonts w:ascii="宋体" w:hAnsi="宋体"/>
          <w:b/>
          <w:color w:val="auto"/>
          <w:sz w:val="30"/>
          <w:szCs w:val="30"/>
          <w:highlight w:val="none"/>
        </w:rPr>
      </w:pPr>
      <w:bookmarkStart w:id="256" w:name="_Toc115179787"/>
      <w:bookmarkStart w:id="257" w:name="_Toc180758570"/>
      <w:r>
        <w:rPr>
          <w:rFonts w:hint="eastAsia" w:ascii="宋体" w:hAnsi="宋体"/>
          <w:color w:val="auto"/>
          <w:sz w:val="28"/>
          <w:szCs w:val="27"/>
          <w:highlight w:val="none"/>
        </w:rPr>
        <w:t>附表2：</w:t>
      </w:r>
      <w:r>
        <w:rPr>
          <w:rFonts w:ascii="宋体" w:hAnsi="宋体"/>
          <w:color w:val="auto"/>
          <w:sz w:val="28"/>
          <w:szCs w:val="27"/>
          <w:highlight w:val="none"/>
        </w:rPr>
        <w:t>形式评审记录表</w:t>
      </w:r>
      <w:r>
        <w:rPr>
          <w:rFonts w:hint="eastAsia" w:ascii="宋体" w:hAnsi="宋体"/>
          <w:color w:val="auto"/>
          <w:sz w:val="28"/>
          <w:szCs w:val="27"/>
          <w:highlight w:val="none"/>
        </w:rPr>
        <w:t>（格式）</w:t>
      </w:r>
      <w:bookmarkEnd w:id="256"/>
      <w:bookmarkEnd w:id="257"/>
    </w:p>
    <w:p w14:paraId="1C4881AE">
      <w:pPr>
        <w:jc w:val="center"/>
        <w:rPr>
          <w:rFonts w:ascii="宋体" w:hAnsi="宋体"/>
          <w:b/>
          <w:color w:val="auto"/>
          <w:sz w:val="30"/>
          <w:szCs w:val="30"/>
          <w:highlight w:val="none"/>
        </w:rPr>
      </w:pPr>
      <w:r>
        <w:rPr>
          <w:rFonts w:hint="eastAsia" w:ascii="宋体" w:hAnsi="宋体"/>
          <w:b/>
          <w:color w:val="auto"/>
          <w:sz w:val="30"/>
          <w:szCs w:val="30"/>
          <w:highlight w:val="none"/>
        </w:rPr>
        <w:t>形式评审个人</w:t>
      </w:r>
      <w:r>
        <w:rPr>
          <w:rFonts w:ascii="宋体" w:hAnsi="宋体"/>
          <w:b/>
          <w:color w:val="auto"/>
          <w:sz w:val="30"/>
          <w:szCs w:val="30"/>
          <w:highlight w:val="none"/>
        </w:rPr>
        <w:t>表</w:t>
      </w:r>
    </w:p>
    <w:p w14:paraId="18032933">
      <w:pPr>
        <w:jc w:val="center"/>
        <w:rPr>
          <w:rFonts w:ascii="宋体" w:hAnsi="宋体"/>
          <w:b/>
          <w:color w:val="auto"/>
          <w:szCs w:val="21"/>
          <w:highlight w:val="none"/>
        </w:rPr>
      </w:pPr>
    </w:p>
    <w:p w14:paraId="6B5D21AD">
      <w:pPr>
        <w:rPr>
          <w:rFonts w:ascii="宋体" w:hAnsi="宋体"/>
          <w:color w:val="auto"/>
          <w:highlight w:val="none"/>
        </w:rPr>
      </w:pPr>
      <w:r>
        <w:rPr>
          <w:rFonts w:hint="eastAsia" w:ascii="宋体" w:hAnsi="宋体"/>
          <w:color w:val="auto"/>
          <w:highlight w:val="none"/>
        </w:rPr>
        <w:t>项目编号：</w:t>
      </w:r>
    </w:p>
    <w:p w14:paraId="230C0BEB">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15"/>
        <w:gridCol w:w="2268"/>
        <w:gridCol w:w="1884"/>
        <w:gridCol w:w="1924"/>
        <w:gridCol w:w="1923"/>
        <w:gridCol w:w="1786"/>
        <w:gridCol w:w="1786"/>
        <w:gridCol w:w="1652"/>
      </w:tblGrid>
      <w:tr w14:paraId="3CBEF9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615" w:type="dxa"/>
            <w:vMerge w:val="restart"/>
            <w:tcBorders>
              <w:top w:val="single" w:color="auto" w:sz="4" w:space="0"/>
              <w:left w:val="single" w:color="auto" w:sz="4" w:space="0"/>
              <w:right w:val="single" w:color="auto" w:sz="4" w:space="0"/>
            </w:tcBorders>
            <w:noWrap w:val="0"/>
            <w:vAlign w:val="center"/>
          </w:tcPr>
          <w:p w14:paraId="268A67D8">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268" w:type="dxa"/>
            <w:vMerge w:val="restart"/>
            <w:tcBorders>
              <w:top w:val="single" w:color="auto" w:sz="4" w:space="0"/>
              <w:left w:val="single" w:color="auto" w:sz="4" w:space="0"/>
              <w:right w:val="single" w:color="auto" w:sz="4" w:space="0"/>
            </w:tcBorders>
            <w:noWrap w:val="0"/>
            <w:vAlign w:val="center"/>
          </w:tcPr>
          <w:p w14:paraId="2E6B40B4">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955" w:type="dxa"/>
            <w:gridSpan w:val="6"/>
            <w:tcBorders>
              <w:top w:val="single" w:color="auto" w:sz="4" w:space="0"/>
              <w:left w:val="single" w:color="auto" w:sz="4" w:space="0"/>
              <w:bottom w:val="single" w:color="auto" w:sz="4" w:space="0"/>
              <w:right w:val="single" w:color="auto" w:sz="4" w:space="0"/>
            </w:tcBorders>
            <w:noWrap w:val="0"/>
            <w:vAlign w:val="center"/>
          </w:tcPr>
          <w:p w14:paraId="41BAC9E2">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投标单位名称及评审意见</w:t>
            </w:r>
          </w:p>
        </w:tc>
      </w:tr>
      <w:tr w14:paraId="789EC7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615" w:type="dxa"/>
            <w:vMerge w:val="continue"/>
            <w:tcBorders>
              <w:left w:val="single" w:color="auto" w:sz="4" w:space="0"/>
              <w:bottom w:val="single" w:color="auto" w:sz="4" w:space="0"/>
              <w:right w:val="single" w:color="auto" w:sz="4" w:space="0"/>
            </w:tcBorders>
            <w:noWrap w:val="0"/>
            <w:vAlign w:val="center"/>
          </w:tcPr>
          <w:p w14:paraId="4E03A7F6">
            <w:pPr>
              <w:spacing w:line="320" w:lineRule="exact"/>
              <w:jc w:val="center"/>
              <w:rPr>
                <w:rFonts w:ascii="宋体" w:hAnsi="宋体" w:cs="宋体"/>
                <w:b/>
                <w:color w:val="auto"/>
                <w:szCs w:val="21"/>
                <w:highlight w:val="none"/>
              </w:rPr>
            </w:pPr>
          </w:p>
        </w:tc>
        <w:tc>
          <w:tcPr>
            <w:tcW w:w="2268" w:type="dxa"/>
            <w:vMerge w:val="continue"/>
            <w:tcBorders>
              <w:left w:val="single" w:color="auto" w:sz="4" w:space="0"/>
              <w:bottom w:val="single" w:color="auto" w:sz="4" w:space="0"/>
              <w:right w:val="single" w:color="auto" w:sz="4" w:space="0"/>
            </w:tcBorders>
            <w:noWrap w:val="0"/>
            <w:vAlign w:val="center"/>
          </w:tcPr>
          <w:p w14:paraId="7BBB3629">
            <w:pPr>
              <w:spacing w:line="320" w:lineRule="exact"/>
              <w:jc w:val="center"/>
              <w:rPr>
                <w:rFonts w:ascii="宋体" w:hAnsi="宋体" w:cs="宋体"/>
                <w:b/>
                <w:color w:val="auto"/>
                <w:szCs w:val="21"/>
                <w:highlight w:val="none"/>
              </w:rPr>
            </w:pPr>
          </w:p>
        </w:tc>
        <w:tc>
          <w:tcPr>
            <w:tcW w:w="1884" w:type="dxa"/>
            <w:tcBorders>
              <w:top w:val="single" w:color="auto" w:sz="4" w:space="0"/>
              <w:left w:val="single" w:color="auto" w:sz="4" w:space="0"/>
              <w:bottom w:val="single" w:color="auto" w:sz="4" w:space="0"/>
              <w:right w:val="single" w:color="auto" w:sz="4" w:space="0"/>
            </w:tcBorders>
            <w:noWrap w:val="0"/>
            <w:vAlign w:val="center"/>
          </w:tcPr>
          <w:p w14:paraId="62990D20">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投标人一</w:t>
            </w:r>
          </w:p>
        </w:tc>
        <w:tc>
          <w:tcPr>
            <w:tcW w:w="1924" w:type="dxa"/>
            <w:tcBorders>
              <w:top w:val="single" w:color="auto" w:sz="4" w:space="0"/>
              <w:left w:val="single" w:color="auto" w:sz="4" w:space="0"/>
              <w:bottom w:val="single" w:color="auto" w:sz="4" w:space="0"/>
              <w:right w:val="single" w:color="auto" w:sz="4" w:space="0"/>
            </w:tcBorders>
            <w:noWrap w:val="0"/>
            <w:vAlign w:val="center"/>
          </w:tcPr>
          <w:p w14:paraId="7A529229">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投标人二</w:t>
            </w:r>
          </w:p>
        </w:tc>
        <w:tc>
          <w:tcPr>
            <w:tcW w:w="1923" w:type="dxa"/>
            <w:tcBorders>
              <w:top w:val="single" w:color="auto" w:sz="4" w:space="0"/>
              <w:left w:val="single" w:color="auto" w:sz="4" w:space="0"/>
              <w:bottom w:val="single" w:color="auto" w:sz="4" w:space="0"/>
              <w:right w:val="single" w:color="auto" w:sz="4" w:space="0"/>
            </w:tcBorders>
            <w:noWrap w:val="0"/>
            <w:vAlign w:val="center"/>
          </w:tcPr>
          <w:p w14:paraId="65EA11D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投标人三</w:t>
            </w:r>
          </w:p>
        </w:tc>
        <w:tc>
          <w:tcPr>
            <w:tcW w:w="1786" w:type="dxa"/>
            <w:tcBorders>
              <w:top w:val="single" w:color="auto" w:sz="4" w:space="0"/>
              <w:left w:val="single" w:color="auto" w:sz="4" w:space="0"/>
              <w:bottom w:val="single" w:color="auto" w:sz="4" w:space="0"/>
              <w:right w:val="single" w:color="auto" w:sz="4" w:space="0"/>
            </w:tcBorders>
            <w:noWrap w:val="0"/>
            <w:vAlign w:val="center"/>
          </w:tcPr>
          <w:p w14:paraId="7BA726F4">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3186AD27">
            <w:pPr>
              <w:spacing w:line="320" w:lineRule="exact"/>
              <w:jc w:val="center"/>
              <w:rPr>
                <w:rFonts w:ascii="宋体" w:hAnsi="宋体" w:cs="宋体"/>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noWrap w:val="0"/>
            <w:vAlign w:val="center"/>
          </w:tcPr>
          <w:p w14:paraId="21D08A12">
            <w:pPr>
              <w:spacing w:line="320" w:lineRule="exact"/>
              <w:jc w:val="center"/>
              <w:rPr>
                <w:rFonts w:ascii="宋体" w:hAnsi="宋体" w:cs="宋体"/>
                <w:color w:val="auto"/>
                <w:szCs w:val="21"/>
                <w:highlight w:val="none"/>
              </w:rPr>
            </w:pPr>
          </w:p>
        </w:tc>
      </w:tr>
      <w:tr w14:paraId="735BC0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280183C8">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A649E2A">
            <w:pPr>
              <w:spacing w:line="320" w:lineRule="exact"/>
              <w:jc w:val="center"/>
              <w:rPr>
                <w:rFonts w:ascii="宋体" w:hAnsi="宋体" w:cs="宋体"/>
                <w:color w:val="auto"/>
                <w:szCs w:val="21"/>
                <w:highlight w:val="none"/>
              </w:rPr>
            </w:pPr>
            <w:r>
              <w:rPr>
                <w:rFonts w:hint="eastAsia"/>
                <w:color w:val="auto"/>
                <w:szCs w:val="21"/>
                <w:highlight w:val="none"/>
              </w:rPr>
              <w:t>形式评审1</w:t>
            </w:r>
          </w:p>
        </w:tc>
        <w:tc>
          <w:tcPr>
            <w:tcW w:w="1884" w:type="dxa"/>
            <w:tcBorders>
              <w:top w:val="single" w:color="auto" w:sz="4" w:space="0"/>
              <w:left w:val="single" w:color="auto" w:sz="4" w:space="0"/>
              <w:bottom w:val="single" w:color="auto" w:sz="4" w:space="0"/>
              <w:right w:val="single" w:color="auto" w:sz="4" w:space="0"/>
            </w:tcBorders>
            <w:noWrap w:val="0"/>
            <w:vAlign w:val="center"/>
          </w:tcPr>
          <w:p w14:paraId="748C6FFD">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通过或不通过</w:t>
            </w:r>
          </w:p>
        </w:tc>
        <w:tc>
          <w:tcPr>
            <w:tcW w:w="1924" w:type="dxa"/>
            <w:tcBorders>
              <w:top w:val="single" w:color="auto" w:sz="4" w:space="0"/>
              <w:left w:val="single" w:color="auto" w:sz="4" w:space="0"/>
              <w:bottom w:val="single" w:color="auto" w:sz="4" w:space="0"/>
              <w:right w:val="single" w:color="auto" w:sz="4" w:space="0"/>
            </w:tcBorders>
            <w:noWrap w:val="0"/>
            <w:vAlign w:val="center"/>
          </w:tcPr>
          <w:p w14:paraId="326FF407">
            <w:pPr>
              <w:spacing w:line="320" w:lineRule="exact"/>
              <w:jc w:val="center"/>
              <w:rPr>
                <w:rFonts w:ascii="宋体" w:hAnsi="宋体" w:cs="宋体"/>
                <w:color w:val="auto"/>
                <w:szCs w:val="21"/>
                <w:highlight w:val="none"/>
              </w:rPr>
            </w:pPr>
          </w:p>
        </w:tc>
        <w:tc>
          <w:tcPr>
            <w:tcW w:w="1923" w:type="dxa"/>
            <w:tcBorders>
              <w:top w:val="single" w:color="auto" w:sz="4" w:space="0"/>
              <w:left w:val="single" w:color="auto" w:sz="4" w:space="0"/>
              <w:bottom w:val="single" w:color="auto" w:sz="4" w:space="0"/>
              <w:right w:val="single" w:color="auto" w:sz="4" w:space="0"/>
            </w:tcBorders>
            <w:noWrap w:val="0"/>
            <w:vAlign w:val="center"/>
          </w:tcPr>
          <w:p w14:paraId="5139DB28">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3E0DA578">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2C89A592">
            <w:pPr>
              <w:spacing w:line="320" w:lineRule="exact"/>
              <w:jc w:val="center"/>
              <w:rPr>
                <w:rFonts w:ascii="宋体" w:hAnsi="宋体" w:cs="宋体"/>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noWrap w:val="0"/>
            <w:vAlign w:val="center"/>
          </w:tcPr>
          <w:p w14:paraId="0D713DCA">
            <w:pPr>
              <w:spacing w:line="320" w:lineRule="exact"/>
              <w:jc w:val="center"/>
              <w:rPr>
                <w:rFonts w:ascii="宋体" w:hAnsi="宋体" w:cs="宋体"/>
                <w:color w:val="auto"/>
                <w:szCs w:val="21"/>
                <w:highlight w:val="none"/>
              </w:rPr>
            </w:pPr>
          </w:p>
        </w:tc>
      </w:tr>
      <w:tr w14:paraId="2E1FDF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12925D0B">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887D056">
            <w:pPr>
              <w:spacing w:line="320" w:lineRule="exact"/>
              <w:jc w:val="center"/>
              <w:rPr>
                <w:rFonts w:ascii="宋体" w:hAnsi="宋体" w:cs="宋体"/>
                <w:color w:val="auto"/>
                <w:szCs w:val="21"/>
                <w:highlight w:val="none"/>
              </w:rPr>
            </w:pPr>
            <w:r>
              <w:rPr>
                <w:rFonts w:hint="eastAsia"/>
                <w:color w:val="auto"/>
                <w:szCs w:val="21"/>
                <w:highlight w:val="none"/>
              </w:rPr>
              <w:t>形式评审2</w:t>
            </w:r>
          </w:p>
        </w:tc>
        <w:tc>
          <w:tcPr>
            <w:tcW w:w="1884" w:type="dxa"/>
            <w:tcBorders>
              <w:top w:val="single" w:color="auto" w:sz="4" w:space="0"/>
              <w:left w:val="single" w:color="auto" w:sz="4" w:space="0"/>
              <w:bottom w:val="single" w:color="auto" w:sz="4" w:space="0"/>
              <w:right w:val="single" w:color="auto" w:sz="4" w:space="0"/>
            </w:tcBorders>
            <w:noWrap w:val="0"/>
            <w:vAlign w:val="center"/>
          </w:tcPr>
          <w:p w14:paraId="5E4F88B5">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6B5824FF">
            <w:pPr>
              <w:spacing w:line="320" w:lineRule="exact"/>
              <w:jc w:val="center"/>
              <w:rPr>
                <w:rFonts w:ascii="宋体" w:hAnsi="宋体" w:cs="宋体"/>
                <w:color w:val="auto"/>
                <w:szCs w:val="21"/>
                <w:highlight w:val="none"/>
              </w:rPr>
            </w:pPr>
          </w:p>
        </w:tc>
        <w:tc>
          <w:tcPr>
            <w:tcW w:w="1923" w:type="dxa"/>
            <w:tcBorders>
              <w:top w:val="single" w:color="auto" w:sz="4" w:space="0"/>
              <w:left w:val="single" w:color="auto" w:sz="4" w:space="0"/>
              <w:bottom w:val="single" w:color="auto" w:sz="4" w:space="0"/>
              <w:right w:val="single" w:color="auto" w:sz="4" w:space="0"/>
            </w:tcBorders>
            <w:noWrap w:val="0"/>
            <w:vAlign w:val="center"/>
          </w:tcPr>
          <w:p w14:paraId="0ECA7289">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6DBAE155">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4B65CF65">
            <w:pPr>
              <w:spacing w:line="320" w:lineRule="exact"/>
              <w:jc w:val="center"/>
              <w:rPr>
                <w:rFonts w:ascii="宋体" w:hAnsi="宋体" w:cs="宋体"/>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noWrap w:val="0"/>
            <w:vAlign w:val="center"/>
          </w:tcPr>
          <w:p w14:paraId="781EC6BD">
            <w:pPr>
              <w:spacing w:line="320" w:lineRule="exact"/>
              <w:jc w:val="center"/>
              <w:rPr>
                <w:rFonts w:ascii="宋体" w:hAnsi="宋体" w:cs="宋体"/>
                <w:color w:val="auto"/>
                <w:szCs w:val="21"/>
                <w:highlight w:val="none"/>
              </w:rPr>
            </w:pPr>
          </w:p>
        </w:tc>
      </w:tr>
      <w:tr w14:paraId="3DAD6C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47A5C0F0">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621AE78">
            <w:pPr>
              <w:spacing w:line="320" w:lineRule="exact"/>
              <w:jc w:val="center"/>
              <w:rPr>
                <w:rFonts w:ascii="宋体" w:hAnsi="宋体" w:cs="宋体"/>
                <w:color w:val="auto"/>
                <w:szCs w:val="21"/>
                <w:highlight w:val="none"/>
              </w:rPr>
            </w:pPr>
          </w:p>
        </w:tc>
        <w:tc>
          <w:tcPr>
            <w:tcW w:w="1884" w:type="dxa"/>
            <w:tcBorders>
              <w:top w:val="single" w:color="auto" w:sz="4" w:space="0"/>
              <w:left w:val="single" w:color="auto" w:sz="4" w:space="0"/>
              <w:bottom w:val="single" w:color="auto" w:sz="4" w:space="0"/>
              <w:right w:val="single" w:color="auto" w:sz="4" w:space="0"/>
            </w:tcBorders>
            <w:noWrap w:val="0"/>
            <w:vAlign w:val="center"/>
          </w:tcPr>
          <w:p w14:paraId="6600E0CF">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48605CF5">
            <w:pPr>
              <w:spacing w:line="320" w:lineRule="exact"/>
              <w:jc w:val="center"/>
              <w:rPr>
                <w:rFonts w:ascii="宋体" w:hAnsi="宋体" w:cs="宋体"/>
                <w:color w:val="auto"/>
                <w:szCs w:val="21"/>
                <w:highlight w:val="none"/>
              </w:rPr>
            </w:pPr>
          </w:p>
        </w:tc>
        <w:tc>
          <w:tcPr>
            <w:tcW w:w="1923" w:type="dxa"/>
            <w:tcBorders>
              <w:top w:val="single" w:color="auto" w:sz="4" w:space="0"/>
              <w:left w:val="single" w:color="auto" w:sz="4" w:space="0"/>
              <w:bottom w:val="single" w:color="auto" w:sz="4" w:space="0"/>
              <w:right w:val="single" w:color="auto" w:sz="4" w:space="0"/>
            </w:tcBorders>
            <w:noWrap w:val="0"/>
            <w:vAlign w:val="center"/>
          </w:tcPr>
          <w:p w14:paraId="60A07AA7">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5301932E">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3F9BC784">
            <w:pPr>
              <w:spacing w:line="320" w:lineRule="exact"/>
              <w:jc w:val="center"/>
              <w:rPr>
                <w:rFonts w:ascii="宋体" w:hAnsi="宋体" w:cs="宋体"/>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noWrap w:val="0"/>
            <w:vAlign w:val="center"/>
          </w:tcPr>
          <w:p w14:paraId="35D92822">
            <w:pPr>
              <w:spacing w:line="320" w:lineRule="exact"/>
              <w:jc w:val="center"/>
              <w:rPr>
                <w:rFonts w:ascii="宋体" w:hAnsi="宋体" w:cs="宋体"/>
                <w:color w:val="auto"/>
                <w:szCs w:val="21"/>
                <w:highlight w:val="none"/>
              </w:rPr>
            </w:pPr>
          </w:p>
        </w:tc>
      </w:tr>
      <w:tr w14:paraId="38DA5C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29F2EBEB">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AADAC50">
            <w:pPr>
              <w:spacing w:line="320" w:lineRule="exact"/>
              <w:jc w:val="center"/>
              <w:rPr>
                <w:rFonts w:ascii="宋体" w:hAnsi="宋体" w:cs="宋体"/>
                <w:color w:val="auto"/>
                <w:szCs w:val="21"/>
                <w:highlight w:val="none"/>
              </w:rPr>
            </w:pPr>
          </w:p>
        </w:tc>
        <w:tc>
          <w:tcPr>
            <w:tcW w:w="1884" w:type="dxa"/>
            <w:tcBorders>
              <w:top w:val="single" w:color="auto" w:sz="4" w:space="0"/>
              <w:left w:val="single" w:color="auto" w:sz="4" w:space="0"/>
              <w:bottom w:val="single" w:color="auto" w:sz="4" w:space="0"/>
              <w:right w:val="single" w:color="auto" w:sz="4" w:space="0"/>
            </w:tcBorders>
            <w:noWrap w:val="0"/>
            <w:vAlign w:val="center"/>
          </w:tcPr>
          <w:p w14:paraId="5921693E">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4C97BA87">
            <w:pPr>
              <w:spacing w:line="320" w:lineRule="exact"/>
              <w:jc w:val="center"/>
              <w:rPr>
                <w:rFonts w:ascii="宋体" w:hAnsi="宋体" w:cs="宋体"/>
                <w:color w:val="auto"/>
                <w:szCs w:val="21"/>
                <w:highlight w:val="none"/>
              </w:rPr>
            </w:pPr>
          </w:p>
        </w:tc>
        <w:tc>
          <w:tcPr>
            <w:tcW w:w="1923" w:type="dxa"/>
            <w:tcBorders>
              <w:top w:val="single" w:color="auto" w:sz="4" w:space="0"/>
              <w:left w:val="single" w:color="auto" w:sz="4" w:space="0"/>
              <w:bottom w:val="single" w:color="auto" w:sz="4" w:space="0"/>
              <w:right w:val="single" w:color="auto" w:sz="4" w:space="0"/>
            </w:tcBorders>
            <w:noWrap w:val="0"/>
            <w:vAlign w:val="center"/>
          </w:tcPr>
          <w:p w14:paraId="5F96D555">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38C145F5">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2FEAEC15">
            <w:pPr>
              <w:spacing w:line="320" w:lineRule="exact"/>
              <w:jc w:val="center"/>
              <w:rPr>
                <w:rFonts w:ascii="宋体" w:hAnsi="宋体" w:cs="宋体"/>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noWrap w:val="0"/>
            <w:vAlign w:val="center"/>
          </w:tcPr>
          <w:p w14:paraId="11BB1FC0">
            <w:pPr>
              <w:spacing w:line="320" w:lineRule="exact"/>
              <w:jc w:val="center"/>
              <w:rPr>
                <w:rFonts w:ascii="宋体" w:hAnsi="宋体" w:cs="宋体"/>
                <w:color w:val="auto"/>
                <w:szCs w:val="21"/>
                <w:highlight w:val="none"/>
              </w:rPr>
            </w:pPr>
          </w:p>
        </w:tc>
      </w:tr>
      <w:tr w14:paraId="30810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4C03420B">
            <w:pPr>
              <w:spacing w:line="320" w:lineRule="exact"/>
              <w:jc w:val="center"/>
              <w:rPr>
                <w:rFonts w:ascii="宋体" w:hAnsi="宋体" w:cs="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9F8DEB7">
            <w:pPr>
              <w:spacing w:line="320" w:lineRule="exact"/>
              <w:jc w:val="center"/>
              <w:rPr>
                <w:rFonts w:ascii="宋体" w:hAnsi="宋体" w:cs="宋体"/>
                <w:color w:val="auto"/>
                <w:szCs w:val="21"/>
                <w:highlight w:val="none"/>
              </w:rPr>
            </w:pPr>
            <w:r>
              <w:rPr>
                <w:rFonts w:hint="eastAsia"/>
                <w:color w:val="auto"/>
                <w:highlight w:val="none"/>
              </w:rPr>
              <w:t>汇总</w:t>
            </w:r>
          </w:p>
        </w:tc>
        <w:tc>
          <w:tcPr>
            <w:tcW w:w="1884" w:type="dxa"/>
            <w:tcBorders>
              <w:top w:val="single" w:color="auto" w:sz="4" w:space="0"/>
              <w:left w:val="single" w:color="auto" w:sz="4" w:space="0"/>
              <w:bottom w:val="single" w:color="auto" w:sz="4" w:space="0"/>
              <w:right w:val="single" w:color="auto" w:sz="4" w:space="0"/>
            </w:tcBorders>
            <w:noWrap w:val="0"/>
            <w:vAlign w:val="center"/>
          </w:tcPr>
          <w:p w14:paraId="0FC56409">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2B1087E1">
            <w:pPr>
              <w:spacing w:line="320" w:lineRule="exact"/>
              <w:jc w:val="center"/>
              <w:rPr>
                <w:rFonts w:ascii="宋体" w:hAnsi="宋体" w:cs="宋体"/>
                <w:color w:val="auto"/>
                <w:szCs w:val="21"/>
                <w:highlight w:val="none"/>
              </w:rPr>
            </w:pPr>
          </w:p>
        </w:tc>
        <w:tc>
          <w:tcPr>
            <w:tcW w:w="1923" w:type="dxa"/>
            <w:tcBorders>
              <w:top w:val="single" w:color="auto" w:sz="4" w:space="0"/>
              <w:left w:val="single" w:color="auto" w:sz="4" w:space="0"/>
              <w:bottom w:val="single" w:color="auto" w:sz="4" w:space="0"/>
              <w:right w:val="single" w:color="auto" w:sz="4" w:space="0"/>
            </w:tcBorders>
            <w:noWrap w:val="0"/>
            <w:vAlign w:val="center"/>
          </w:tcPr>
          <w:p w14:paraId="50FDB141">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6261D60C">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4379EAE4">
            <w:pPr>
              <w:spacing w:line="320" w:lineRule="exact"/>
              <w:jc w:val="center"/>
              <w:rPr>
                <w:rFonts w:ascii="宋体" w:hAnsi="宋体" w:cs="宋体"/>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noWrap w:val="0"/>
            <w:vAlign w:val="center"/>
          </w:tcPr>
          <w:p w14:paraId="52BE6E4A">
            <w:pPr>
              <w:spacing w:line="320" w:lineRule="exact"/>
              <w:jc w:val="center"/>
              <w:rPr>
                <w:rFonts w:ascii="宋体" w:hAnsi="宋体" w:cs="宋体"/>
                <w:color w:val="auto"/>
                <w:szCs w:val="21"/>
                <w:highlight w:val="none"/>
              </w:rPr>
            </w:pPr>
          </w:p>
        </w:tc>
      </w:tr>
    </w:tbl>
    <w:p w14:paraId="32179296">
      <w:pPr>
        <w:rPr>
          <w:rFonts w:ascii="宋体" w:hAnsi="宋体"/>
          <w:color w:val="auto"/>
          <w:highlight w:val="none"/>
        </w:rPr>
      </w:pPr>
    </w:p>
    <w:p w14:paraId="4AD450CF">
      <w:pPr>
        <w:rPr>
          <w:rFonts w:ascii="宋体" w:hAnsi="宋体"/>
          <w:color w:val="auto"/>
          <w:highlight w:val="none"/>
        </w:rPr>
      </w:pPr>
      <w:r>
        <w:rPr>
          <w:rFonts w:hint="eastAsia" w:ascii="宋体" w:hAnsi="宋体" w:cs="宋体"/>
          <w:b/>
          <w:color w:val="auto"/>
          <w:highlight w:val="none"/>
        </w:rPr>
        <w:t>注：表格最终以广州交易集团有限公司（广州公共资源交易中心）系统生成的为准。</w:t>
      </w:r>
    </w:p>
    <w:p w14:paraId="3B452E9E">
      <w:pPr>
        <w:spacing w:line="200" w:lineRule="exact"/>
        <w:rPr>
          <w:rFonts w:ascii="宋体" w:hAnsi="宋体"/>
          <w:color w:val="auto"/>
          <w:sz w:val="18"/>
          <w:szCs w:val="18"/>
          <w:highlight w:val="none"/>
        </w:rPr>
        <w:sectPr>
          <w:pgSz w:w="16838" w:h="11906" w:orient="landscape"/>
          <w:pgMar w:top="1797" w:right="1440" w:bottom="1797" w:left="1440" w:header="851" w:footer="992" w:gutter="0"/>
          <w:cols w:space="720" w:num="1"/>
          <w:docGrid w:linePitch="312" w:charSpace="0"/>
        </w:sectPr>
      </w:pPr>
    </w:p>
    <w:p w14:paraId="13B44B4C">
      <w:pPr>
        <w:jc w:val="center"/>
        <w:rPr>
          <w:rFonts w:ascii="宋体" w:hAnsi="宋体"/>
          <w:b/>
          <w:color w:val="auto"/>
          <w:sz w:val="30"/>
          <w:szCs w:val="30"/>
          <w:highlight w:val="none"/>
        </w:rPr>
      </w:pPr>
      <w:r>
        <w:rPr>
          <w:rFonts w:hint="eastAsia" w:ascii="宋体" w:hAnsi="宋体"/>
          <w:b/>
          <w:color w:val="auto"/>
          <w:sz w:val="30"/>
          <w:szCs w:val="30"/>
          <w:highlight w:val="none"/>
        </w:rPr>
        <w:t>形式</w:t>
      </w:r>
      <w:r>
        <w:rPr>
          <w:rFonts w:ascii="宋体" w:hAnsi="宋体"/>
          <w:b/>
          <w:color w:val="auto"/>
          <w:sz w:val="30"/>
          <w:szCs w:val="30"/>
          <w:highlight w:val="none"/>
        </w:rPr>
        <w:t>评审结果汇总表</w:t>
      </w:r>
    </w:p>
    <w:p w14:paraId="643B7140">
      <w:pPr>
        <w:rPr>
          <w:rFonts w:ascii="宋体" w:hAnsi="宋体"/>
          <w:color w:val="auto"/>
          <w:highlight w:val="none"/>
        </w:rPr>
      </w:pPr>
      <w:r>
        <w:rPr>
          <w:rFonts w:hint="eastAsia" w:ascii="宋体" w:hAnsi="宋体"/>
          <w:color w:val="auto"/>
          <w:highlight w:val="none"/>
        </w:rPr>
        <w:t>项目编号：</w:t>
      </w:r>
    </w:p>
    <w:p w14:paraId="3C553BD9">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3"/>
        <w:gridCol w:w="2432"/>
        <w:gridCol w:w="1832"/>
        <w:gridCol w:w="1832"/>
        <w:gridCol w:w="1832"/>
        <w:gridCol w:w="1832"/>
        <w:gridCol w:w="1832"/>
        <w:gridCol w:w="1833"/>
      </w:tblGrid>
      <w:tr w14:paraId="54840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43" w:type="dxa"/>
            <w:vMerge w:val="restart"/>
            <w:tcBorders>
              <w:top w:val="single" w:color="auto" w:sz="4" w:space="0"/>
              <w:left w:val="single" w:color="auto" w:sz="4" w:space="0"/>
              <w:right w:val="single" w:color="auto" w:sz="4" w:space="0"/>
            </w:tcBorders>
            <w:noWrap w:val="0"/>
            <w:vAlign w:val="center"/>
          </w:tcPr>
          <w:p w14:paraId="4ABBE3F9">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432" w:type="dxa"/>
            <w:vMerge w:val="restart"/>
            <w:tcBorders>
              <w:top w:val="single" w:color="auto" w:sz="4" w:space="0"/>
              <w:left w:val="single" w:color="auto" w:sz="4" w:space="0"/>
              <w:right w:val="single" w:color="auto" w:sz="4" w:space="0"/>
            </w:tcBorders>
            <w:noWrap w:val="0"/>
            <w:vAlign w:val="center"/>
          </w:tcPr>
          <w:p w14:paraId="493724AB">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993" w:type="dxa"/>
            <w:gridSpan w:val="6"/>
            <w:tcBorders>
              <w:top w:val="single" w:color="auto" w:sz="4" w:space="0"/>
              <w:left w:val="single" w:color="auto" w:sz="4" w:space="0"/>
              <w:bottom w:val="single" w:color="auto" w:sz="4" w:space="0"/>
              <w:right w:val="single" w:color="auto" w:sz="4" w:space="0"/>
            </w:tcBorders>
            <w:noWrap w:val="0"/>
            <w:vAlign w:val="center"/>
          </w:tcPr>
          <w:p w14:paraId="2240148D">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投标人及形式评审结果</w:t>
            </w:r>
          </w:p>
        </w:tc>
      </w:tr>
      <w:tr w14:paraId="7AB2EB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543" w:type="dxa"/>
            <w:vMerge w:val="continue"/>
            <w:tcBorders>
              <w:left w:val="single" w:color="auto" w:sz="4" w:space="0"/>
              <w:bottom w:val="single" w:color="auto" w:sz="4" w:space="0"/>
              <w:right w:val="single" w:color="auto" w:sz="4" w:space="0"/>
            </w:tcBorders>
            <w:noWrap w:val="0"/>
            <w:vAlign w:val="center"/>
          </w:tcPr>
          <w:p w14:paraId="42D34394">
            <w:pPr>
              <w:spacing w:line="320" w:lineRule="exact"/>
              <w:jc w:val="center"/>
              <w:rPr>
                <w:rFonts w:ascii="宋体" w:hAnsi="宋体" w:cs="宋体"/>
                <w:color w:val="auto"/>
                <w:szCs w:val="21"/>
                <w:highlight w:val="none"/>
              </w:rPr>
            </w:pPr>
          </w:p>
        </w:tc>
        <w:tc>
          <w:tcPr>
            <w:tcW w:w="2432" w:type="dxa"/>
            <w:vMerge w:val="continue"/>
            <w:tcBorders>
              <w:left w:val="single" w:color="auto" w:sz="4" w:space="0"/>
              <w:bottom w:val="single" w:color="auto" w:sz="4" w:space="0"/>
              <w:right w:val="single" w:color="auto" w:sz="4" w:space="0"/>
            </w:tcBorders>
            <w:noWrap w:val="0"/>
            <w:vAlign w:val="center"/>
          </w:tcPr>
          <w:p w14:paraId="568EB211">
            <w:pPr>
              <w:spacing w:line="320" w:lineRule="exact"/>
              <w:jc w:val="center"/>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center"/>
          </w:tcPr>
          <w:p w14:paraId="28BF8FE7">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投标人一</w:t>
            </w:r>
          </w:p>
        </w:tc>
        <w:tc>
          <w:tcPr>
            <w:tcW w:w="1832" w:type="dxa"/>
            <w:tcBorders>
              <w:top w:val="single" w:color="auto" w:sz="4" w:space="0"/>
              <w:left w:val="single" w:color="auto" w:sz="4" w:space="0"/>
              <w:bottom w:val="single" w:color="auto" w:sz="4" w:space="0"/>
              <w:right w:val="single" w:color="auto" w:sz="4" w:space="0"/>
            </w:tcBorders>
            <w:noWrap w:val="0"/>
            <w:vAlign w:val="center"/>
          </w:tcPr>
          <w:p w14:paraId="5661A45D">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投标人二</w:t>
            </w:r>
          </w:p>
        </w:tc>
        <w:tc>
          <w:tcPr>
            <w:tcW w:w="1832" w:type="dxa"/>
            <w:tcBorders>
              <w:top w:val="single" w:color="auto" w:sz="4" w:space="0"/>
              <w:left w:val="single" w:color="auto" w:sz="4" w:space="0"/>
              <w:bottom w:val="single" w:color="auto" w:sz="4" w:space="0"/>
              <w:right w:val="single" w:color="auto" w:sz="4" w:space="0"/>
            </w:tcBorders>
            <w:noWrap w:val="0"/>
            <w:vAlign w:val="center"/>
          </w:tcPr>
          <w:p w14:paraId="69EE79A8">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投标人三</w:t>
            </w:r>
          </w:p>
        </w:tc>
        <w:tc>
          <w:tcPr>
            <w:tcW w:w="1832" w:type="dxa"/>
            <w:tcBorders>
              <w:top w:val="single" w:color="auto" w:sz="4" w:space="0"/>
              <w:left w:val="single" w:color="auto" w:sz="4" w:space="0"/>
              <w:bottom w:val="single" w:color="auto" w:sz="4" w:space="0"/>
              <w:right w:val="single" w:color="auto" w:sz="4" w:space="0"/>
            </w:tcBorders>
            <w:noWrap w:val="0"/>
            <w:vAlign w:val="top"/>
          </w:tcPr>
          <w:p w14:paraId="7815D29E">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5751A429">
            <w:pPr>
              <w:spacing w:line="320" w:lineRule="exact"/>
              <w:rPr>
                <w:rFonts w:ascii="宋体" w:hAnsi="宋体" w:cs="宋体"/>
                <w:color w:val="auto"/>
                <w:szCs w:val="21"/>
                <w:highlight w:val="none"/>
              </w:rPr>
            </w:pPr>
          </w:p>
        </w:tc>
        <w:tc>
          <w:tcPr>
            <w:tcW w:w="1833" w:type="dxa"/>
            <w:tcBorders>
              <w:top w:val="single" w:color="auto" w:sz="4" w:space="0"/>
              <w:left w:val="single" w:color="auto" w:sz="4" w:space="0"/>
              <w:bottom w:val="single" w:color="auto" w:sz="4" w:space="0"/>
              <w:right w:val="single" w:color="auto" w:sz="4" w:space="0"/>
            </w:tcBorders>
            <w:noWrap w:val="0"/>
            <w:vAlign w:val="top"/>
          </w:tcPr>
          <w:p w14:paraId="60B7BBDB">
            <w:pPr>
              <w:spacing w:line="320" w:lineRule="exact"/>
              <w:rPr>
                <w:rFonts w:ascii="宋体" w:hAnsi="宋体" w:cs="宋体"/>
                <w:color w:val="auto"/>
                <w:szCs w:val="21"/>
                <w:highlight w:val="none"/>
              </w:rPr>
            </w:pPr>
          </w:p>
        </w:tc>
      </w:tr>
      <w:tr w14:paraId="58A737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543" w:type="dxa"/>
            <w:tcBorders>
              <w:top w:val="single" w:color="auto" w:sz="4" w:space="0"/>
              <w:left w:val="single" w:color="auto" w:sz="4" w:space="0"/>
              <w:bottom w:val="single" w:color="auto" w:sz="4" w:space="0"/>
              <w:right w:val="single" w:color="auto" w:sz="4" w:space="0"/>
            </w:tcBorders>
            <w:noWrap w:val="0"/>
            <w:vAlign w:val="center"/>
          </w:tcPr>
          <w:p w14:paraId="01CE9807">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432" w:type="dxa"/>
            <w:tcBorders>
              <w:top w:val="single" w:color="auto" w:sz="4" w:space="0"/>
              <w:left w:val="single" w:color="auto" w:sz="4" w:space="0"/>
              <w:bottom w:val="single" w:color="auto" w:sz="4" w:space="0"/>
              <w:right w:val="single" w:color="auto" w:sz="4" w:space="0"/>
            </w:tcBorders>
            <w:noWrap w:val="0"/>
            <w:vAlign w:val="center"/>
          </w:tcPr>
          <w:p w14:paraId="77E0B2DC">
            <w:pPr>
              <w:spacing w:line="320" w:lineRule="exact"/>
              <w:jc w:val="center"/>
              <w:rPr>
                <w:rFonts w:ascii="宋体" w:hAnsi="宋体" w:cs="宋体"/>
                <w:color w:val="auto"/>
                <w:szCs w:val="21"/>
                <w:highlight w:val="none"/>
              </w:rPr>
            </w:pPr>
            <w:r>
              <w:rPr>
                <w:rFonts w:hint="eastAsia"/>
                <w:color w:val="auto"/>
                <w:szCs w:val="21"/>
                <w:highlight w:val="none"/>
              </w:rPr>
              <w:t>形式评审1</w:t>
            </w:r>
          </w:p>
        </w:tc>
        <w:tc>
          <w:tcPr>
            <w:tcW w:w="1832" w:type="dxa"/>
            <w:tcBorders>
              <w:top w:val="single" w:color="auto" w:sz="4" w:space="0"/>
              <w:left w:val="single" w:color="auto" w:sz="4" w:space="0"/>
              <w:bottom w:val="single" w:color="auto" w:sz="4" w:space="0"/>
              <w:right w:val="single" w:color="auto" w:sz="4" w:space="0"/>
            </w:tcBorders>
            <w:noWrap w:val="0"/>
            <w:vAlign w:val="center"/>
          </w:tcPr>
          <w:p w14:paraId="34C9D8B7">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通过或不通过</w:t>
            </w:r>
          </w:p>
        </w:tc>
        <w:tc>
          <w:tcPr>
            <w:tcW w:w="1832" w:type="dxa"/>
            <w:tcBorders>
              <w:top w:val="single" w:color="auto" w:sz="4" w:space="0"/>
              <w:left w:val="single" w:color="auto" w:sz="4" w:space="0"/>
              <w:bottom w:val="single" w:color="auto" w:sz="4" w:space="0"/>
              <w:right w:val="single" w:color="auto" w:sz="4" w:space="0"/>
            </w:tcBorders>
            <w:noWrap w:val="0"/>
            <w:vAlign w:val="center"/>
          </w:tcPr>
          <w:p w14:paraId="18774721">
            <w:pPr>
              <w:spacing w:line="320" w:lineRule="exact"/>
              <w:jc w:val="center"/>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center"/>
          </w:tcPr>
          <w:p w14:paraId="1BB9AEED">
            <w:pPr>
              <w:spacing w:line="320" w:lineRule="exact"/>
              <w:jc w:val="center"/>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4CF820DA">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2D4D84BD">
            <w:pPr>
              <w:spacing w:line="320" w:lineRule="exact"/>
              <w:rPr>
                <w:rFonts w:ascii="宋体" w:hAnsi="宋体" w:cs="宋体"/>
                <w:color w:val="auto"/>
                <w:szCs w:val="21"/>
                <w:highlight w:val="none"/>
              </w:rPr>
            </w:pPr>
          </w:p>
        </w:tc>
        <w:tc>
          <w:tcPr>
            <w:tcW w:w="1833" w:type="dxa"/>
            <w:tcBorders>
              <w:top w:val="single" w:color="auto" w:sz="4" w:space="0"/>
              <w:left w:val="single" w:color="auto" w:sz="4" w:space="0"/>
              <w:bottom w:val="single" w:color="auto" w:sz="4" w:space="0"/>
              <w:right w:val="single" w:color="auto" w:sz="4" w:space="0"/>
            </w:tcBorders>
            <w:noWrap w:val="0"/>
            <w:vAlign w:val="top"/>
          </w:tcPr>
          <w:p w14:paraId="6B674E3A">
            <w:pPr>
              <w:spacing w:line="320" w:lineRule="exact"/>
              <w:rPr>
                <w:rFonts w:ascii="宋体" w:hAnsi="宋体" w:cs="宋体"/>
                <w:color w:val="auto"/>
                <w:szCs w:val="21"/>
                <w:highlight w:val="none"/>
              </w:rPr>
            </w:pPr>
          </w:p>
        </w:tc>
      </w:tr>
      <w:tr w14:paraId="5F02A3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543" w:type="dxa"/>
            <w:tcBorders>
              <w:top w:val="single" w:color="auto" w:sz="4" w:space="0"/>
              <w:left w:val="single" w:color="auto" w:sz="4" w:space="0"/>
              <w:bottom w:val="single" w:color="auto" w:sz="4" w:space="0"/>
              <w:right w:val="single" w:color="auto" w:sz="4" w:space="0"/>
            </w:tcBorders>
            <w:noWrap w:val="0"/>
            <w:vAlign w:val="center"/>
          </w:tcPr>
          <w:p w14:paraId="7EC3BFE5">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432" w:type="dxa"/>
            <w:tcBorders>
              <w:top w:val="single" w:color="auto" w:sz="4" w:space="0"/>
              <w:left w:val="single" w:color="auto" w:sz="4" w:space="0"/>
              <w:bottom w:val="single" w:color="auto" w:sz="4" w:space="0"/>
              <w:right w:val="single" w:color="auto" w:sz="4" w:space="0"/>
            </w:tcBorders>
            <w:noWrap w:val="0"/>
            <w:vAlign w:val="center"/>
          </w:tcPr>
          <w:p w14:paraId="175A1A25">
            <w:pPr>
              <w:spacing w:line="320" w:lineRule="exact"/>
              <w:jc w:val="center"/>
              <w:rPr>
                <w:rFonts w:ascii="宋体" w:hAnsi="宋体" w:cs="宋体"/>
                <w:color w:val="auto"/>
                <w:szCs w:val="21"/>
                <w:highlight w:val="none"/>
              </w:rPr>
            </w:pPr>
            <w:r>
              <w:rPr>
                <w:rFonts w:hint="eastAsia"/>
                <w:color w:val="auto"/>
                <w:szCs w:val="21"/>
                <w:highlight w:val="none"/>
              </w:rPr>
              <w:t>形式评审2</w:t>
            </w:r>
          </w:p>
        </w:tc>
        <w:tc>
          <w:tcPr>
            <w:tcW w:w="1832" w:type="dxa"/>
            <w:tcBorders>
              <w:top w:val="single" w:color="auto" w:sz="4" w:space="0"/>
              <w:left w:val="single" w:color="auto" w:sz="4" w:space="0"/>
              <w:bottom w:val="single" w:color="auto" w:sz="4" w:space="0"/>
              <w:right w:val="single" w:color="auto" w:sz="4" w:space="0"/>
            </w:tcBorders>
            <w:noWrap w:val="0"/>
            <w:vAlign w:val="top"/>
          </w:tcPr>
          <w:p w14:paraId="4ECE377B">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7AB21051">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4F61D7DD">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488C9C3C">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6345C064">
            <w:pPr>
              <w:spacing w:line="320" w:lineRule="exact"/>
              <w:rPr>
                <w:rFonts w:ascii="宋体" w:hAnsi="宋体" w:cs="宋体"/>
                <w:color w:val="auto"/>
                <w:szCs w:val="21"/>
                <w:highlight w:val="none"/>
              </w:rPr>
            </w:pPr>
          </w:p>
        </w:tc>
        <w:tc>
          <w:tcPr>
            <w:tcW w:w="1833" w:type="dxa"/>
            <w:tcBorders>
              <w:top w:val="single" w:color="auto" w:sz="4" w:space="0"/>
              <w:left w:val="single" w:color="auto" w:sz="4" w:space="0"/>
              <w:bottom w:val="single" w:color="auto" w:sz="4" w:space="0"/>
              <w:right w:val="single" w:color="auto" w:sz="4" w:space="0"/>
            </w:tcBorders>
            <w:noWrap w:val="0"/>
            <w:vAlign w:val="top"/>
          </w:tcPr>
          <w:p w14:paraId="686CA233">
            <w:pPr>
              <w:spacing w:line="320" w:lineRule="exact"/>
              <w:rPr>
                <w:rFonts w:ascii="宋体" w:hAnsi="宋体" w:cs="宋体"/>
                <w:color w:val="auto"/>
                <w:szCs w:val="21"/>
                <w:highlight w:val="none"/>
              </w:rPr>
            </w:pPr>
          </w:p>
        </w:tc>
      </w:tr>
      <w:tr w14:paraId="45BD45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43" w:type="dxa"/>
            <w:tcBorders>
              <w:top w:val="single" w:color="auto" w:sz="4" w:space="0"/>
              <w:left w:val="single" w:color="auto" w:sz="4" w:space="0"/>
              <w:bottom w:val="single" w:color="auto" w:sz="4" w:space="0"/>
              <w:right w:val="single" w:color="auto" w:sz="4" w:space="0"/>
            </w:tcBorders>
            <w:noWrap w:val="0"/>
            <w:vAlign w:val="center"/>
          </w:tcPr>
          <w:p w14:paraId="27567E05">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432" w:type="dxa"/>
            <w:tcBorders>
              <w:top w:val="single" w:color="auto" w:sz="4" w:space="0"/>
              <w:left w:val="single" w:color="auto" w:sz="4" w:space="0"/>
              <w:bottom w:val="single" w:color="auto" w:sz="4" w:space="0"/>
              <w:right w:val="single" w:color="auto" w:sz="4" w:space="0"/>
            </w:tcBorders>
            <w:noWrap w:val="0"/>
            <w:vAlign w:val="center"/>
          </w:tcPr>
          <w:p w14:paraId="5E284C1B">
            <w:pPr>
              <w:spacing w:line="320" w:lineRule="exact"/>
              <w:jc w:val="center"/>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1801B54C">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40A95289">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21C88A6E">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583B1A4A">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528066C7">
            <w:pPr>
              <w:spacing w:line="320" w:lineRule="exact"/>
              <w:rPr>
                <w:rFonts w:ascii="宋体" w:hAnsi="宋体" w:cs="宋体"/>
                <w:color w:val="auto"/>
                <w:szCs w:val="21"/>
                <w:highlight w:val="none"/>
              </w:rPr>
            </w:pPr>
          </w:p>
        </w:tc>
        <w:tc>
          <w:tcPr>
            <w:tcW w:w="1833" w:type="dxa"/>
            <w:tcBorders>
              <w:top w:val="single" w:color="auto" w:sz="4" w:space="0"/>
              <w:left w:val="single" w:color="auto" w:sz="4" w:space="0"/>
              <w:bottom w:val="single" w:color="auto" w:sz="4" w:space="0"/>
              <w:right w:val="single" w:color="auto" w:sz="4" w:space="0"/>
            </w:tcBorders>
            <w:noWrap w:val="0"/>
            <w:vAlign w:val="top"/>
          </w:tcPr>
          <w:p w14:paraId="23448B09">
            <w:pPr>
              <w:spacing w:line="320" w:lineRule="exact"/>
              <w:rPr>
                <w:rFonts w:ascii="宋体" w:hAnsi="宋体" w:cs="宋体"/>
                <w:color w:val="auto"/>
                <w:szCs w:val="21"/>
                <w:highlight w:val="none"/>
              </w:rPr>
            </w:pPr>
          </w:p>
        </w:tc>
      </w:tr>
      <w:tr w14:paraId="766D19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543" w:type="dxa"/>
            <w:tcBorders>
              <w:top w:val="single" w:color="auto" w:sz="4" w:space="0"/>
              <w:left w:val="single" w:color="auto" w:sz="4" w:space="0"/>
              <w:bottom w:val="single" w:color="auto" w:sz="4" w:space="0"/>
              <w:right w:val="single" w:color="auto" w:sz="4" w:space="0"/>
            </w:tcBorders>
            <w:noWrap w:val="0"/>
            <w:vAlign w:val="center"/>
          </w:tcPr>
          <w:p w14:paraId="1E29E255">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432" w:type="dxa"/>
            <w:tcBorders>
              <w:top w:val="single" w:color="auto" w:sz="4" w:space="0"/>
              <w:left w:val="single" w:color="auto" w:sz="4" w:space="0"/>
              <w:bottom w:val="single" w:color="auto" w:sz="4" w:space="0"/>
              <w:right w:val="single" w:color="auto" w:sz="4" w:space="0"/>
            </w:tcBorders>
            <w:noWrap w:val="0"/>
            <w:vAlign w:val="center"/>
          </w:tcPr>
          <w:p w14:paraId="2F109044">
            <w:pPr>
              <w:spacing w:line="320" w:lineRule="exact"/>
              <w:jc w:val="center"/>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4EC1558F">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75F0A8E4">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2B8DAFAF">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294752C2">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14718793">
            <w:pPr>
              <w:spacing w:line="320" w:lineRule="exact"/>
              <w:rPr>
                <w:rFonts w:ascii="宋体" w:hAnsi="宋体" w:cs="宋体"/>
                <w:color w:val="auto"/>
                <w:szCs w:val="21"/>
                <w:highlight w:val="none"/>
              </w:rPr>
            </w:pPr>
          </w:p>
        </w:tc>
        <w:tc>
          <w:tcPr>
            <w:tcW w:w="1833" w:type="dxa"/>
            <w:tcBorders>
              <w:top w:val="single" w:color="auto" w:sz="4" w:space="0"/>
              <w:left w:val="single" w:color="auto" w:sz="4" w:space="0"/>
              <w:bottom w:val="single" w:color="auto" w:sz="4" w:space="0"/>
              <w:right w:val="single" w:color="auto" w:sz="4" w:space="0"/>
            </w:tcBorders>
            <w:noWrap w:val="0"/>
            <w:vAlign w:val="top"/>
          </w:tcPr>
          <w:p w14:paraId="30195A34">
            <w:pPr>
              <w:spacing w:line="320" w:lineRule="exact"/>
              <w:rPr>
                <w:rFonts w:ascii="宋体" w:hAnsi="宋体" w:cs="宋体"/>
                <w:color w:val="auto"/>
                <w:szCs w:val="21"/>
                <w:highlight w:val="none"/>
              </w:rPr>
            </w:pPr>
          </w:p>
        </w:tc>
      </w:tr>
      <w:tr w14:paraId="0BB1AE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543" w:type="dxa"/>
            <w:tcBorders>
              <w:top w:val="single" w:color="auto" w:sz="4" w:space="0"/>
              <w:left w:val="single" w:color="auto" w:sz="4" w:space="0"/>
              <w:bottom w:val="single" w:color="auto" w:sz="4" w:space="0"/>
              <w:right w:val="single" w:color="auto" w:sz="4" w:space="0"/>
            </w:tcBorders>
            <w:noWrap w:val="0"/>
            <w:vAlign w:val="center"/>
          </w:tcPr>
          <w:p w14:paraId="5340FEC8">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2432" w:type="dxa"/>
            <w:tcBorders>
              <w:top w:val="single" w:color="auto" w:sz="4" w:space="0"/>
              <w:left w:val="single" w:color="auto" w:sz="4" w:space="0"/>
              <w:bottom w:val="single" w:color="auto" w:sz="4" w:space="0"/>
              <w:right w:val="single" w:color="auto" w:sz="4" w:space="0"/>
            </w:tcBorders>
            <w:noWrap w:val="0"/>
            <w:vAlign w:val="top"/>
          </w:tcPr>
          <w:p w14:paraId="5265DB95">
            <w:pPr>
              <w:spacing w:line="320" w:lineRule="exact"/>
              <w:jc w:val="center"/>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533DB97F">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4828776A">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10A84F09">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3EF31606">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2742E2BE">
            <w:pPr>
              <w:spacing w:line="320" w:lineRule="exact"/>
              <w:rPr>
                <w:rFonts w:ascii="宋体" w:hAnsi="宋体" w:cs="宋体"/>
                <w:color w:val="auto"/>
                <w:szCs w:val="21"/>
                <w:highlight w:val="none"/>
              </w:rPr>
            </w:pPr>
          </w:p>
        </w:tc>
        <w:tc>
          <w:tcPr>
            <w:tcW w:w="1833" w:type="dxa"/>
            <w:tcBorders>
              <w:top w:val="single" w:color="auto" w:sz="4" w:space="0"/>
              <w:left w:val="single" w:color="auto" w:sz="4" w:space="0"/>
              <w:bottom w:val="single" w:color="auto" w:sz="4" w:space="0"/>
              <w:right w:val="single" w:color="auto" w:sz="4" w:space="0"/>
            </w:tcBorders>
            <w:noWrap w:val="0"/>
            <w:vAlign w:val="top"/>
          </w:tcPr>
          <w:p w14:paraId="18CBC0AF">
            <w:pPr>
              <w:spacing w:line="320" w:lineRule="exact"/>
              <w:rPr>
                <w:rFonts w:ascii="宋体" w:hAnsi="宋体" w:cs="宋体"/>
                <w:color w:val="auto"/>
                <w:szCs w:val="21"/>
                <w:highlight w:val="none"/>
              </w:rPr>
            </w:pPr>
          </w:p>
        </w:tc>
      </w:tr>
      <w:tr w14:paraId="13E7C5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2975" w:type="dxa"/>
            <w:gridSpan w:val="2"/>
            <w:tcBorders>
              <w:top w:val="single" w:color="auto" w:sz="4" w:space="0"/>
              <w:left w:val="single" w:color="auto" w:sz="4" w:space="0"/>
              <w:bottom w:val="single" w:color="auto" w:sz="4" w:space="0"/>
              <w:right w:val="single" w:color="auto" w:sz="4" w:space="0"/>
            </w:tcBorders>
            <w:noWrap w:val="0"/>
            <w:vAlign w:val="center"/>
          </w:tcPr>
          <w:p w14:paraId="60AA302A">
            <w:pPr>
              <w:spacing w:line="320" w:lineRule="exact"/>
              <w:jc w:val="center"/>
              <w:rPr>
                <w:rFonts w:ascii="宋体" w:hAnsi="宋体" w:cs="宋体"/>
                <w:color w:val="auto"/>
                <w:highlight w:val="none"/>
              </w:rPr>
            </w:pPr>
            <w:r>
              <w:rPr>
                <w:rFonts w:hint="eastAsia" w:ascii="宋体" w:hAnsi="宋体" w:cs="宋体"/>
                <w:color w:val="auto"/>
                <w:highlight w:val="none"/>
              </w:rPr>
              <w:t>汇总</w:t>
            </w:r>
          </w:p>
        </w:tc>
        <w:tc>
          <w:tcPr>
            <w:tcW w:w="1832" w:type="dxa"/>
            <w:tcBorders>
              <w:top w:val="single" w:color="auto" w:sz="4" w:space="0"/>
              <w:left w:val="single" w:color="auto" w:sz="4" w:space="0"/>
              <w:bottom w:val="single" w:color="auto" w:sz="4" w:space="0"/>
              <w:right w:val="single" w:color="auto" w:sz="4" w:space="0"/>
            </w:tcBorders>
            <w:noWrap w:val="0"/>
            <w:vAlign w:val="top"/>
          </w:tcPr>
          <w:p w14:paraId="576C7877">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1FED11DF">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07C574FA">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4F29BBA5">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58D8F25D">
            <w:pPr>
              <w:spacing w:line="320" w:lineRule="exact"/>
              <w:rPr>
                <w:rFonts w:ascii="宋体" w:hAnsi="宋体" w:cs="宋体"/>
                <w:color w:val="auto"/>
                <w:szCs w:val="21"/>
                <w:highlight w:val="none"/>
              </w:rPr>
            </w:pPr>
          </w:p>
        </w:tc>
        <w:tc>
          <w:tcPr>
            <w:tcW w:w="1833" w:type="dxa"/>
            <w:tcBorders>
              <w:top w:val="single" w:color="auto" w:sz="4" w:space="0"/>
              <w:left w:val="single" w:color="auto" w:sz="4" w:space="0"/>
              <w:bottom w:val="single" w:color="auto" w:sz="4" w:space="0"/>
              <w:right w:val="single" w:color="auto" w:sz="4" w:space="0"/>
            </w:tcBorders>
            <w:noWrap w:val="0"/>
            <w:vAlign w:val="top"/>
          </w:tcPr>
          <w:p w14:paraId="6044F0D5">
            <w:pPr>
              <w:spacing w:line="320" w:lineRule="exact"/>
              <w:rPr>
                <w:rFonts w:ascii="宋体" w:hAnsi="宋体" w:cs="宋体"/>
                <w:color w:val="auto"/>
                <w:szCs w:val="21"/>
                <w:highlight w:val="none"/>
              </w:rPr>
            </w:pPr>
          </w:p>
        </w:tc>
      </w:tr>
    </w:tbl>
    <w:p w14:paraId="0D0AAC0E">
      <w:pPr>
        <w:spacing w:line="360" w:lineRule="auto"/>
        <w:jc w:val="left"/>
        <w:rPr>
          <w:rFonts w:ascii="宋体" w:hAnsi="宋体"/>
          <w:color w:val="auto"/>
          <w:sz w:val="24"/>
          <w:highlight w:val="none"/>
        </w:rPr>
      </w:pPr>
    </w:p>
    <w:p w14:paraId="0F883948">
      <w:pPr>
        <w:spacing w:line="360" w:lineRule="auto"/>
        <w:jc w:val="left"/>
        <w:rPr>
          <w:rFonts w:ascii="宋体" w:hAnsi="宋体"/>
          <w:b/>
          <w:color w:val="auto"/>
          <w:sz w:val="36"/>
          <w:szCs w:val="36"/>
          <w:highlight w:val="none"/>
        </w:rPr>
        <w:sectPr>
          <w:pgSz w:w="16838" w:h="11906" w:orient="landscape"/>
          <w:pgMar w:top="1797" w:right="1440" w:bottom="1797" w:left="1440" w:header="851" w:footer="992" w:gutter="0"/>
          <w:cols w:space="720" w:num="1"/>
          <w:docGrid w:linePitch="312" w:charSpace="0"/>
        </w:sectPr>
      </w:pPr>
      <w:r>
        <w:rPr>
          <w:rFonts w:hint="eastAsia" w:ascii="宋体" w:hAnsi="宋体" w:cs="宋体"/>
          <w:b/>
          <w:color w:val="auto"/>
          <w:highlight w:val="none"/>
        </w:rPr>
        <w:t>注：表格最终以广州交易集团有限公司（广州公共资源交易中心）系统生成的为准。</w:t>
      </w:r>
    </w:p>
    <w:p w14:paraId="57D99CE9">
      <w:pPr>
        <w:spacing w:line="360" w:lineRule="auto"/>
        <w:jc w:val="left"/>
        <w:outlineLvl w:val="2"/>
        <w:rPr>
          <w:rFonts w:ascii="宋体" w:hAnsi="宋体"/>
          <w:color w:val="auto"/>
          <w:sz w:val="28"/>
          <w:szCs w:val="27"/>
          <w:highlight w:val="none"/>
        </w:rPr>
      </w:pPr>
      <w:bookmarkStart w:id="258" w:name="_Toc180758571"/>
      <w:bookmarkStart w:id="259" w:name="_Toc115179788"/>
      <w:r>
        <w:rPr>
          <w:rFonts w:hint="eastAsia" w:ascii="宋体" w:hAnsi="宋体"/>
          <w:color w:val="auto"/>
          <w:sz w:val="28"/>
          <w:szCs w:val="27"/>
          <w:highlight w:val="none"/>
        </w:rPr>
        <w:t>附表3：响应性</w:t>
      </w:r>
      <w:r>
        <w:rPr>
          <w:rFonts w:ascii="宋体" w:hAnsi="宋体"/>
          <w:color w:val="auto"/>
          <w:sz w:val="28"/>
          <w:szCs w:val="27"/>
          <w:highlight w:val="none"/>
        </w:rPr>
        <w:t>评审记录表</w:t>
      </w:r>
      <w:r>
        <w:rPr>
          <w:rFonts w:hint="eastAsia" w:ascii="宋体" w:hAnsi="宋体"/>
          <w:color w:val="auto"/>
          <w:sz w:val="28"/>
          <w:szCs w:val="27"/>
          <w:highlight w:val="none"/>
        </w:rPr>
        <w:t>（格式）</w:t>
      </w:r>
      <w:bookmarkEnd w:id="258"/>
      <w:bookmarkEnd w:id="259"/>
    </w:p>
    <w:p w14:paraId="2A6165D7">
      <w:pPr>
        <w:jc w:val="center"/>
        <w:rPr>
          <w:rFonts w:ascii="宋体" w:hAnsi="宋体"/>
          <w:b/>
          <w:color w:val="auto"/>
          <w:sz w:val="30"/>
          <w:szCs w:val="30"/>
          <w:highlight w:val="none"/>
        </w:rPr>
      </w:pPr>
      <w:r>
        <w:rPr>
          <w:rFonts w:hint="eastAsia" w:ascii="宋体" w:hAnsi="宋体"/>
          <w:b/>
          <w:color w:val="auto"/>
          <w:sz w:val="30"/>
          <w:szCs w:val="30"/>
          <w:highlight w:val="none"/>
        </w:rPr>
        <w:t>响应性</w:t>
      </w:r>
      <w:r>
        <w:rPr>
          <w:rFonts w:ascii="宋体" w:hAnsi="宋体"/>
          <w:b/>
          <w:color w:val="auto"/>
          <w:sz w:val="30"/>
          <w:szCs w:val="30"/>
          <w:highlight w:val="none"/>
        </w:rPr>
        <w:t>评审</w:t>
      </w:r>
      <w:r>
        <w:rPr>
          <w:rFonts w:hint="eastAsia" w:ascii="宋体" w:hAnsi="宋体"/>
          <w:b/>
          <w:color w:val="auto"/>
          <w:sz w:val="30"/>
          <w:szCs w:val="30"/>
          <w:highlight w:val="none"/>
        </w:rPr>
        <w:t>个人</w:t>
      </w:r>
      <w:r>
        <w:rPr>
          <w:rFonts w:ascii="宋体" w:hAnsi="宋体"/>
          <w:b/>
          <w:color w:val="auto"/>
          <w:sz w:val="30"/>
          <w:szCs w:val="30"/>
          <w:highlight w:val="none"/>
        </w:rPr>
        <w:t>表</w:t>
      </w:r>
    </w:p>
    <w:p w14:paraId="0F7B4753">
      <w:pPr>
        <w:jc w:val="center"/>
        <w:rPr>
          <w:rFonts w:ascii="宋体" w:hAnsi="宋体"/>
          <w:b/>
          <w:color w:val="auto"/>
          <w:sz w:val="30"/>
          <w:szCs w:val="30"/>
          <w:highlight w:val="none"/>
        </w:rPr>
      </w:pPr>
    </w:p>
    <w:p w14:paraId="61951E76">
      <w:pPr>
        <w:rPr>
          <w:rFonts w:ascii="宋体" w:hAnsi="宋体"/>
          <w:color w:val="auto"/>
          <w:highlight w:val="none"/>
        </w:rPr>
      </w:pPr>
      <w:r>
        <w:rPr>
          <w:rFonts w:hint="eastAsia" w:ascii="宋体" w:hAnsi="宋体"/>
          <w:color w:val="auto"/>
          <w:highlight w:val="none"/>
        </w:rPr>
        <w:t>项目编号：</w:t>
      </w:r>
    </w:p>
    <w:p w14:paraId="3FD9F0BF">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0"/>
        <w:gridCol w:w="3101"/>
        <w:gridCol w:w="1759"/>
        <w:gridCol w:w="1624"/>
        <w:gridCol w:w="1623"/>
        <w:gridCol w:w="1759"/>
        <w:gridCol w:w="1759"/>
        <w:gridCol w:w="1759"/>
      </w:tblGrid>
      <w:tr w14:paraId="01FC7A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90" w:type="dxa"/>
            <w:vMerge w:val="restart"/>
            <w:tcBorders>
              <w:top w:val="single" w:color="auto" w:sz="4" w:space="0"/>
              <w:left w:val="single" w:color="auto" w:sz="4" w:space="0"/>
              <w:right w:val="single" w:color="auto" w:sz="4" w:space="0"/>
            </w:tcBorders>
            <w:noWrap w:val="0"/>
            <w:vAlign w:val="center"/>
          </w:tcPr>
          <w:p w14:paraId="5F27D84C">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3101" w:type="dxa"/>
            <w:vMerge w:val="restart"/>
            <w:tcBorders>
              <w:top w:val="single" w:color="auto" w:sz="4" w:space="0"/>
              <w:left w:val="single" w:color="auto" w:sz="4" w:space="0"/>
              <w:right w:val="single" w:color="auto" w:sz="4" w:space="0"/>
            </w:tcBorders>
            <w:noWrap w:val="0"/>
            <w:vAlign w:val="center"/>
          </w:tcPr>
          <w:p w14:paraId="1441E98C">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283" w:type="dxa"/>
            <w:gridSpan w:val="6"/>
            <w:tcBorders>
              <w:top w:val="single" w:color="auto" w:sz="4" w:space="0"/>
              <w:left w:val="single" w:color="auto" w:sz="4" w:space="0"/>
              <w:bottom w:val="single" w:color="auto" w:sz="4" w:space="0"/>
              <w:right w:val="single" w:color="auto" w:sz="4" w:space="0"/>
            </w:tcBorders>
            <w:noWrap w:val="0"/>
            <w:vAlign w:val="center"/>
          </w:tcPr>
          <w:p w14:paraId="0A504569">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投标单位名称及评审意见</w:t>
            </w:r>
          </w:p>
        </w:tc>
      </w:tr>
      <w:tr w14:paraId="2C800C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0" w:type="dxa"/>
            <w:vMerge w:val="continue"/>
            <w:tcBorders>
              <w:left w:val="single" w:color="auto" w:sz="4" w:space="0"/>
              <w:bottom w:val="single" w:color="auto" w:sz="4" w:space="0"/>
              <w:right w:val="single" w:color="auto" w:sz="4" w:space="0"/>
            </w:tcBorders>
            <w:noWrap w:val="0"/>
            <w:vAlign w:val="center"/>
          </w:tcPr>
          <w:p w14:paraId="6316C1FF">
            <w:pPr>
              <w:spacing w:line="320" w:lineRule="exact"/>
              <w:jc w:val="center"/>
              <w:rPr>
                <w:rFonts w:ascii="宋体" w:hAnsi="宋体" w:cs="宋体"/>
                <w:b/>
                <w:color w:val="auto"/>
                <w:szCs w:val="21"/>
                <w:highlight w:val="none"/>
              </w:rPr>
            </w:pPr>
          </w:p>
        </w:tc>
        <w:tc>
          <w:tcPr>
            <w:tcW w:w="3101" w:type="dxa"/>
            <w:vMerge w:val="continue"/>
            <w:tcBorders>
              <w:left w:val="single" w:color="auto" w:sz="4" w:space="0"/>
              <w:bottom w:val="single" w:color="auto" w:sz="4" w:space="0"/>
              <w:right w:val="single" w:color="auto" w:sz="4" w:space="0"/>
            </w:tcBorders>
            <w:noWrap w:val="0"/>
            <w:vAlign w:val="center"/>
          </w:tcPr>
          <w:p w14:paraId="25899E54">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BC61EE2">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投标一</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2373C923">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投标人二</w:t>
            </w:r>
          </w:p>
        </w:tc>
        <w:tc>
          <w:tcPr>
            <w:tcW w:w="1623" w:type="dxa"/>
            <w:tcBorders>
              <w:top w:val="single" w:color="auto" w:sz="4" w:space="0"/>
              <w:left w:val="single" w:color="auto" w:sz="4" w:space="0"/>
              <w:bottom w:val="single" w:color="auto" w:sz="4" w:space="0"/>
              <w:right w:val="single" w:color="auto" w:sz="4" w:space="0"/>
            </w:tcBorders>
            <w:noWrap w:val="0"/>
            <w:vAlign w:val="center"/>
          </w:tcPr>
          <w:p w14:paraId="1DE0FA4F">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投标人三</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922EEB9">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BCC6825">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B98489B">
            <w:pPr>
              <w:spacing w:line="320" w:lineRule="exact"/>
              <w:jc w:val="center"/>
              <w:rPr>
                <w:rFonts w:ascii="宋体" w:hAnsi="宋体" w:cs="宋体"/>
                <w:b/>
                <w:color w:val="auto"/>
                <w:szCs w:val="21"/>
                <w:highlight w:val="none"/>
              </w:rPr>
            </w:pPr>
          </w:p>
        </w:tc>
      </w:tr>
      <w:tr w14:paraId="272A52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42996F09">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F5DC56E">
            <w:pPr>
              <w:spacing w:line="320" w:lineRule="exact"/>
              <w:jc w:val="center"/>
              <w:rPr>
                <w:rFonts w:ascii="宋体" w:hAnsi="宋体" w:cs="宋体"/>
                <w:color w:val="auto"/>
                <w:szCs w:val="21"/>
                <w:highlight w:val="none"/>
              </w:rPr>
            </w:pPr>
            <w:r>
              <w:rPr>
                <w:rFonts w:hint="eastAsia"/>
                <w:color w:val="auto"/>
                <w:szCs w:val="21"/>
                <w:highlight w:val="none"/>
              </w:rPr>
              <w:t>响应性评审1</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FB064C8">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通过或不通过</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EED8BC5">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6055D44A">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BC616E0">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FEE875A">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850A8F4">
            <w:pPr>
              <w:spacing w:line="320" w:lineRule="exact"/>
              <w:jc w:val="center"/>
              <w:rPr>
                <w:rFonts w:ascii="宋体" w:hAnsi="宋体" w:cs="宋体"/>
                <w:color w:val="auto"/>
                <w:szCs w:val="21"/>
                <w:highlight w:val="none"/>
              </w:rPr>
            </w:pPr>
          </w:p>
        </w:tc>
      </w:tr>
      <w:tr w14:paraId="1AE75B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4469C01A">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C552AE5">
            <w:pPr>
              <w:spacing w:line="320" w:lineRule="exact"/>
              <w:jc w:val="center"/>
              <w:rPr>
                <w:rFonts w:ascii="宋体" w:hAnsi="宋体" w:cs="宋体"/>
                <w:color w:val="auto"/>
                <w:szCs w:val="21"/>
                <w:highlight w:val="none"/>
              </w:rPr>
            </w:pPr>
            <w:r>
              <w:rPr>
                <w:rFonts w:hint="eastAsia"/>
                <w:color w:val="auto"/>
                <w:szCs w:val="21"/>
                <w:highlight w:val="none"/>
              </w:rPr>
              <w:t>响应性评审2</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C8DA310">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34DBD8A6">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28749F06">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36EFE66">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2B2998B">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CFDFFEF">
            <w:pPr>
              <w:spacing w:line="320" w:lineRule="exact"/>
              <w:jc w:val="center"/>
              <w:rPr>
                <w:rFonts w:ascii="宋体" w:hAnsi="宋体" w:cs="宋体"/>
                <w:color w:val="auto"/>
                <w:szCs w:val="21"/>
                <w:highlight w:val="none"/>
              </w:rPr>
            </w:pPr>
          </w:p>
        </w:tc>
      </w:tr>
      <w:tr w14:paraId="136159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49B1971F">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06DE7A6">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A9CD207">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70D740C4">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278E0B30">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0AB8622">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0644283">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732387D">
            <w:pPr>
              <w:spacing w:line="320" w:lineRule="exact"/>
              <w:jc w:val="center"/>
              <w:rPr>
                <w:rFonts w:ascii="宋体" w:hAnsi="宋体" w:cs="宋体"/>
                <w:color w:val="auto"/>
                <w:szCs w:val="21"/>
                <w:highlight w:val="none"/>
              </w:rPr>
            </w:pPr>
          </w:p>
        </w:tc>
      </w:tr>
      <w:tr w14:paraId="207FD3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698B5BF7">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029C8C7">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4365B11">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23233D4F">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2A5944B9">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65B5898">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C1A12A6">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057F681">
            <w:pPr>
              <w:spacing w:line="320" w:lineRule="exact"/>
              <w:jc w:val="center"/>
              <w:rPr>
                <w:rFonts w:ascii="宋体" w:hAnsi="宋体" w:cs="宋体"/>
                <w:color w:val="auto"/>
                <w:szCs w:val="21"/>
                <w:highlight w:val="none"/>
              </w:rPr>
            </w:pPr>
          </w:p>
        </w:tc>
      </w:tr>
      <w:tr w14:paraId="60A9CA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6FD67E9C">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82B5318">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9E94223">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30B46AAF">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62C7BDC5">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CD83533">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A0341FA">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4600A75">
            <w:pPr>
              <w:spacing w:line="320" w:lineRule="exact"/>
              <w:jc w:val="center"/>
              <w:rPr>
                <w:rFonts w:ascii="宋体" w:hAnsi="宋体" w:cs="宋体"/>
                <w:color w:val="auto"/>
                <w:szCs w:val="21"/>
                <w:highlight w:val="none"/>
              </w:rPr>
            </w:pPr>
          </w:p>
        </w:tc>
      </w:tr>
      <w:tr w14:paraId="561FDB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4EFAFF7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5320FEEC">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B9DBEC7">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6FE51B6F">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3A987C89">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71D1D0E">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36CE961">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49B4FC4">
            <w:pPr>
              <w:spacing w:line="320" w:lineRule="exact"/>
              <w:jc w:val="center"/>
              <w:rPr>
                <w:rFonts w:ascii="宋体" w:hAnsi="宋体" w:cs="宋体"/>
                <w:color w:val="auto"/>
                <w:szCs w:val="21"/>
                <w:highlight w:val="none"/>
              </w:rPr>
            </w:pPr>
          </w:p>
        </w:tc>
      </w:tr>
      <w:tr w14:paraId="55717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66E6E94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B92B2E0">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4112EC7">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7DAED512">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23D7D61F">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E6219D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C09D3EF">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6E61F6D">
            <w:pPr>
              <w:spacing w:line="320" w:lineRule="exact"/>
              <w:jc w:val="center"/>
              <w:rPr>
                <w:rFonts w:ascii="宋体" w:hAnsi="宋体" w:cs="宋体"/>
                <w:color w:val="auto"/>
                <w:szCs w:val="21"/>
                <w:highlight w:val="none"/>
              </w:rPr>
            </w:pPr>
          </w:p>
        </w:tc>
      </w:tr>
      <w:tr w14:paraId="71EBA9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11A73930">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B5C2EED">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1D789FF">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854C615">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5D682E0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0BAF8BB">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26C31A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8BA94AD">
            <w:pPr>
              <w:spacing w:line="320" w:lineRule="exact"/>
              <w:jc w:val="center"/>
              <w:rPr>
                <w:rFonts w:ascii="宋体" w:hAnsi="宋体" w:cs="宋体"/>
                <w:color w:val="auto"/>
                <w:szCs w:val="21"/>
                <w:highlight w:val="none"/>
              </w:rPr>
            </w:pPr>
          </w:p>
        </w:tc>
      </w:tr>
      <w:tr w14:paraId="7953C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0C30B9F4">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5D5377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281D203">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0E1E8CA1">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70C179C1">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31072AD">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FFC26C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676AFE5">
            <w:pPr>
              <w:spacing w:line="320" w:lineRule="exact"/>
              <w:jc w:val="center"/>
              <w:rPr>
                <w:rFonts w:ascii="宋体" w:hAnsi="宋体" w:cs="宋体"/>
                <w:color w:val="auto"/>
                <w:szCs w:val="21"/>
                <w:highlight w:val="none"/>
              </w:rPr>
            </w:pPr>
          </w:p>
        </w:tc>
      </w:tr>
      <w:tr w14:paraId="593622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3891" w:type="dxa"/>
            <w:gridSpan w:val="2"/>
            <w:tcBorders>
              <w:top w:val="single" w:color="auto" w:sz="4" w:space="0"/>
              <w:left w:val="single" w:color="auto" w:sz="4" w:space="0"/>
              <w:bottom w:val="single" w:color="auto" w:sz="4" w:space="0"/>
              <w:right w:val="single" w:color="auto" w:sz="4" w:space="0"/>
            </w:tcBorders>
            <w:noWrap w:val="0"/>
            <w:vAlign w:val="center"/>
          </w:tcPr>
          <w:p w14:paraId="41B55F37">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汇总</w:t>
            </w:r>
          </w:p>
        </w:tc>
        <w:tc>
          <w:tcPr>
            <w:tcW w:w="1759" w:type="dxa"/>
            <w:tcBorders>
              <w:top w:val="single" w:color="auto" w:sz="4" w:space="0"/>
              <w:left w:val="single" w:color="auto" w:sz="4" w:space="0"/>
              <w:right w:val="single" w:color="auto" w:sz="4" w:space="0"/>
            </w:tcBorders>
            <w:noWrap w:val="0"/>
            <w:vAlign w:val="center"/>
          </w:tcPr>
          <w:p w14:paraId="42C6BE03">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right w:val="single" w:color="auto" w:sz="4" w:space="0"/>
            </w:tcBorders>
            <w:noWrap w:val="0"/>
            <w:vAlign w:val="center"/>
          </w:tcPr>
          <w:p w14:paraId="71C80F78">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right w:val="single" w:color="auto" w:sz="4" w:space="0"/>
            </w:tcBorders>
            <w:noWrap w:val="0"/>
            <w:vAlign w:val="center"/>
          </w:tcPr>
          <w:p w14:paraId="0EF23CB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right w:val="single" w:color="auto" w:sz="4" w:space="0"/>
            </w:tcBorders>
            <w:noWrap w:val="0"/>
            <w:vAlign w:val="center"/>
          </w:tcPr>
          <w:p w14:paraId="1455263C">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right w:val="single" w:color="auto" w:sz="4" w:space="0"/>
            </w:tcBorders>
            <w:noWrap w:val="0"/>
            <w:vAlign w:val="center"/>
          </w:tcPr>
          <w:p w14:paraId="38197D2B">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right w:val="single" w:color="auto" w:sz="4" w:space="0"/>
            </w:tcBorders>
            <w:noWrap w:val="0"/>
            <w:vAlign w:val="center"/>
          </w:tcPr>
          <w:p w14:paraId="0511E1D4">
            <w:pPr>
              <w:spacing w:line="320" w:lineRule="exact"/>
              <w:jc w:val="center"/>
              <w:rPr>
                <w:rFonts w:ascii="宋体" w:hAnsi="宋体" w:cs="宋体"/>
                <w:color w:val="auto"/>
                <w:szCs w:val="21"/>
                <w:highlight w:val="none"/>
              </w:rPr>
            </w:pPr>
          </w:p>
        </w:tc>
      </w:tr>
    </w:tbl>
    <w:p w14:paraId="1A15BD6E">
      <w:pPr>
        <w:rPr>
          <w:rFonts w:ascii="宋体" w:hAnsi="宋体"/>
          <w:color w:val="auto"/>
          <w:highlight w:val="none"/>
        </w:rPr>
      </w:pPr>
      <w:r>
        <w:rPr>
          <w:rFonts w:hint="eastAsia" w:ascii="宋体" w:hAnsi="宋体" w:cs="宋体"/>
          <w:b/>
          <w:bCs/>
          <w:color w:val="auto"/>
          <w:highlight w:val="none"/>
        </w:rPr>
        <w:t>注：表格最终以</w:t>
      </w:r>
      <w:r>
        <w:rPr>
          <w:rFonts w:hint="eastAsia" w:ascii="宋体" w:hAnsi="宋体" w:cs="宋体"/>
          <w:b/>
          <w:color w:val="auto"/>
          <w:highlight w:val="none"/>
        </w:rPr>
        <w:t>广州交易集团有限公司（广州公共资源交易中心）</w:t>
      </w:r>
      <w:r>
        <w:rPr>
          <w:rFonts w:hint="eastAsia" w:ascii="宋体" w:hAnsi="宋体" w:cs="宋体"/>
          <w:b/>
          <w:bCs/>
          <w:color w:val="auto"/>
          <w:highlight w:val="none"/>
        </w:rPr>
        <w:t>系统生成的为准。</w:t>
      </w:r>
    </w:p>
    <w:p w14:paraId="6C91CA79">
      <w:pPr>
        <w:rPr>
          <w:rFonts w:ascii="宋体" w:hAnsi="宋体"/>
          <w:color w:val="auto"/>
          <w:highlight w:val="none"/>
        </w:rPr>
        <w:sectPr>
          <w:pgSz w:w="16838" w:h="11906" w:orient="landscape"/>
          <w:pgMar w:top="1797" w:right="1440" w:bottom="1797" w:left="1440" w:header="851" w:footer="992" w:gutter="0"/>
          <w:cols w:space="720" w:num="1"/>
          <w:docGrid w:linePitch="312" w:charSpace="0"/>
        </w:sectPr>
      </w:pPr>
    </w:p>
    <w:p w14:paraId="52C3E0F7">
      <w:pPr>
        <w:jc w:val="center"/>
        <w:rPr>
          <w:rFonts w:ascii="宋体" w:hAnsi="宋体"/>
          <w:b/>
          <w:color w:val="auto"/>
          <w:sz w:val="30"/>
          <w:szCs w:val="30"/>
          <w:highlight w:val="none"/>
        </w:rPr>
      </w:pPr>
      <w:r>
        <w:rPr>
          <w:rFonts w:hint="eastAsia" w:ascii="宋体" w:hAnsi="宋体"/>
          <w:b/>
          <w:color w:val="auto"/>
          <w:sz w:val="30"/>
          <w:szCs w:val="30"/>
          <w:highlight w:val="none"/>
        </w:rPr>
        <w:t>响应性</w:t>
      </w:r>
      <w:r>
        <w:rPr>
          <w:rFonts w:ascii="宋体" w:hAnsi="宋体"/>
          <w:b/>
          <w:color w:val="auto"/>
          <w:sz w:val="30"/>
          <w:szCs w:val="30"/>
          <w:highlight w:val="none"/>
        </w:rPr>
        <w:t>评审结果汇总表</w:t>
      </w:r>
    </w:p>
    <w:p w14:paraId="0B2D2C4C">
      <w:pPr>
        <w:rPr>
          <w:rFonts w:ascii="宋体" w:hAnsi="宋体"/>
          <w:color w:val="auto"/>
          <w:highlight w:val="none"/>
        </w:rPr>
      </w:pPr>
      <w:r>
        <w:rPr>
          <w:rFonts w:hint="eastAsia" w:ascii="宋体" w:hAnsi="宋体"/>
          <w:color w:val="auto"/>
          <w:highlight w:val="none"/>
        </w:rPr>
        <w:t>项目编号：</w:t>
      </w:r>
    </w:p>
    <w:p w14:paraId="6AB3AB64">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60"/>
        <w:gridCol w:w="2336"/>
        <w:gridCol w:w="1828"/>
        <w:gridCol w:w="1828"/>
        <w:gridCol w:w="1828"/>
        <w:gridCol w:w="1828"/>
        <w:gridCol w:w="1828"/>
        <w:gridCol w:w="1832"/>
      </w:tblGrid>
      <w:tr w14:paraId="1C80AB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60" w:type="dxa"/>
            <w:vMerge w:val="restart"/>
            <w:tcBorders>
              <w:top w:val="single" w:color="auto" w:sz="4" w:space="0"/>
              <w:left w:val="single" w:color="auto" w:sz="4" w:space="0"/>
              <w:right w:val="single" w:color="auto" w:sz="4" w:space="0"/>
            </w:tcBorders>
            <w:noWrap w:val="0"/>
            <w:vAlign w:val="center"/>
          </w:tcPr>
          <w:p w14:paraId="59A543B3">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336" w:type="dxa"/>
            <w:vMerge w:val="restart"/>
            <w:tcBorders>
              <w:top w:val="single" w:color="auto" w:sz="4" w:space="0"/>
              <w:left w:val="single" w:color="auto" w:sz="4" w:space="0"/>
              <w:right w:val="single" w:color="auto" w:sz="4" w:space="0"/>
            </w:tcBorders>
            <w:noWrap w:val="0"/>
            <w:vAlign w:val="center"/>
          </w:tcPr>
          <w:p w14:paraId="535B5B57">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972" w:type="dxa"/>
            <w:gridSpan w:val="6"/>
            <w:tcBorders>
              <w:top w:val="single" w:color="auto" w:sz="4" w:space="0"/>
              <w:left w:val="single" w:color="auto" w:sz="4" w:space="0"/>
              <w:bottom w:val="single" w:color="auto" w:sz="4" w:space="0"/>
              <w:right w:val="single" w:color="auto" w:sz="4" w:space="0"/>
            </w:tcBorders>
            <w:noWrap w:val="0"/>
            <w:vAlign w:val="center"/>
          </w:tcPr>
          <w:p w14:paraId="46270EE7">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投标人及响应性评审结果</w:t>
            </w:r>
          </w:p>
        </w:tc>
      </w:tr>
      <w:tr w14:paraId="25ED8E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vMerge w:val="continue"/>
            <w:tcBorders>
              <w:left w:val="single" w:color="auto" w:sz="4" w:space="0"/>
              <w:bottom w:val="single" w:color="auto" w:sz="4" w:space="0"/>
              <w:right w:val="single" w:color="auto" w:sz="4" w:space="0"/>
            </w:tcBorders>
            <w:noWrap w:val="0"/>
            <w:vAlign w:val="center"/>
          </w:tcPr>
          <w:p w14:paraId="1B6CFC09">
            <w:pPr>
              <w:spacing w:line="320" w:lineRule="exact"/>
              <w:jc w:val="center"/>
              <w:rPr>
                <w:rFonts w:ascii="宋体" w:hAnsi="宋体" w:cs="宋体"/>
                <w:color w:val="auto"/>
                <w:szCs w:val="21"/>
                <w:highlight w:val="none"/>
              </w:rPr>
            </w:pPr>
          </w:p>
        </w:tc>
        <w:tc>
          <w:tcPr>
            <w:tcW w:w="2336" w:type="dxa"/>
            <w:vMerge w:val="continue"/>
            <w:tcBorders>
              <w:left w:val="single" w:color="auto" w:sz="4" w:space="0"/>
              <w:bottom w:val="single" w:color="auto" w:sz="4" w:space="0"/>
              <w:right w:val="single" w:color="auto" w:sz="4" w:space="0"/>
            </w:tcBorders>
            <w:noWrap w:val="0"/>
            <w:vAlign w:val="center"/>
          </w:tcPr>
          <w:p w14:paraId="53F3EBFE">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center"/>
          </w:tcPr>
          <w:p w14:paraId="7721F5A2">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投标人一</w:t>
            </w:r>
          </w:p>
        </w:tc>
        <w:tc>
          <w:tcPr>
            <w:tcW w:w="1828" w:type="dxa"/>
            <w:tcBorders>
              <w:top w:val="single" w:color="auto" w:sz="4" w:space="0"/>
              <w:left w:val="single" w:color="auto" w:sz="4" w:space="0"/>
              <w:bottom w:val="single" w:color="auto" w:sz="4" w:space="0"/>
              <w:right w:val="single" w:color="auto" w:sz="4" w:space="0"/>
            </w:tcBorders>
            <w:noWrap w:val="0"/>
            <w:vAlign w:val="center"/>
          </w:tcPr>
          <w:p w14:paraId="0DB8717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投标人二</w:t>
            </w:r>
          </w:p>
        </w:tc>
        <w:tc>
          <w:tcPr>
            <w:tcW w:w="1828" w:type="dxa"/>
            <w:tcBorders>
              <w:top w:val="single" w:color="auto" w:sz="4" w:space="0"/>
              <w:left w:val="single" w:color="auto" w:sz="4" w:space="0"/>
              <w:bottom w:val="single" w:color="auto" w:sz="4" w:space="0"/>
              <w:right w:val="single" w:color="auto" w:sz="4" w:space="0"/>
            </w:tcBorders>
            <w:noWrap w:val="0"/>
            <w:vAlign w:val="center"/>
          </w:tcPr>
          <w:p w14:paraId="450D8BD6">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投标人三</w:t>
            </w:r>
          </w:p>
        </w:tc>
        <w:tc>
          <w:tcPr>
            <w:tcW w:w="1828" w:type="dxa"/>
            <w:tcBorders>
              <w:top w:val="single" w:color="auto" w:sz="4" w:space="0"/>
              <w:left w:val="single" w:color="auto" w:sz="4" w:space="0"/>
              <w:bottom w:val="single" w:color="auto" w:sz="4" w:space="0"/>
              <w:right w:val="single" w:color="auto" w:sz="4" w:space="0"/>
            </w:tcBorders>
            <w:noWrap w:val="0"/>
            <w:vAlign w:val="top"/>
          </w:tcPr>
          <w:p w14:paraId="0852BFB5">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448B8B2">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3EE9D8D7">
            <w:pPr>
              <w:spacing w:line="320" w:lineRule="exact"/>
              <w:rPr>
                <w:rFonts w:ascii="宋体" w:hAnsi="宋体" w:cs="宋体"/>
                <w:color w:val="auto"/>
                <w:szCs w:val="21"/>
                <w:highlight w:val="none"/>
              </w:rPr>
            </w:pPr>
          </w:p>
        </w:tc>
      </w:tr>
      <w:tr w14:paraId="5B3FBB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5980B867">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3EA3E40D">
            <w:pPr>
              <w:spacing w:line="320" w:lineRule="exact"/>
              <w:jc w:val="center"/>
              <w:rPr>
                <w:rFonts w:ascii="宋体" w:hAnsi="宋体" w:cs="宋体"/>
                <w:color w:val="auto"/>
                <w:szCs w:val="21"/>
                <w:highlight w:val="none"/>
              </w:rPr>
            </w:pPr>
            <w:r>
              <w:rPr>
                <w:rFonts w:hint="eastAsia"/>
                <w:color w:val="auto"/>
                <w:szCs w:val="21"/>
                <w:highlight w:val="none"/>
              </w:rPr>
              <w:t>响应性评审1</w:t>
            </w:r>
          </w:p>
        </w:tc>
        <w:tc>
          <w:tcPr>
            <w:tcW w:w="1828" w:type="dxa"/>
            <w:tcBorders>
              <w:top w:val="single" w:color="auto" w:sz="4" w:space="0"/>
              <w:left w:val="single" w:color="auto" w:sz="4" w:space="0"/>
              <w:bottom w:val="single" w:color="auto" w:sz="4" w:space="0"/>
              <w:right w:val="single" w:color="auto" w:sz="4" w:space="0"/>
            </w:tcBorders>
            <w:noWrap w:val="0"/>
            <w:vAlign w:val="center"/>
          </w:tcPr>
          <w:p w14:paraId="7F7D66E2">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通过或不通过</w:t>
            </w:r>
          </w:p>
        </w:tc>
        <w:tc>
          <w:tcPr>
            <w:tcW w:w="1828" w:type="dxa"/>
            <w:tcBorders>
              <w:top w:val="single" w:color="auto" w:sz="4" w:space="0"/>
              <w:left w:val="single" w:color="auto" w:sz="4" w:space="0"/>
              <w:bottom w:val="single" w:color="auto" w:sz="4" w:space="0"/>
              <w:right w:val="single" w:color="auto" w:sz="4" w:space="0"/>
            </w:tcBorders>
            <w:noWrap w:val="0"/>
            <w:vAlign w:val="center"/>
          </w:tcPr>
          <w:p w14:paraId="4821B1BC">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center"/>
          </w:tcPr>
          <w:p w14:paraId="38C80C83">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DB1F6BD">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74FCAC93">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1F75FFBF">
            <w:pPr>
              <w:spacing w:line="320" w:lineRule="exact"/>
              <w:rPr>
                <w:rFonts w:ascii="宋体" w:hAnsi="宋体" w:cs="宋体"/>
                <w:color w:val="auto"/>
                <w:szCs w:val="21"/>
                <w:highlight w:val="none"/>
              </w:rPr>
            </w:pPr>
          </w:p>
        </w:tc>
      </w:tr>
      <w:tr w14:paraId="3BFE6E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4EBE29E6">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57D666B4">
            <w:pPr>
              <w:spacing w:line="320" w:lineRule="exact"/>
              <w:jc w:val="center"/>
              <w:rPr>
                <w:rFonts w:ascii="宋体" w:hAnsi="宋体" w:cs="宋体"/>
                <w:color w:val="auto"/>
                <w:szCs w:val="21"/>
                <w:highlight w:val="none"/>
              </w:rPr>
            </w:pPr>
            <w:r>
              <w:rPr>
                <w:rFonts w:hint="eastAsia"/>
                <w:color w:val="auto"/>
                <w:szCs w:val="21"/>
                <w:highlight w:val="none"/>
              </w:rPr>
              <w:t>响应性评审2</w:t>
            </w:r>
          </w:p>
        </w:tc>
        <w:tc>
          <w:tcPr>
            <w:tcW w:w="1828" w:type="dxa"/>
            <w:tcBorders>
              <w:top w:val="single" w:color="auto" w:sz="4" w:space="0"/>
              <w:left w:val="single" w:color="auto" w:sz="4" w:space="0"/>
              <w:bottom w:val="single" w:color="auto" w:sz="4" w:space="0"/>
              <w:right w:val="single" w:color="auto" w:sz="4" w:space="0"/>
            </w:tcBorders>
            <w:noWrap w:val="0"/>
            <w:vAlign w:val="top"/>
          </w:tcPr>
          <w:p w14:paraId="2AC34322">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5F88BB63">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31FD0F6">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7153B6DD">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BAD353A">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3A395FE4">
            <w:pPr>
              <w:spacing w:line="320" w:lineRule="exact"/>
              <w:rPr>
                <w:rFonts w:ascii="宋体" w:hAnsi="宋体" w:cs="宋体"/>
                <w:color w:val="auto"/>
                <w:szCs w:val="21"/>
                <w:highlight w:val="none"/>
              </w:rPr>
            </w:pPr>
          </w:p>
        </w:tc>
      </w:tr>
      <w:tr w14:paraId="09CF1F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673AC490">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22BD778E">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1EF9F27">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136A8B8">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21EE64E0">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762D8B81">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0E5BA60E">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21C0C230">
            <w:pPr>
              <w:spacing w:line="320" w:lineRule="exact"/>
              <w:rPr>
                <w:rFonts w:ascii="宋体" w:hAnsi="宋体" w:cs="宋体"/>
                <w:color w:val="auto"/>
                <w:szCs w:val="21"/>
                <w:highlight w:val="none"/>
              </w:rPr>
            </w:pPr>
          </w:p>
        </w:tc>
      </w:tr>
      <w:tr w14:paraId="1E084D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45A09E0D">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2213C1D9">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5164D7DD">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00C628C1">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B18F991">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73A9318">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404E5230">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14A4CE7C">
            <w:pPr>
              <w:spacing w:line="320" w:lineRule="exact"/>
              <w:rPr>
                <w:rFonts w:ascii="宋体" w:hAnsi="宋体" w:cs="宋体"/>
                <w:color w:val="auto"/>
                <w:szCs w:val="21"/>
                <w:highlight w:val="none"/>
              </w:rPr>
            </w:pPr>
          </w:p>
        </w:tc>
      </w:tr>
      <w:tr w14:paraId="3890E7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7439CC64">
            <w:pPr>
              <w:spacing w:line="320" w:lineRule="exact"/>
              <w:jc w:val="center"/>
              <w:rPr>
                <w:rFonts w:ascii="宋体" w:hAnsi="宋体" w:cs="宋体"/>
                <w:color w:val="auto"/>
                <w:szCs w:val="21"/>
                <w:highlight w:val="none"/>
              </w:rPr>
            </w:pPr>
            <w:r>
              <w:rPr>
                <w:rFonts w:hint="eastAsia" w:ascii="宋体" w:hAnsi="宋体" w:cs="宋体"/>
                <w:color w:val="auto"/>
                <w:highlight w:val="none"/>
              </w:rPr>
              <w:t>6</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1AD4C913">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022D6808">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0107514C">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61FDF000">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6E1A7B26">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4D5FC65">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07C1F376">
            <w:pPr>
              <w:spacing w:line="320" w:lineRule="exact"/>
              <w:rPr>
                <w:rFonts w:ascii="宋体" w:hAnsi="宋体" w:cs="宋体"/>
                <w:color w:val="auto"/>
                <w:szCs w:val="21"/>
                <w:highlight w:val="none"/>
              </w:rPr>
            </w:pPr>
          </w:p>
        </w:tc>
      </w:tr>
      <w:tr w14:paraId="0C5C2D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0E0C8B6D">
            <w:pPr>
              <w:spacing w:line="320" w:lineRule="exact"/>
              <w:jc w:val="center"/>
              <w:rPr>
                <w:rFonts w:ascii="宋体" w:hAnsi="宋体" w:cs="宋体"/>
                <w:color w:val="auto"/>
                <w:highlight w:val="none"/>
              </w:rPr>
            </w:pPr>
            <w:r>
              <w:rPr>
                <w:rFonts w:hint="eastAsia" w:ascii="宋体" w:hAnsi="宋体" w:cs="宋体"/>
                <w:color w:val="auto"/>
                <w:szCs w:val="21"/>
                <w:highlight w:val="none"/>
              </w:rPr>
              <w:t>7</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752371AD">
            <w:pPr>
              <w:spacing w:line="320" w:lineRule="exact"/>
              <w:jc w:val="center"/>
              <w:rPr>
                <w:rFonts w:ascii="宋体" w:hAnsi="宋体" w:cs="宋体"/>
                <w:color w:val="auto"/>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2626E8EA">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D0CF0D1">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4984729B">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556A2ABE">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0E373E0E">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70679B4B">
            <w:pPr>
              <w:spacing w:line="320" w:lineRule="exact"/>
              <w:rPr>
                <w:rFonts w:ascii="宋体" w:hAnsi="宋体" w:cs="宋体"/>
                <w:color w:val="auto"/>
                <w:szCs w:val="21"/>
                <w:highlight w:val="none"/>
              </w:rPr>
            </w:pPr>
          </w:p>
        </w:tc>
      </w:tr>
      <w:tr w14:paraId="3DB649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4D70BAAC">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3B65DD54">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2F0B5D94">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7432C683">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9EB7F0F">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66224DE5">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743D6F5A">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6597E40E">
            <w:pPr>
              <w:spacing w:line="320" w:lineRule="exact"/>
              <w:rPr>
                <w:rFonts w:ascii="宋体" w:hAnsi="宋体" w:cs="宋体"/>
                <w:color w:val="auto"/>
                <w:szCs w:val="21"/>
                <w:highlight w:val="none"/>
              </w:rPr>
            </w:pPr>
          </w:p>
        </w:tc>
      </w:tr>
      <w:tr w14:paraId="26AAA0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0FB3A5FF">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409ED142">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272561A">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65977F41">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108D410">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6BD465F2">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79EE0C6">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2EBC23F6">
            <w:pPr>
              <w:spacing w:line="320" w:lineRule="exact"/>
              <w:rPr>
                <w:rFonts w:ascii="宋体" w:hAnsi="宋体" w:cs="宋体"/>
                <w:color w:val="auto"/>
                <w:szCs w:val="21"/>
                <w:highlight w:val="none"/>
              </w:rPr>
            </w:pPr>
          </w:p>
        </w:tc>
      </w:tr>
      <w:tr w14:paraId="1A0697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091A656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15A0B7CC">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314EBDC">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68780AAB">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795DB771">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357FDA4">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484268D4">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0948CED9">
            <w:pPr>
              <w:spacing w:line="320" w:lineRule="exact"/>
              <w:rPr>
                <w:rFonts w:ascii="宋体" w:hAnsi="宋体" w:cs="宋体"/>
                <w:color w:val="auto"/>
                <w:szCs w:val="21"/>
                <w:highlight w:val="none"/>
              </w:rPr>
            </w:pPr>
          </w:p>
        </w:tc>
      </w:tr>
      <w:tr w14:paraId="39B28C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2996" w:type="dxa"/>
            <w:gridSpan w:val="2"/>
            <w:tcBorders>
              <w:top w:val="single" w:color="auto" w:sz="4" w:space="0"/>
              <w:left w:val="single" w:color="auto" w:sz="4" w:space="0"/>
              <w:bottom w:val="single" w:color="auto" w:sz="4" w:space="0"/>
              <w:right w:val="single" w:color="auto" w:sz="4" w:space="0"/>
            </w:tcBorders>
            <w:noWrap w:val="0"/>
            <w:vAlign w:val="center"/>
          </w:tcPr>
          <w:p w14:paraId="0D1EA75B">
            <w:pPr>
              <w:spacing w:line="320" w:lineRule="exact"/>
              <w:jc w:val="center"/>
              <w:rPr>
                <w:rFonts w:ascii="宋体" w:hAnsi="宋体" w:cs="宋体"/>
                <w:color w:val="auto"/>
                <w:highlight w:val="none"/>
              </w:rPr>
            </w:pPr>
            <w:r>
              <w:rPr>
                <w:rFonts w:hint="eastAsia" w:ascii="宋体" w:hAnsi="宋体" w:cs="宋体"/>
                <w:color w:val="auto"/>
                <w:highlight w:val="none"/>
              </w:rPr>
              <w:t>汇总</w:t>
            </w:r>
          </w:p>
        </w:tc>
        <w:tc>
          <w:tcPr>
            <w:tcW w:w="1828" w:type="dxa"/>
            <w:tcBorders>
              <w:top w:val="single" w:color="auto" w:sz="4" w:space="0"/>
              <w:left w:val="single" w:color="auto" w:sz="4" w:space="0"/>
              <w:bottom w:val="single" w:color="auto" w:sz="4" w:space="0"/>
              <w:right w:val="single" w:color="auto" w:sz="4" w:space="0"/>
            </w:tcBorders>
            <w:noWrap w:val="0"/>
            <w:vAlign w:val="top"/>
          </w:tcPr>
          <w:p w14:paraId="473AB1EB">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1A602FD">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61772ADE">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4C3F93D9">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CC2A6C7">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483AD829">
            <w:pPr>
              <w:spacing w:line="320" w:lineRule="exact"/>
              <w:rPr>
                <w:rFonts w:ascii="宋体" w:hAnsi="宋体" w:cs="宋体"/>
                <w:color w:val="auto"/>
                <w:szCs w:val="21"/>
                <w:highlight w:val="none"/>
              </w:rPr>
            </w:pPr>
          </w:p>
        </w:tc>
      </w:tr>
    </w:tbl>
    <w:p w14:paraId="48D96BC5">
      <w:pPr>
        <w:spacing w:line="360" w:lineRule="auto"/>
        <w:jc w:val="left"/>
        <w:rPr>
          <w:rFonts w:ascii="宋体" w:hAnsi="宋体"/>
          <w:color w:val="auto"/>
          <w:sz w:val="24"/>
          <w:highlight w:val="none"/>
        </w:rPr>
      </w:pPr>
    </w:p>
    <w:p w14:paraId="20FC0B3E">
      <w:pPr>
        <w:spacing w:line="360" w:lineRule="auto"/>
        <w:jc w:val="left"/>
        <w:rPr>
          <w:rFonts w:ascii="宋体" w:hAnsi="宋体"/>
          <w:b/>
          <w:color w:val="auto"/>
          <w:sz w:val="36"/>
          <w:szCs w:val="36"/>
          <w:highlight w:val="none"/>
        </w:rPr>
        <w:sectPr>
          <w:pgSz w:w="16838" w:h="11906" w:orient="landscape"/>
          <w:pgMar w:top="1797" w:right="1440" w:bottom="1797" w:left="1440" w:header="851" w:footer="992" w:gutter="0"/>
          <w:cols w:space="720" w:num="1"/>
          <w:docGrid w:linePitch="312" w:charSpace="0"/>
        </w:sectPr>
      </w:pPr>
      <w:r>
        <w:rPr>
          <w:rFonts w:hint="eastAsia" w:ascii="宋体" w:hAnsi="宋体" w:cs="宋体"/>
          <w:b/>
          <w:bCs/>
          <w:color w:val="auto"/>
          <w:highlight w:val="none"/>
        </w:rPr>
        <w:t>注：表格最终以</w:t>
      </w:r>
      <w:r>
        <w:rPr>
          <w:rFonts w:hint="eastAsia" w:ascii="宋体" w:hAnsi="宋体" w:cs="宋体"/>
          <w:b/>
          <w:color w:val="auto"/>
          <w:highlight w:val="none"/>
        </w:rPr>
        <w:t>广州交易集团有限公司（广州公共资源交易中心）</w:t>
      </w:r>
      <w:r>
        <w:rPr>
          <w:rFonts w:hint="eastAsia" w:ascii="宋体" w:hAnsi="宋体" w:cs="宋体"/>
          <w:b/>
          <w:bCs/>
          <w:color w:val="auto"/>
          <w:highlight w:val="none"/>
        </w:rPr>
        <w:t>系统生成的为准。</w:t>
      </w:r>
    </w:p>
    <w:p w14:paraId="6675666D">
      <w:pPr>
        <w:spacing w:line="360" w:lineRule="auto"/>
        <w:jc w:val="left"/>
        <w:outlineLvl w:val="2"/>
        <w:rPr>
          <w:rFonts w:ascii="宋体" w:hAnsi="宋体"/>
          <w:color w:val="auto"/>
          <w:sz w:val="28"/>
          <w:szCs w:val="27"/>
          <w:highlight w:val="none"/>
        </w:rPr>
      </w:pPr>
      <w:bookmarkStart w:id="260" w:name="_Toc180758572"/>
      <w:r>
        <w:rPr>
          <w:rFonts w:hint="eastAsia" w:ascii="宋体" w:hAnsi="宋体"/>
          <w:color w:val="auto"/>
          <w:sz w:val="28"/>
          <w:szCs w:val="27"/>
          <w:highlight w:val="none"/>
        </w:rPr>
        <w:t>附表4：技术部分评审得分记录表（格式）</w:t>
      </w:r>
      <w:bookmarkEnd w:id="260"/>
    </w:p>
    <w:p w14:paraId="34C2592A">
      <w:pPr>
        <w:rPr>
          <w:rFonts w:ascii="宋体" w:hAnsi="宋体"/>
          <w:b/>
          <w:color w:val="auto"/>
          <w:sz w:val="30"/>
          <w:szCs w:val="30"/>
          <w:highlight w:val="none"/>
        </w:rPr>
      </w:pPr>
    </w:p>
    <w:p w14:paraId="4C02FC3A">
      <w:pPr>
        <w:jc w:val="center"/>
        <w:rPr>
          <w:rFonts w:ascii="宋体" w:hAnsi="宋体"/>
          <w:b/>
          <w:color w:val="auto"/>
          <w:sz w:val="30"/>
          <w:szCs w:val="30"/>
          <w:highlight w:val="none"/>
        </w:rPr>
      </w:pPr>
      <w:r>
        <w:rPr>
          <w:rFonts w:hint="eastAsia" w:ascii="宋体" w:hAnsi="宋体"/>
          <w:b/>
          <w:color w:val="auto"/>
          <w:sz w:val="30"/>
          <w:szCs w:val="30"/>
          <w:highlight w:val="none"/>
        </w:rPr>
        <w:t>技术部分</w:t>
      </w:r>
      <w:r>
        <w:rPr>
          <w:rFonts w:ascii="宋体" w:hAnsi="宋体"/>
          <w:b/>
          <w:color w:val="auto"/>
          <w:sz w:val="30"/>
          <w:szCs w:val="30"/>
          <w:highlight w:val="none"/>
        </w:rPr>
        <w:t>评审</w:t>
      </w:r>
      <w:r>
        <w:rPr>
          <w:rFonts w:hint="eastAsia" w:ascii="宋体" w:hAnsi="宋体"/>
          <w:b/>
          <w:color w:val="auto"/>
          <w:sz w:val="30"/>
          <w:szCs w:val="30"/>
          <w:highlight w:val="none"/>
        </w:rPr>
        <w:t>个人</w:t>
      </w:r>
      <w:r>
        <w:rPr>
          <w:rFonts w:ascii="宋体" w:hAnsi="宋体"/>
          <w:b/>
          <w:color w:val="auto"/>
          <w:sz w:val="30"/>
          <w:szCs w:val="30"/>
          <w:highlight w:val="none"/>
        </w:rPr>
        <w:t>表</w:t>
      </w:r>
    </w:p>
    <w:p w14:paraId="7CAA15AD">
      <w:pPr>
        <w:jc w:val="center"/>
        <w:rPr>
          <w:rFonts w:ascii="宋体" w:hAnsi="宋体"/>
          <w:b/>
          <w:color w:val="auto"/>
          <w:sz w:val="30"/>
          <w:szCs w:val="30"/>
          <w:highlight w:val="none"/>
        </w:rPr>
      </w:pPr>
    </w:p>
    <w:p w14:paraId="6AFB4C30">
      <w:pPr>
        <w:rPr>
          <w:rFonts w:ascii="宋体" w:hAnsi="宋体"/>
          <w:color w:val="auto"/>
          <w:highlight w:val="none"/>
        </w:rPr>
      </w:pPr>
      <w:r>
        <w:rPr>
          <w:rFonts w:hint="eastAsia" w:ascii="宋体" w:hAnsi="宋体"/>
          <w:color w:val="auto"/>
          <w:highlight w:val="none"/>
        </w:rPr>
        <w:t>项目编号：</w:t>
      </w:r>
    </w:p>
    <w:p w14:paraId="18E069D9">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0"/>
        <w:gridCol w:w="3101"/>
        <w:gridCol w:w="1759"/>
        <w:gridCol w:w="1624"/>
        <w:gridCol w:w="1623"/>
        <w:gridCol w:w="1759"/>
        <w:gridCol w:w="1759"/>
        <w:gridCol w:w="1759"/>
      </w:tblGrid>
      <w:tr w14:paraId="1B298B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90" w:type="dxa"/>
            <w:vMerge w:val="restart"/>
            <w:tcBorders>
              <w:top w:val="single" w:color="auto" w:sz="4" w:space="0"/>
              <w:left w:val="single" w:color="auto" w:sz="4" w:space="0"/>
              <w:right w:val="single" w:color="auto" w:sz="4" w:space="0"/>
            </w:tcBorders>
            <w:noWrap w:val="0"/>
            <w:vAlign w:val="center"/>
          </w:tcPr>
          <w:p w14:paraId="683F2CAD">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3101" w:type="dxa"/>
            <w:vMerge w:val="restart"/>
            <w:tcBorders>
              <w:top w:val="single" w:color="auto" w:sz="4" w:space="0"/>
              <w:left w:val="single" w:color="auto" w:sz="4" w:space="0"/>
              <w:right w:val="single" w:color="auto" w:sz="4" w:space="0"/>
            </w:tcBorders>
            <w:noWrap w:val="0"/>
            <w:vAlign w:val="center"/>
          </w:tcPr>
          <w:p w14:paraId="385E9469">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283" w:type="dxa"/>
            <w:gridSpan w:val="6"/>
            <w:tcBorders>
              <w:top w:val="single" w:color="auto" w:sz="4" w:space="0"/>
              <w:left w:val="single" w:color="auto" w:sz="4" w:space="0"/>
              <w:bottom w:val="single" w:color="auto" w:sz="4" w:space="0"/>
              <w:right w:val="single" w:color="auto" w:sz="4" w:space="0"/>
            </w:tcBorders>
            <w:noWrap w:val="0"/>
            <w:vAlign w:val="center"/>
          </w:tcPr>
          <w:p w14:paraId="0EA1C8B3">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投标单位名称及评审意见</w:t>
            </w:r>
          </w:p>
        </w:tc>
      </w:tr>
      <w:tr w14:paraId="7CFCFE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90" w:type="dxa"/>
            <w:vMerge w:val="continue"/>
            <w:tcBorders>
              <w:left w:val="single" w:color="auto" w:sz="4" w:space="0"/>
              <w:bottom w:val="single" w:color="auto" w:sz="4" w:space="0"/>
              <w:right w:val="single" w:color="auto" w:sz="4" w:space="0"/>
            </w:tcBorders>
            <w:noWrap w:val="0"/>
            <w:vAlign w:val="center"/>
          </w:tcPr>
          <w:p w14:paraId="631DC1DC">
            <w:pPr>
              <w:spacing w:line="320" w:lineRule="exact"/>
              <w:jc w:val="center"/>
              <w:rPr>
                <w:rFonts w:ascii="宋体" w:hAnsi="宋体" w:cs="宋体"/>
                <w:b/>
                <w:color w:val="auto"/>
                <w:szCs w:val="21"/>
                <w:highlight w:val="none"/>
              </w:rPr>
            </w:pPr>
          </w:p>
        </w:tc>
        <w:tc>
          <w:tcPr>
            <w:tcW w:w="3101" w:type="dxa"/>
            <w:vMerge w:val="continue"/>
            <w:tcBorders>
              <w:left w:val="single" w:color="auto" w:sz="4" w:space="0"/>
              <w:bottom w:val="single" w:color="auto" w:sz="4" w:space="0"/>
              <w:right w:val="single" w:color="auto" w:sz="4" w:space="0"/>
            </w:tcBorders>
            <w:noWrap w:val="0"/>
            <w:vAlign w:val="center"/>
          </w:tcPr>
          <w:p w14:paraId="6F96983F">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C96785D">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投标一</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12DD203C">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投标人二</w:t>
            </w:r>
          </w:p>
        </w:tc>
        <w:tc>
          <w:tcPr>
            <w:tcW w:w="1623" w:type="dxa"/>
            <w:tcBorders>
              <w:top w:val="single" w:color="auto" w:sz="4" w:space="0"/>
              <w:left w:val="single" w:color="auto" w:sz="4" w:space="0"/>
              <w:bottom w:val="single" w:color="auto" w:sz="4" w:space="0"/>
              <w:right w:val="single" w:color="auto" w:sz="4" w:space="0"/>
            </w:tcBorders>
            <w:noWrap w:val="0"/>
            <w:vAlign w:val="center"/>
          </w:tcPr>
          <w:p w14:paraId="272659AB">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投标人三</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1B25089">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5999363">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FDB1DA1">
            <w:pPr>
              <w:spacing w:line="320" w:lineRule="exact"/>
              <w:jc w:val="center"/>
              <w:rPr>
                <w:rFonts w:ascii="宋体" w:hAnsi="宋体" w:cs="宋体"/>
                <w:b/>
                <w:color w:val="auto"/>
                <w:szCs w:val="21"/>
                <w:highlight w:val="none"/>
              </w:rPr>
            </w:pPr>
          </w:p>
        </w:tc>
      </w:tr>
      <w:tr w14:paraId="54DE56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5D1A9094">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032A3FF">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00A84DD">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0E7C606">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34623DD1">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896DEE2">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45103E9">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C43D838">
            <w:pPr>
              <w:spacing w:line="320" w:lineRule="exact"/>
              <w:jc w:val="center"/>
              <w:rPr>
                <w:rFonts w:ascii="宋体" w:hAnsi="宋体" w:cs="宋体"/>
                <w:color w:val="auto"/>
                <w:szCs w:val="21"/>
                <w:highlight w:val="none"/>
              </w:rPr>
            </w:pPr>
          </w:p>
        </w:tc>
      </w:tr>
      <w:tr w14:paraId="088421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4BE1564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46056D6">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574FE03">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75ED4350">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0F6C12BE">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7E986FF">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DDA1B8B">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F887AD4">
            <w:pPr>
              <w:spacing w:line="320" w:lineRule="exact"/>
              <w:jc w:val="center"/>
              <w:rPr>
                <w:rFonts w:ascii="宋体" w:hAnsi="宋体" w:cs="宋体"/>
                <w:color w:val="auto"/>
                <w:szCs w:val="21"/>
                <w:highlight w:val="none"/>
              </w:rPr>
            </w:pPr>
          </w:p>
        </w:tc>
      </w:tr>
      <w:tr w14:paraId="2416C6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2BF92408">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5421E48">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14DDADF">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54DA481C">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6A21C533">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F20E28F">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77C19B0">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29ABACD">
            <w:pPr>
              <w:spacing w:line="320" w:lineRule="exact"/>
              <w:jc w:val="center"/>
              <w:rPr>
                <w:rFonts w:ascii="宋体" w:hAnsi="宋体" w:cs="宋体"/>
                <w:color w:val="auto"/>
                <w:szCs w:val="21"/>
                <w:highlight w:val="none"/>
              </w:rPr>
            </w:pPr>
          </w:p>
        </w:tc>
      </w:tr>
      <w:tr w14:paraId="428E6D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67FE045D">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DEC950C">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02348E6">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34633E0A">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48985C5B">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90BDD1A">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7DA37C6">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60B5746">
            <w:pPr>
              <w:spacing w:line="320" w:lineRule="exact"/>
              <w:jc w:val="center"/>
              <w:rPr>
                <w:rFonts w:ascii="宋体" w:hAnsi="宋体" w:cs="宋体"/>
                <w:color w:val="auto"/>
                <w:szCs w:val="21"/>
                <w:highlight w:val="none"/>
              </w:rPr>
            </w:pPr>
          </w:p>
        </w:tc>
      </w:tr>
      <w:tr w14:paraId="602B0B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2B0A55CF">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52DBE78">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A9E1D5E">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0260F493">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191B1E8D">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4B8DF57">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0360F45">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B4F4CEA">
            <w:pPr>
              <w:spacing w:line="320" w:lineRule="exact"/>
              <w:jc w:val="center"/>
              <w:rPr>
                <w:rFonts w:ascii="宋体" w:hAnsi="宋体" w:cs="宋体"/>
                <w:color w:val="auto"/>
                <w:szCs w:val="21"/>
                <w:highlight w:val="none"/>
              </w:rPr>
            </w:pPr>
          </w:p>
        </w:tc>
      </w:tr>
      <w:tr w14:paraId="797D8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038ABA86">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ECE9792">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A676FC6">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5C656F4">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1F056009">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C0CFA1E">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4C70C1B">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BBC0295">
            <w:pPr>
              <w:spacing w:line="320" w:lineRule="exact"/>
              <w:jc w:val="center"/>
              <w:rPr>
                <w:rFonts w:ascii="宋体" w:hAnsi="宋体" w:cs="宋体"/>
                <w:color w:val="auto"/>
                <w:szCs w:val="21"/>
                <w:highlight w:val="none"/>
              </w:rPr>
            </w:pPr>
          </w:p>
        </w:tc>
      </w:tr>
      <w:tr w14:paraId="3562B8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6F0F3525">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4556477">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05C859E">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08B7277D">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2E634E1F">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5239CD1">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408907D">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B530B2A">
            <w:pPr>
              <w:spacing w:line="320" w:lineRule="exact"/>
              <w:jc w:val="center"/>
              <w:rPr>
                <w:rFonts w:ascii="宋体" w:hAnsi="宋体" w:cs="宋体"/>
                <w:color w:val="auto"/>
                <w:szCs w:val="21"/>
                <w:highlight w:val="none"/>
              </w:rPr>
            </w:pPr>
          </w:p>
        </w:tc>
      </w:tr>
      <w:tr w14:paraId="4D058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3FA7E87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28EC18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0BA4276">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247368F4">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56A8363A">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75207E2">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BD512AE">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A2B4733">
            <w:pPr>
              <w:spacing w:line="320" w:lineRule="exact"/>
              <w:jc w:val="center"/>
              <w:rPr>
                <w:rFonts w:ascii="宋体" w:hAnsi="宋体" w:cs="宋体"/>
                <w:color w:val="auto"/>
                <w:szCs w:val="21"/>
                <w:highlight w:val="none"/>
              </w:rPr>
            </w:pPr>
          </w:p>
        </w:tc>
      </w:tr>
    </w:tbl>
    <w:p w14:paraId="7595B133">
      <w:pPr>
        <w:rPr>
          <w:rFonts w:ascii="宋体" w:hAnsi="宋体"/>
          <w:color w:val="auto"/>
          <w:highlight w:val="none"/>
        </w:rPr>
      </w:pPr>
    </w:p>
    <w:p w14:paraId="712C5E5F">
      <w:pPr>
        <w:rPr>
          <w:rFonts w:ascii="宋体" w:hAnsi="宋体"/>
          <w:color w:val="auto"/>
          <w:highlight w:val="none"/>
        </w:rPr>
      </w:pPr>
      <w:r>
        <w:rPr>
          <w:rFonts w:hint="eastAsia" w:ascii="宋体" w:hAnsi="宋体" w:cs="宋体"/>
          <w:b/>
          <w:bCs/>
          <w:color w:val="auto"/>
          <w:highlight w:val="none"/>
        </w:rPr>
        <w:t>注：表格最终以</w:t>
      </w:r>
      <w:r>
        <w:rPr>
          <w:rFonts w:hint="eastAsia" w:ascii="宋体" w:hAnsi="宋体" w:cs="宋体"/>
          <w:b/>
          <w:color w:val="auto"/>
          <w:highlight w:val="none"/>
        </w:rPr>
        <w:t>广州交易集团有限公司（广州公共资源交易中心）</w:t>
      </w:r>
      <w:r>
        <w:rPr>
          <w:rFonts w:hint="eastAsia" w:ascii="宋体" w:hAnsi="宋体" w:cs="宋体"/>
          <w:b/>
          <w:bCs/>
          <w:color w:val="auto"/>
          <w:highlight w:val="none"/>
        </w:rPr>
        <w:t>系统生成的为准。</w:t>
      </w:r>
    </w:p>
    <w:p w14:paraId="092F9FF5">
      <w:pPr>
        <w:rPr>
          <w:rFonts w:ascii="宋体" w:hAnsi="宋体"/>
          <w:strike/>
          <w:color w:val="auto"/>
          <w:highlight w:val="none"/>
        </w:rPr>
        <w:sectPr>
          <w:pgSz w:w="16838" w:h="11906" w:orient="landscape"/>
          <w:pgMar w:top="1797" w:right="1440" w:bottom="1797" w:left="1440" w:header="851" w:footer="992" w:gutter="0"/>
          <w:cols w:space="720" w:num="1"/>
          <w:docGrid w:linePitch="312" w:charSpace="0"/>
        </w:sectPr>
      </w:pPr>
    </w:p>
    <w:p w14:paraId="1F2E6F7F">
      <w:pPr>
        <w:rPr>
          <w:rFonts w:ascii="宋体" w:hAnsi="宋体"/>
          <w:strike/>
          <w:color w:val="auto"/>
          <w:highlight w:val="none"/>
        </w:rPr>
      </w:pPr>
    </w:p>
    <w:p w14:paraId="7683A36B">
      <w:pPr>
        <w:jc w:val="center"/>
        <w:rPr>
          <w:rFonts w:ascii="宋体" w:hAnsi="宋体"/>
          <w:b/>
          <w:color w:val="auto"/>
          <w:sz w:val="30"/>
          <w:szCs w:val="30"/>
          <w:highlight w:val="none"/>
        </w:rPr>
      </w:pPr>
      <w:r>
        <w:rPr>
          <w:rFonts w:hint="eastAsia" w:ascii="宋体" w:hAnsi="宋体"/>
          <w:b/>
          <w:color w:val="auto"/>
          <w:sz w:val="30"/>
          <w:szCs w:val="30"/>
          <w:highlight w:val="none"/>
        </w:rPr>
        <w:t>技术部分</w:t>
      </w:r>
      <w:r>
        <w:rPr>
          <w:rFonts w:ascii="宋体" w:hAnsi="宋体"/>
          <w:b/>
          <w:color w:val="auto"/>
          <w:sz w:val="30"/>
          <w:szCs w:val="30"/>
          <w:highlight w:val="none"/>
        </w:rPr>
        <w:t>评审结果汇总表</w:t>
      </w:r>
    </w:p>
    <w:p w14:paraId="64B7F04D">
      <w:pPr>
        <w:jc w:val="center"/>
        <w:rPr>
          <w:rFonts w:ascii="宋体" w:hAnsi="宋体"/>
          <w:b/>
          <w:color w:val="auto"/>
          <w:szCs w:val="21"/>
          <w:highlight w:val="none"/>
        </w:rPr>
      </w:pPr>
      <w:r>
        <w:rPr>
          <w:rFonts w:hint="eastAsia" w:ascii="宋体" w:hAnsi="宋体"/>
          <w:b/>
          <w:color w:val="auto"/>
          <w:szCs w:val="21"/>
          <w:highlight w:val="none"/>
        </w:rPr>
        <w:t>（适用于综合评分法一）</w:t>
      </w:r>
    </w:p>
    <w:p w14:paraId="2315787D">
      <w:pPr>
        <w:jc w:val="center"/>
        <w:rPr>
          <w:rFonts w:ascii="宋体" w:hAnsi="宋体"/>
          <w:b/>
          <w:color w:val="auto"/>
          <w:sz w:val="30"/>
          <w:szCs w:val="30"/>
          <w:highlight w:val="none"/>
        </w:rPr>
      </w:pPr>
    </w:p>
    <w:p w14:paraId="21790A3F">
      <w:pPr>
        <w:rPr>
          <w:rFonts w:ascii="宋体" w:hAnsi="宋体"/>
          <w:color w:val="auto"/>
          <w:highlight w:val="none"/>
        </w:rPr>
      </w:pPr>
      <w:r>
        <w:rPr>
          <w:rFonts w:hint="eastAsia" w:ascii="宋体" w:hAnsi="宋体"/>
          <w:color w:val="auto"/>
          <w:highlight w:val="none"/>
        </w:rPr>
        <w:t>项目编号：</w:t>
      </w:r>
    </w:p>
    <w:p w14:paraId="01D09A0C">
      <w:pPr>
        <w:rPr>
          <w:rFonts w:ascii="宋体" w:hAnsi="宋体"/>
          <w:color w:val="auto"/>
          <w:highlight w:val="none"/>
        </w:rPr>
      </w:pPr>
      <w:r>
        <w:rPr>
          <w:rFonts w:hint="eastAsia" w:ascii="宋体" w:hAnsi="宋体"/>
          <w:color w:val="auto"/>
          <w:highlight w:val="none"/>
        </w:rPr>
        <w:t>项目名称：</w:t>
      </w:r>
    </w:p>
    <w:tbl>
      <w:tblPr>
        <w:tblStyle w:val="4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6"/>
        <w:gridCol w:w="2587"/>
        <w:gridCol w:w="2014"/>
        <w:gridCol w:w="2108"/>
        <w:gridCol w:w="1912"/>
        <w:gridCol w:w="1659"/>
        <w:gridCol w:w="1636"/>
        <w:gridCol w:w="1332"/>
      </w:tblGrid>
      <w:tr w14:paraId="5AB486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926" w:type="dxa"/>
            <w:vMerge w:val="restart"/>
            <w:tcBorders>
              <w:left w:val="single" w:color="auto" w:sz="4" w:space="0"/>
              <w:right w:val="single" w:color="auto" w:sz="4" w:space="0"/>
            </w:tcBorders>
            <w:noWrap w:val="0"/>
            <w:vAlign w:val="center"/>
          </w:tcPr>
          <w:p w14:paraId="7C1B73EC">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587" w:type="dxa"/>
            <w:vMerge w:val="restart"/>
            <w:tcBorders>
              <w:left w:val="single" w:color="auto" w:sz="4" w:space="0"/>
              <w:right w:val="single" w:color="auto" w:sz="4" w:space="0"/>
            </w:tcBorders>
            <w:noWrap w:val="0"/>
            <w:vAlign w:val="center"/>
          </w:tcPr>
          <w:p w14:paraId="51C8BEC3">
            <w:pPr>
              <w:spacing w:line="320" w:lineRule="exact"/>
              <w:jc w:val="center"/>
              <w:rPr>
                <w:rFonts w:ascii="宋体" w:hAnsi="宋体" w:cs="宋体"/>
                <w:color w:val="auto"/>
                <w:szCs w:val="21"/>
                <w:highlight w:val="none"/>
              </w:rPr>
            </w:pPr>
            <w:r>
              <w:rPr>
                <w:rFonts w:hint="eastAsia" w:ascii="宋体" w:hAnsi="宋体" w:cs="宋体"/>
                <w:b/>
                <w:color w:val="auto"/>
                <w:szCs w:val="21"/>
                <w:highlight w:val="none"/>
              </w:rPr>
              <w:t>评审因素</w:t>
            </w:r>
          </w:p>
        </w:tc>
        <w:tc>
          <w:tcPr>
            <w:tcW w:w="10661" w:type="dxa"/>
            <w:gridSpan w:val="6"/>
            <w:tcBorders>
              <w:top w:val="single" w:color="auto" w:sz="4" w:space="0"/>
              <w:left w:val="single" w:color="auto" w:sz="4" w:space="0"/>
              <w:bottom w:val="single" w:color="auto" w:sz="4" w:space="0"/>
              <w:right w:val="single" w:color="auto" w:sz="4" w:space="0"/>
            </w:tcBorders>
            <w:noWrap w:val="0"/>
            <w:vAlign w:val="center"/>
          </w:tcPr>
          <w:p w14:paraId="4761FC0E">
            <w:pPr>
              <w:spacing w:line="320" w:lineRule="exact"/>
              <w:jc w:val="center"/>
              <w:rPr>
                <w:rFonts w:ascii="宋体" w:hAnsi="宋体" w:cs="宋体"/>
                <w:color w:val="auto"/>
                <w:szCs w:val="21"/>
                <w:highlight w:val="none"/>
              </w:rPr>
            </w:pPr>
            <w:r>
              <w:rPr>
                <w:rFonts w:hint="eastAsia" w:ascii="宋体" w:hAnsi="宋体" w:cs="宋体"/>
                <w:b/>
                <w:color w:val="auto"/>
                <w:szCs w:val="21"/>
                <w:highlight w:val="none"/>
              </w:rPr>
              <w:t>投标单位名称及评审意见</w:t>
            </w:r>
          </w:p>
        </w:tc>
      </w:tr>
      <w:tr w14:paraId="1AEBEE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26" w:type="dxa"/>
            <w:vMerge w:val="continue"/>
            <w:tcBorders>
              <w:left w:val="single" w:color="auto" w:sz="4" w:space="0"/>
              <w:bottom w:val="single" w:color="auto" w:sz="4" w:space="0"/>
              <w:right w:val="single" w:color="auto" w:sz="4" w:space="0"/>
            </w:tcBorders>
            <w:noWrap w:val="0"/>
            <w:vAlign w:val="center"/>
          </w:tcPr>
          <w:p w14:paraId="34CE00E5">
            <w:pPr>
              <w:spacing w:line="320" w:lineRule="exact"/>
              <w:jc w:val="center"/>
              <w:rPr>
                <w:rFonts w:ascii="宋体" w:hAnsi="宋体" w:cs="宋体"/>
                <w:color w:val="auto"/>
                <w:szCs w:val="21"/>
                <w:highlight w:val="none"/>
              </w:rPr>
            </w:pPr>
          </w:p>
        </w:tc>
        <w:tc>
          <w:tcPr>
            <w:tcW w:w="2587" w:type="dxa"/>
            <w:vMerge w:val="continue"/>
            <w:tcBorders>
              <w:left w:val="single" w:color="auto" w:sz="4" w:space="0"/>
              <w:bottom w:val="single" w:color="auto" w:sz="4" w:space="0"/>
              <w:right w:val="single" w:color="auto" w:sz="4" w:space="0"/>
            </w:tcBorders>
            <w:noWrap w:val="0"/>
            <w:vAlign w:val="center"/>
          </w:tcPr>
          <w:p w14:paraId="5F54C93A">
            <w:pPr>
              <w:spacing w:line="320" w:lineRule="exact"/>
              <w:jc w:val="center"/>
              <w:rPr>
                <w:rFonts w:ascii="宋体" w:hAnsi="宋体" w:cs="宋体"/>
                <w:color w:val="auto"/>
                <w:szCs w:val="21"/>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7132AC3D">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投标人一</w:t>
            </w:r>
          </w:p>
        </w:tc>
        <w:tc>
          <w:tcPr>
            <w:tcW w:w="2108" w:type="dxa"/>
            <w:tcBorders>
              <w:top w:val="single" w:color="auto" w:sz="4" w:space="0"/>
              <w:left w:val="single" w:color="auto" w:sz="4" w:space="0"/>
              <w:bottom w:val="single" w:color="auto" w:sz="4" w:space="0"/>
              <w:right w:val="single" w:color="auto" w:sz="4" w:space="0"/>
            </w:tcBorders>
            <w:noWrap w:val="0"/>
            <w:vAlign w:val="center"/>
          </w:tcPr>
          <w:p w14:paraId="665A0AB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投标人二</w:t>
            </w:r>
          </w:p>
        </w:tc>
        <w:tc>
          <w:tcPr>
            <w:tcW w:w="1912" w:type="dxa"/>
            <w:tcBorders>
              <w:top w:val="single" w:color="auto" w:sz="4" w:space="0"/>
              <w:left w:val="single" w:color="auto" w:sz="4" w:space="0"/>
              <w:bottom w:val="single" w:color="auto" w:sz="4" w:space="0"/>
              <w:right w:val="single" w:color="auto" w:sz="4" w:space="0"/>
            </w:tcBorders>
            <w:noWrap w:val="0"/>
            <w:vAlign w:val="center"/>
          </w:tcPr>
          <w:p w14:paraId="1AB6C430">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投标人三</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4A572741">
            <w:pPr>
              <w:spacing w:line="320" w:lineRule="exact"/>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top"/>
          </w:tcPr>
          <w:p w14:paraId="4337C10F">
            <w:pPr>
              <w:spacing w:line="320" w:lineRule="exact"/>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top"/>
          </w:tcPr>
          <w:p w14:paraId="0D5C7814">
            <w:pPr>
              <w:spacing w:line="320" w:lineRule="exact"/>
              <w:rPr>
                <w:rFonts w:ascii="宋体" w:hAnsi="宋体" w:cs="宋体"/>
                <w:color w:val="auto"/>
                <w:szCs w:val="21"/>
                <w:highlight w:val="none"/>
              </w:rPr>
            </w:pPr>
          </w:p>
        </w:tc>
      </w:tr>
      <w:tr w14:paraId="5562E4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14:paraId="608FC25B">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7250A19E">
            <w:pPr>
              <w:spacing w:line="320" w:lineRule="exact"/>
              <w:jc w:val="center"/>
              <w:rPr>
                <w:rFonts w:ascii="宋体" w:hAnsi="宋体" w:cs="宋体"/>
                <w:color w:val="auto"/>
                <w:szCs w:val="21"/>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6B50E95B">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7AB7BEF2">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195F494B">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2EE5A723">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6833548F">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5211AFE6">
            <w:pPr>
              <w:spacing w:line="320" w:lineRule="exact"/>
              <w:jc w:val="center"/>
              <w:rPr>
                <w:rFonts w:ascii="宋体" w:hAnsi="宋体" w:cs="宋体"/>
                <w:color w:val="auto"/>
                <w:szCs w:val="21"/>
                <w:highlight w:val="none"/>
              </w:rPr>
            </w:pPr>
          </w:p>
        </w:tc>
      </w:tr>
      <w:tr w14:paraId="56A767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14:paraId="367F259E">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57E6A669">
            <w:pPr>
              <w:spacing w:line="320" w:lineRule="exact"/>
              <w:jc w:val="center"/>
              <w:rPr>
                <w:rFonts w:ascii="宋体" w:hAnsi="宋体" w:cs="宋体"/>
                <w:color w:val="auto"/>
                <w:szCs w:val="21"/>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2BA58E90">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7380C7C1">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724F0F1D">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6369419D">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1478A816">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525EFD3C">
            <w:pPr>
              <w:spacing w:line="320" w:lineRule="exact"/>
              <w:jc w:val="center"/>
              <w:rPr>
                <w:rFonts w:ascii="宋体" w:hAnsi="宋体" w:cs="宋体"/>
                <w:color w:val="auto"/>
                <w:szCs w:val="21"/>
                <w:highlight w:val="none"/>
              </w:rPr>
            </w:pPr>
          </w:p>
        </w:tc>
      </w:tr>
      <w:tr w14:paraId="312A22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14:paraId="7E3D8CA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4A1EF3E7">
            <w:pPr>
              <w:spacing w:line="320" w:lineRule="exact"/>
              <w:jc w:val="center"/>
              <w:rPr>
                <w:rFonts w:ascii="宋体" w:hAnsi="宋体" w:cs="宋体"/>
                <w:color w:val="auto"/>
                <w:szCs w:val="21"/>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34104E62">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336EF2E3">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001F8C5F">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6BF741EF">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65233487">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0EBCC8C7">
            <w:pPr>
              <w:spacing w:line="320" w:lineRule="exact"/>
              <w:jc w:val="center"/>
              <w:rPr>
                <w:rFonts w:ascii="宋体" w:hAnsi="宋体" w:cs="宋体"/>
                <w:color w:val="auto"/>
                <w:szCs w:val="21"/>
                <w:highlight w:val="none"/>
              </w:rPr>
            </w:pPr>
          </w:p>
        </w:tc>
      </w:tr>
      <w:tr w14:paraId="342ECD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14:paraId="2BC69CDE">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7F69257E">
            <w:pPr>
              <w:spacing w:line="320" w:lineRule="exact"/>
              <w:jc w:val="center"/>
              <w:rPr>
                <w:rFonts w:ascii="宋体" w:hAnsi="宋体" w:cs="宋体"/>
                <w:color w:val="auto"/>
                <w:szCs w:val="21"/>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176B5C1D">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6962E2D4">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062C94D1">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142B8695">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394321BF">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3F744C14">
            <w:pPr>
              <w:spacing w:line="320" w:lineRule="exact"/>
              <w:jc w:val="center"/>
              <w:rPr>
                <w:rFonts w:ascii="宋体" w:hAnsi="宋体" w:cs="宋体"/>
                <w:color w:val="auto"/>
                <w:szCs w:val="21"/>
                <w:highlight w:val="none"/>
              </w:rPr>
            </w:pPr>
          </w:p>
        </w:tc>
      </w:tr>
      <w:tr w14:paraId="516370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14:paraId="5267446B">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4C1938EB">
            <w:pPr>
              <w:spacing w:line="320" w:lineRule="exact"/>
              <w:jc w:val="center"/>
              <w:rPr>
                <w:rFonts w:ascii="宋体" w:hAnsi="宋体" w:cs="宋体"/>
                <w:color w:val="auto"/>
                <w:szCs w:val="21"/>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75E93DA3">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4882836E">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0A6FA2A6">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24C690AE">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6F1C7FED">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30C1E724">
            <w:pPr>
              <w:spacing w:line="320" w:lineRule="exact"/>
              <w:jc w:val="center"/>
              <w:rPr>
                <w:rFonts w:ascii="宋体" w:hAnsi="宋体" w:cs="宋体"/>
                <w:color w:val="auto"/>
                <w:szCs w:val="21"/>
                <w:highlight w:val="none"/>
              </w:rPr>
            </w:pPr>
          </w:p>
        </w:tc>
      </w:tr>
      <w:tr w14:paraId="4B12B4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14:paraId="40DB95F1">
            <w:pPr>
              <w:spacing w:line="320" w:lineRule="exact"/>
              <w:jc w:val="center"/>
              <w:rPr>
                <w:rFonts w:ascii="宋体" w:hAnsi="宋体" w:cs="宋体"/>
                <w:color w:val="auto"/>
                <w:highlight w:val="none"/>
              </w:rPr>
            </w:pPr>
            <w:r>
              <w:rPr>
                <w:rFonts w:hint="eastAsia" w:ascii="宋体" w:hAnsi="宋体" w:cs="宋体"/>
                <w:color w:val="auto"/>
                <w:highlight w:val="none"/>
              </w:rPr>
              <w:t>6</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5026A014">
            <w:pPr>
              <w:spacing w:line="320" w:lineRule="exact"/>
              <w:jc w:val="center"/>
              <w:rPr>
                <w:rFonts w:ascii="宋体" w:hAnsi="宋体" w:cs="宋体"/>
                <w:color w:val="auto"/>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520E2B35">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3225A6CA">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54A1EA15">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427D31A9">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75F498A8">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6CC819E1">
            <w:pPr>
              <w:spacing w:line="320" w:lineRule="exact"/>
              <w:jc w:val="center"/>
              <w:rPr>
                <w:rFonts w:ascii="宋体" w:hAnsi="宋体" w:cs="宋体"/>
                <w:color w:val="auto"/>
                <w:szCs w:val="21"/>
                <w:highlight w:val="none"/>
              </w:rPr>
            </w:pPr>
          </w:p>
        </w:tc>
      </w:tr>
      <w:tr w14:paraId="55768F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14:paraId="1351FBE8">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50C29EB3">
            <w:pPr>
              <w:spacing w:line="320" w:lineRule="exact"/>
              <w:jc w:val="center"/>
              <w:rPr>
                <w:rFonts w:ascii="宋体" w:hAnsi="宋体" w:cs="宋体"/>
                <w:color w:val="auto"/>
                <w:szCs w:val="21"/>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21E3737D">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74823D74">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37036D1F">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787D0478">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41752FD3">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4FCEA816">
            <w:pPr>
              <w:spacing w:line="320" w:lineRule="exact"/>
              <w:jc w:val="center"/>
              <w:rPr>
                <w:rFonts w:ascii="宋体" w:hAnsi="宋体" w:cs="宋体"/>
                <w:color w:val="auto"/>
                <w:szCs w:val="21"/>
                <w:highlight w:val="none"/>
              </w:rPr>
            </w:pPr>
          </w:p>
        </w:tc>
      </w:tr>
      <w:tr w14:paraId="30F235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14:paraId="4982F416">
            <w:pPr>
              <w:spacing w:line="320" w:lineRule="exact"/>
              <w:jc w:val="center"/>
              <w:rPr>
                <w:rFonts w:ascii="宋体" w:hAnsi="宋体" w:cs="宋体"/>
                <w:color w:val="auto"/>
                <w:highlight w:val="none"/>
              </w:rPr>
            </w:pPr>
            <w:r>
              <w:rPr>
                <w:rFonts w:hint="eastAsia" w:ascii="宋体" w:hAnsi="宋体" w:cs="宋体"/>
                <w:color w:val="auto"/>
                <w:szCs w:val="21"/>
                <w:highlight w:val="none"/>
              </w:rPr>
              <w:t>8</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5CDE6DD7">
            <w:pPr>
              <w:spacing w:line="320" w:lineRule="exact"/>
              <w:jc w:val="center"/>
              <w:rPr>
                <w:rFonts w:ascii="宋体" w:hAnsi="宋体" w:cs="宋体"/>
                <w:color w:val="auto"/>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2EAC2E26">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48DC81D9">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101C3F4C">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2B8EDC4F">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58BE7860">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75BFCEF0">
            <w:pPr>
              <w:spacing w:line="320" w:lineRule="exact"/>
              <w:jc w:val="center"/>
              <w:rPr>
                <w:rFonts w:ascii="宋体" w:hAnsi="宋体" w:cs="宋体"/>
                <w:color w:val="auto"/>
                <w:szCs w:val="21"/>
                <w:highlight w:val="none"/>
              </w:rPr>
            </w:pPr>
          </w:p>
        </w:tc>
      </w:tr>
      <w:tr w14:paraId="34C131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13" w:type="dxa"/>
            <w:gridSpan w:val="2"/>
            <w:tcBorders>
              <w:top w:val="single" w:color="auto" w:sz="4" w:space="0"/>
              <w:left w:val="single" w:color="auto" w:sz="4" w:space="0"/>
              <w:bottom w:val="single" w:color="auto" w:sz="4" w:space="0"/>
              <w:right w:val="single" w:color="auto" w:sz="4" w:space="0"/>
            </w:tcBorders>
            <w:noWrap w:val="0"/>
            <w:vAlign w:val="center"/>
          </w:tcPr>
          <w:p w14:paraId="4FCE6E2C">
            <w:pPr>
              <w:spacing w:line="320" w:lineRule="exact"/>
              <w:jc w:val="center"/>
              <w:rPr>
                <w:rFonts w:ascii="宋体" w:hAnsi="宋体" w:cs="宋体"/>
                <w:color w:val="auto"/>
                <w:highlight w:val="none"/>
              </w:rPr>
            </w:pPr>
            <w:r>
              <w:rPr>
                <w:rFonts w:hint="eastAsia" w:ascii="宋体" w:hAnsi="宋体" w:cs="宋体"/>
                <w:color w:val="auto"/>
                <w:highlight w:val="none"/>
              </w:rPr>
              <w:t>合计</w:t>
            </w:r>
          </w:p>
        </w:tc>
        <w:tc>
          <w:tcPr>
            <w:tcW w:w="2014" w:type="dxa"/>
            <w:tcBorders>
              <w:top w:val="single" w:color="auto" w:sz="4" w:space="0"/>
              <w:left w:val="single" w:color="auto" w:sz="4" w:space="0"/>
              <w:bottom w:val="single" w:color="auto" w:sz="4" w:space="0"/>
              <w:right w:val="single" w:color="auto" w:sz="4" w:space="0"/>
            </w:tcBorders>
            <w:noWrap w:val="0"/>
            <w:vAlign w:val="center"/>
          </w:tcPr>
          <w:p w14:paraId="3EC5A060">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59758B89">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50CFEB60">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7F6935D1">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4D1B35D5">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5E95A2F2">
            <w:pPr>
              <w:spacing w:line="320" w:lineRule="exact"/>
              <w:jc w:val="center"/>
              <w:rPr>
                <w:rFonts w:ascii="宋体" w:hAnsi="宋体" w:cs="宋体"/>
                <w:color w:val="auto"/>
                <w:szCs w:val="21"/>
                <w:highlight w:val="none"/>
              </w:rPr>
            </w:pPr>
          </w:p>
        </w:tc>
      </w:tr>
    </w:tbl>
    <w:p w14:paraId="7C051EE0">
      <w:pPr>
        <w:spacing w:line="360" w:lineRule="auto"/>
        <w:jc w:val="left"/>
        <w:rPr>
          <w:rFonts w:ascii="宋体" w:hAnsi="宋体"/>
          <w:color w:val="auto"/>
          <w:sz w:val="24"/>
          <w:highlight w:val="none"/>
        </w:rPr>
      </w:pPr>
      <w:r>
        <w:rPr>
          <w:rFonts w:hint="eastAsia" w:ascii="宋体" w:hAnsi="宋体" w:cs="宋体"/>
          <w:b/>
          <w:bCs/>
          <w:color w:val="auto"/>
          <w:highlight w:val="none"/>
        </w:rPr>
        <w:t>注：表格最终以</w:t>
      </w:r>
      <w:r>
        <w:rPr>
          <w:rFonts w:hint="eastAsia" w:ascii="宋体" w:hAnsi="宋体" w:cs="宋体"/>
          <w:b/>
          <w:color w:val="auto"/>
          <w:highlight w:val="none"/>
        </w:rPr>
        <w:t>广州交易集团有限公司（广州公共资源交易中心）</w:t>
      </w:r>
      <w:r>
        <w:rPr>
          <w:rFonts w:hint="eastAsia" w:ascii="宋体" w:hAnsi="宋体" w:cs="宋体"/>
          <w:b/>
          <w:bCs/>
          <w:color w:val="auto"/>
          <w:highlight w:val="none"/>
        </w:rPr>
        <w:t>系统生成的为准。</w:t>
      </w:r>
    </w:p>
    <w:p w14:paraId="137D2E47">
      <w:pPr>
        <w:jc w:val="center"/>
        <w:rPr>
          <w:rFonts w:ascii="宋体" w:hAnsi="宋体"/>
          <w:color w:val="auto"/>
          <w:sz w:val="24"/>
          <w:highlight w:val="none"/>
        </w:rPr>
      </w:pPr>
      <w:r>
        <w:rPr>
          <w:rFonts w:ascii="宋体" w:hAnsi="宋体"/>
          <w:b/>
          <w:strike/>
          <w:color w:val="auto"/>
          <w:sz w:val="36"/>
          <w:szCs w:val="36"/>
          <w:highlight w:val="none"/>
        </w:rPr>
        <w:br w:type="page"/>
      </w:r>
      <w:r>
        <w:rPr>
          <w:rFonts w:ascii="宋体" w:hAnsi="宋体"/>
          <w:color w:val="auto"/>
          <w:sz w:val="24"/>
          <w:highlight w:val="none"/>
        </w:rPr>
        <w:t xml:space="preserve"> </w:t>
      </w:r>
    </w:p>
    <w:p w14:paraId="0B64403B">
      <w:pPr>
        <w:spacing w:line="360" w:lineRule="auto"/>
        <w:jc w:val="left"/>
        <w:outlineLvl w:val="2"/>
        <w:rPr>
          <w:rFonts w:ascii="宋体" w:hAnsi="宋体"/>
          <w:color w:val="auto"/>
          <w:sz w:val="28"/>
          <w:szCs w:val="27"/>
          <w:highlight w:val="none"/>
        </w:rPr>
      </w:pPr>
      <w:bookmarkStart w:id="261" w:name="_Toc180758573"/>
      <w:r>
        <w:rPr>
          <w:rFonts w:hint="eastAsia" w:ascii="宋体" w:hAnsi="宋体"/>
          <w:color w:val="auto"/>
          <w:sz w:val="28"/>
          <w:szCs w:val="27"/>
          <w:highlight w:val="none"/>
        </w:rPr>
        <w:t>附表5：商务部分评审得分</w:t>
      </w:r>
      <w:r>
        <w:rPr>
          <w:rFonts w:ascii="宋体" w:hAnsi="宋体"/>
          <w:color w:val="auto"/>
          <w:sz w:val="28"/>
          <w:szCs w:val="27"/>
          <w:highlight w:val="none"/>
        </w:rPr>
        <w:t>记录表</w:t>
      </w:r>
      <w:r>
        <w:rPr>
          <w:rFonts w:hint="eastAsia" w:ascii="宋体" w:hAnsi="宋体"/>
          <w:color w:val="auto"/>
          <w:sz w:val="28"/>
          <w:szCs w:val="27"/>
          <w:highlight w:val="none"/>
        </w:rPr>
        <w:t>（格式）</w:t>
      </w:r>
      <w:bookmarkEnd w:id="261"/>
    </w:p>
    <w:p w14:paraId="6A2C2F78">
      <w:pPr>
        <w:jc w:val="center"/>
        <w:rPr>
          <w:rFonts w:ascii="宋体" w:hAnsi="宋体"/>
          <w:b/>
          <w:color w:val="auto"/>
          <w:sz w:val="30"/>
          <w:szCs w:val="30"/>
          <w:highlight w:val="none"/>
        </w:rPr>
      </w:pPr>
      <w:r>
        <w:rPr>
          <w:rFonts w:hint="eastAsia" w:ascii="宋体" w:hAnsi="宋体"/>
          <w:b/>
          <w:color w:val="auto"/>
          <w:sz w:val="30"/>
          <w:szCs w:val="30"/>
          <w:highlight w:val="none"/>
        </w:rPr>
        <w:t>商务部分</w:t>
      </w:r>
      <w:r>
        <w:rPr>
          <w:rFonts w:ascii="宋体" w:hAnsi="宋体"/>
          <w:b/>
          <w:color w:val="auto"/>
          <w:sz w:val="30"/>
          <w:szCs w:val="30"/>
          <w:highlight w:val="none"/>
        </w:rPr>
        <w:t>评审</w:t>
      </w:r>
      <w:r>
        <w:rPr>
          <w:rFonts w:hint="eastAsia" w:ascii="宋体" w:hAnsi="宋体"/>
          <w:b/>
          <w:color w:val="auto"/>
          <w:sz w:val="30"/>
          <w:szCs w:val="30"/>
          <w:highlight w:val="none"/>
        </w:rPr>
        <w:t>个人</w:t>
      </w:r>
      <w:r>
        <w:rPr>
          <w:rFonts w:ascii="宋体" w:hAnsi="宋体"/>
          <w:b/>
          <w:color w:val="auto"/>
          <w:sz w:val="30"/>
          <w:szCs w:val="30"/>
          <w:highlight w:val="none"/>
        </w:rPr>
        <w:t>表</w:t>
      </w:r>
    </w:p>
    <w:p w14:paraId="13AC094C">
      <w:pPr>
        <w:jc w:val="center"/>
        <w:rPr>
          <w:rFonts w:ascii="宋体" w:hAnsi="宋体"/>
          <w:b/>
          <w:color w:val="auto"/>
          <w:sz w:val="30"/>
          <w:szCs w:val="30"/>
          <w:highlight w:val="none"/>
        </w:rPr>
      </w:pPr>
    </w:p>
    <w:p w14:paraId="430F191C">
      <w:pPr>
        <w:rPr>
          <w:rFonts w:ascii="宋体" w:hAnsi="宋体"/>
          <w:color w:val="auto"/>
          <w:highlight w:val="none"/>
        </w:rPr>
      </w:pPr>
      <w:r>
        <w:rPr>
          <w:rFonts w:hint="eastAsia" w:ascii="宋体" w:hAnsi="宋体"/>
          <w:color w:val="auto"/>
          <w:highlight w:val="none"/>
        </w:rPr>
        <w:t>项目编号：</w:t>
      </w:r>
    </w:p>
    <w:p w14:paraId="616BB85E">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0"/>
        <w:gridCol w:w="3101"/>
        <w:gridCol w:w="1759"/>
        <w:gridCol w:w="1624"/>
        <w:gridCol w:w="1623"/>
        <w:gridCol w:w="1759"/>
        <w:gridCol w:w="1759"/>
        <w:gridCol w:w="1759"/>
      </w:tblGrid>
      <w:tr w14:paraId="422711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90" w:type="dxa"/>
            <w:vMerge w:val="restart"/>
            <w:tcBorders>
              <w:top w:val="single" w:color="auto" w:sz="4" w:space="0"/>
              <w:left w:val="single" w:color="auto" w:sz="4" w:space="0"/>
              <w:right w:val="single" w:color="auto" w:sz="4" w:space="0"/>
            </w:tcBorders>
            <w:noWrap w:val="0"/>
            <w:vAlign w:val="center"/>
          </w:tcPr>
          <w:p w14:paraId="67DA4076">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3101" w:type="dxa"/>
            <w:vMerge w:val="restart"/>
            <w:tcBorders>
              <w:top w:val="single" w:color="auto" w:sz="4" w:space="0"/>
              <w:left w:val="single" w:color="auto" w:sz="4" w:space="0"/>
              <w:right w:val="single" w:color="auto" w:sz="4" w:space="0"/>
            </w:tcBorders>
            <w:noWrap w:val="0"/>
            <w:vAlign w:val="center"/>
          </w:tcPr>
          <w:p w14:paraId="72A84604">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283" w:type="dxa"/>
            <w:gridSpan w:val="6"/>
            <w:tcBorders>
              <w:top w:val="single" w:color="auto" w:sz="4" w:space="0"/>
              <w:left w:val="single" w:color="auto" w:sz="4" w:space="0"/>
              <w:bottom w:val="single" w:color="auto" w:sz="4" w:space="0"/>
              <w:right w:val="single" w:color="auto" w:sz="4" w:space="0"/>
            </w:tcBorders>
            <w:noWrap w:val="0"/>
            <w:vAlign w:val="center"/>
          </w:tcPr>
          <w:p w14:paraId="241192B1">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投标单位名称及评审意见</w:t>
            </w:r>
          </w:p>
        </w:tc>
      </w:tr>
      <w:tr w14:paraId="682932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90" w:type="dxa"/>
            <w:vMerge w:val="continue"/>
            <w:tcBorders>
              <w:left w:val="single" w:color="auto" w:sz="4" w:space="0"/>
              <w:bottom w:val="single" w:color="auto" w:sz="4" w:space="0"/>
              <w:right w:val="single" w:color="auto" w:sz="4" w:space="0"/>
            </w:tcBorders>
            <w:noWrap w:val="0"/>
            <w:vAlign w:val="center"/>
          </w:tcPr>
          <w:p w14:paraId="79D5EC18">
            <w:pPr>
              <w:spacing w:line="320" w:lineRule="exact"/>
              <w:jc w:val="center"/>
              <w:rPr>
                <w:rFonts w:ascii="宋体" w:hAnsi="宋体" w:cs="宋体"/>
                <w:b/>
                <w:color w:val="auto"/>
                <w:szCs w:val="21"/>
                <w:highlight w:val="none"/>
              </w:rPr>
            </w:pPr>
          </w:p>
        </w:tc>
        <w:tc>
          <w:tcPr>
            <w:tcW w:w="3101" w:type="dxa"/>
            <w:vMerge w:val="continue"/>
            <w:tcBorders>
              <w:left w:val="single" w:color="auto" w:sz="4" w:space="0"/>
              <w:bottom w:val="single" w:color="auto" w:sz="4" w:space="0"/>
              <w:right w:val="single" w:color="auto" w:sz="4" w:space="0"/>
            </w:tcBorders>
            <w:noWrap w:val="0"/>
            <w:vAlign w:val="center"/>
          </w:tcPr>
          <w:p w14:paraId="3DF1D4C0">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E2D269C">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投标一</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5A428BBD">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投标人二</w:t>
            </w:r>
          </w:p>
        </w:tc>
        <w:tc>
          <w:tcPr>
            <w:tcW w:w="1623" w:type="dxa"/>
            <w:tcBorders>
              <w:top w:val="single" w:color="auto" w:sz="4" w:space="0"/>
              <w:left w:val="single" w:color="auto" w:sz="4" w:space="0"/>
              <w:bottom w:val="single" w:color="auto" w:sz="4" w:space="0"/>
              <w:right w:val="single" w:color="auto" w:sz="4" w:space="0"/>
            </w:tcBorders>
            <w:noWrap w:val="0"/>
            <w:vAlign w:val="center"/>
          </w:tcPr>
          <w:p w14:paraId="5880C556">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投标人三</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C15F946">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933808E">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E69D89B">
            <w:pPr>
              <w:spacing w:line="320" w:lineRule="exact"/>
              <w:jc w:val="center"/>
              <w:rPr>
                <w:rFonts w:ascii="宋体" w:hAnsi="宋体" w:cs="宋体"/>
                <w:b/>
                <w:color w:val="auto"/>
                <w:szCs w:val="21"/>
                <w:highlight w:val="none"/>
              </w:rPr>
            </w:pPr>
          </w:p>
        </w:tc>
      </w:tr>
      <w:tr w14:paraId="2D5AA8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27C2ED37">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FC25475">
            <w:pPr>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5F24AE2">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280B57E1">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0DD78B70">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FD054F7">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977B0AE">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0E0424B">
            <w:pPr>
              <w:spacing w:line="320" w:lineRule="exact"/>
              <w:jc w:val="center"/>
              <w:rPr>
                <w:rFonts w:ascii="宋体" w:hAnsi="宋体" w:cs="宋体"/>
                <w:color w:val="auto"/>
                <w:szCs w:val="21"/>
                <w:highlight w:val="none"/>
              </w:rPr>
            </w:pPr>
          </w:p>
        </w:tc>
      </w:tr>
      <w:tr w14:paraId="512990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5750A218">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34E719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1EDDB98">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875441E">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5E1B3B29">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9A9D14D">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DF5CB73">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A8FFD2C">
            <w:pPr>
              <w:spacing w:line="320" w:lineRule="exact"/>
              <w:jc w:val="center"/>
              <w:rPr>
                <w:rFonts w:ascii="宋体" w:hAnsi="宋体" w:cs="宋体"/>
                <w:color w:val="auto"/>
                <w:szCs w:val="21"/>
                <w:highlight w:val="none"/>
              </w:rPr>
            </w:pPr>
          </w:p>
        </w:tc>
      </w:tr>
      <w:tr w14:paraId="56C38F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190454C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A149314">
            <w:pPr>
              <w:spacing w:line="320" w:lineRule="exact"/>
              <w:jc w:val="center"/>
              <w:rPr>
                <w:rFonts w:ascii="宋体" w:hAnsi="宋体" w:cs="宋体"/>
                <w:color w:val="auto"/>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AE8E8F1">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3E690A79">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04A755F2">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E1106A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1ECD7D2">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8409F15">
            <w:pPr>
              <w:spacing w:line="320" w:lineRule="exact"/>
              <w:jc w:val="center"/>
              <w:rPr>
                <w:rFonts w:ascii="宋体" w:hAnsi="宋体" w:cs="宋体"/>
                <w:color w:val="auto"/>
                <w:szCs w:val="21"/>
                <w:highlight w:val="none"/>
              </w:rPr>
            </w:pPr>
          </w:p>
        </w:tc>
      </w:tr>
      <w:tr w14:paraId="6537A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44BA93CF">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DF82581">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ACC8DFD">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03202B88">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2926D830">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E4C1EC0">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E1765E2">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E7781AC">
            <w:pPr>
              <w:spacing w:line="320" w:lineRule="exact"/>
              <w:jc w:val="center"/>
              <w:rPr>
                <w:rFonts w:ascii="宋体" w:hAnsi="宋体" w:cs="宋体"/>
                <w:color w:val="auto"/>
                <w:szCs w:val="21"/>
                <w:highlight w:val="none"/>
              </w:rPr>
            </w:pPr>
          </w:p>
        </w:tc>
      </w:tr>
      <w:tr w14:paraId="6FE271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21C883DA">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577BE87">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13E8EDB">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95D7C06">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49148519">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CCE9EEA">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99766B5">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857C911">
            <w:pPr>
              <w:spacing w:line="320" w:lineRule="exact"/>
              <w:jc w:val="center"/>
              <w:rPr>
                <w:rFonts w:ascii="宋体" w:hAnsi="宋体" w:cs="宋体"/>
                <w:color w:val="auto"/>
                <w:szCs w:val="21"/>
                <w:highlight w:val="none"/>
              </w:rPr>
            </w:pPr>
          </w:p>
        </w:tc>
      </w:tr>
      <w:tr w14:paraId="1B8BA4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64ED52E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DAA3120">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77DA878">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098E4B97">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7951916C">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A19863A">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7B2A57E">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4CE0D92">
            <w:pPr>
              <w:spacing w:line="320" w:lineRule="exact"/>
              <w:jc w:val="center"/>
              <w:rPr>
                <w:rFonts w:ascii="宋体" w:hAnsi="宋体" w:cs="宋体"/>
                <w:color w:val="auto"/>
                <w:szCs w:val="21"/>
                <w:highlight w:val="none"/>
              </w:rPr>
            </w:pPr>
          </w:p>
        </w:tc>
      </w:tr>
      <w:tr w14:paraId="29221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0ED779CE">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AB31F3C">
            <w:pPr>
              <w:spacing w:line="360" w:lineRule="exact"/>
              <w:jc w:val="center"/>
              <w:rPr>
                <w:rFonts w:ascii="宋体" w:hAnsi="宋体" w:cs="宋体"/>
                <w:color w:val="auto"/>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2C706D8">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D9AC559">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08ECF869">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E7D8ED8">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350288B">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16C77EF">
            <w:pPr>
              <w:spacing w:line="320" w:lineRule="exact"/>
              <w:jc w:val="center"/>
              <w:rPr>
                <w:rFonts w:ascii="宋体" w:hAnsi="宋体" w:cs="宋体"/>
                <w:color w:val="auto"/>
                <w:szCs w:val="21"/>
                <w:highlight w:val="none"/>
              </w:rPr>
            </w:pPr>
          </w:p>
        </w:tc>
      </w:tr>
      <w:tr w14:paraId="7A082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07503436">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6AD6CE7">
            <w:pPr>
              <w:spacing w:line="36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023A272">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60DDA4E">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39EACB2B">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31F4E87">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FFDE4A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F1C207B">
            <w:pPr>
              <w:spacing w:line="320" w:lineRule="exact"/>
              <w:jc w:val="center"/>
              <w:rPr>
                <w:rFonts w:ascii="宋体" w:hAnsi="宋体" w:cs="宋体"/>
                <w:color w:val="auto"/>
                <w:szCs w:val="21"/>
                <w:highlight w:val="none"/>
              </w:rPr>
            </w:pPr>
          </w:p>
        </w:tc>
      </w:tr>
      <w:tr w14:paraId="51DBBF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5202805E">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E533A59">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B8EE50A">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63CCC436">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2E683EA3">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9F01633">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0F3923C">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2F8E8E2">
            <w:pPr>
              <w:spacing w:line="320" w:lineRule="exact"/>
              <w:jc w:val="center"/>
              <w:rPr>
                <w:rFonts w:ascii="宋体" w:hAnsi="宋体" w:cs="宋体"/>
                <w:color w:val="auto"/>
                <w:szCs w:val="21"/>
                <w:highlight w:val="none"/>
              </w:rPr>
            </w:pPr>
          </w:p>
        </w:tc>
      </w:tr>
    </w:tbl>
    <w:p w14:paraId="21B1D554">
      <w:pPr>
        <w:rPr>
          <w:rFonts w:ascii="宋体" w:hAnsi="宋体"/>
          <w:color w:val="auto"/>
          <w:highlight w:val="none"/>
        </w:rPr>
      </w:pPr>
    </w:p>
    <w:p w14:paraId="4C36DB10">
      <w:pPr>
        <w:rPr>
          <w:rFonts w:ascii="宋体" w:hAnsi="宋体"/>
          <w:color w:val="auto"/>
          <w:highlight w:val="none"/>
        </w:rPr>
      </w:pPr>
      <w:r>
        <w:rPr>
          <w:rFonts w:hint="eastAsia" w:ascii="宋体" w:hAnsi="宋体" w:cs="宋体"/>
          <w:b/>
          <w:bCs/>
          <w:color w:val="auto"/>
          <w:highlight w:val="none"/>
        </w:rPr>
        <w:t>注：表格最终以</w:t>
      </w:r>
      <w:r>
        <w:rPr>
          <w:rFonts w:hint="eastAsia" w:ascii="宋体" w:hAnsi="宋体" w:cs="宋体"/>
          <w:b/>
          <w:color w:val="auto"/>
          <w:highlight w:val="none"/>
        </w:rPr>
        <w:t>广州交易集团有限公司（广州公共资源交易中心）</w:t>
      </w:r>
      <w:r>
        <w:rPr>
          <w:rFonts w:hint="eastAsia" w:ascii="宋体" w:hAnsi="宋体" w:cs="宋体"/>
          <w:b/>
          <w:bCs/>
          <w:color w:val="auto"/>
          <w:highlight w:val="none"/>
        </w:rPr>
        <w:t>系统生成的为准。</w:t>
      </w:r>
    </w:p>
    <w:p w14:paraId="648B2A4B">
      <w:pPr>
        <w:rPr>
          <w:rFonts w:ascii="宋体" w:hAnsi="宋体"/>
          <w:color w:val="auto"/>
          <w:highlight w:val="none"/>
        </w:rPr>
        <w:sectPr>
          <w:pgSz w:w="16838" w:h="11906" w:orient="landscape"/>
          <w:pgMar w:top="1797" w:right="1440" w:bottom="1797" w:left="1440" w:header="851" w:footer="992" w:gutter="0"/>
          <w:cols w:space="720" w:num="1"/>
          <w:docGrid w:linePitch="312" w:charSpace="0"/>
        </w:sectPr>
      </w:pPr>
    </w:p>
    <w:p w14:paraId="0B263053">
      <w:pPr>
        <w:jc w:val="center"/>
        <w:rPr>
          <w:rFonts w:ascii="宋体" w:hAnsi="宋体"/>
          <w:b/>
          <w:color w:val="auto"/>
          <w:sz w:val="30"/>
          <w:szCs w:val="30"/>
          <w:highlight w:val="none"/>
        </w:rPr>
      </w:pPr>
      <w:r>
        <w:rPr>
          <w:rFonts w:hint="eastAsia" w:ascii="宋体" w:hAnsi="宋体"/>
          <w:b/>
          <w:color w:val="auto"/>
          <w:sz w:val="30"/>
          <w:szCs w:val="30"/>
          <w:highlight w:val="none"/>
        </w:rPr>
        <w:t>商务部分</w:t>
      </w:r>
      <w:r>
        <w:rPr>
          <w:rFonts w:ascii="宋体" w:hAnsi="宋体"/>
          <w:b/>
          <w:color w:val="auto"/>
          <w:sz w:val="30"/>
          <w:szCs w:val="30"/>
          <w:highlight w:val="none"/>
        </w:rPr>
        <w:t>评审结果汇总表</w:t>
      </w:r>
    </w:p>
    <w:p w14:paraId="67E7A7A3">
      <w:pPr>
        <w:rPr>
          <w:rFonts w:ascii="宋体" w:hAnsi="宋体"/>
          <w:color w:val="auto"/>
          <w:highlight w:val="none"/>
        </w:rPr>
      </w:pPr>
      <w:r>
        <w:rPr>
          <w:rFonts w:hint="eastAsia" w:ascii="宋体" w:hAnsi="宋体"/>
          <w:color w:val="auto"/>
          <w:highlight w:val="none"/>
        </w:rPr>
        <w:t>项目编号：</w:t>
      </w:r>
    </w:p>
    <w:p w14:paraId="1B36B4CE">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9"/>
        <w:gridCol w:w="2379"/>
        <w:gridCol w:w="1800"/>
        <w:gridCol w:w="1800"/>
        <w:gridCol w:w="1800"/>
        <w:gridCol w:w="1800"/>
        <w:gridCol w:w="1800"/>
        <w:gridCol w:w="1800"/>
      </w:tblGrid>
      <w:tr w14:paraId="32379C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789" w:type="dxa"/>
            <w:vMerge w:val="restart"/>
            <w:tcBorders>
              <w:top w:val="single" w:color="auto" w:sz="4" w:space="0"/>
              <w:left w:val="single" w:color="auto" w:sz="4" w:space="0"/>
              <w:right w:val="single" w:color="auto" w:sz="4" w:space="0"/>
            </w:tcBorders>
            <w:noWrap w:val="0"/>
            <w:vAlign w:val="center"/>
          </w:tcPr>
          <w:p w14:paraId="6141FFF7">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379" w:type="dxa"/>
            <w:vMerge w:val="restart"/>
            <w:tcBorders>
              <w:top w:val="single" w:color="auto" w:sz="4" w:space="0"/>
              <w:left w:val="single" w:color="auto" w:sz="4" w:space="0"/>
              <w:right w:val="single" w:color="auto" w:sz="4" w:space="0"/>
            </w:tcBorders>
            <w:noWrap w:val="0"/>
            <w:vAlign w:val="center"/>
          </w:tcPr>
          <w:p w14:paraId="34C61ADB">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800" w:type="dxa"/>
            <w:gridSpan w:val="6"/>
            <w:tcBorders>
              <w:top w:val="single" w:color="auto" w:sz="4" w:space="0"/>
              <w:left w:val="single" w:color="auto" w:sz="4" w:space="0"/>
              <w:bottom w:val="single" w:color="auto" w:sz="4" w:space="0"/>
              <w:right w:val="single" w:color="auto" w:sz="4" w:space="0"/>
            </w:tcBorders>
            <w:noWrap w:val="0"/>
            <w:vAlign w:val="center"/>
          </w:tcPr>
          <w:p w14:paraId="22A24398">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投标人及商务部分评审结果</w:t>
            </w:r>
          </w:p>
        </w:tc>
      </w:tr>
      <w:tr w14:paraId="011FA2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789" w:type="dxa"/>
            <w:vMerge w:val="continue"/>
            <w:tcBorders>
              <w:left w:val="single" w:color="auto" w:sz="4" w:space="0"/>
              <w:bottom w:val="single" w:color="auto" w:sz="4" w:space="0"/>
              <w:right w:val="single" w:color="auto" w:sz="4" w:space="0"/>
            </w:tcBorders>
            <w:noWrap w:val="0"/>
            <w:vAlign w:val="center"/>
          </w:tcPr>
          <w:p w14:paraId="15C683F7">
            <w:pPr>
              <w:spacing w:line="320" w:lineRule="exact"/>
              <w:jc w:val="center"/>
              <w:rPr>
                <w:rFonts w:ascii="宋体" w:hAnsi="宋体" w:cs="宋体"/>
                <w:color w:val="auto"/>
                <w:szCs w:val="21"/>
                <w:highlight w:val="none"/>
              </w:rPr>
            </w:pPr>
          </w:p>
        </w:tc>
        <w:tc>
          <w:tcPr>
            <w:tcW w:w="2379" w:type="dxa"/>
            <w:vMerge w:val="continue"/>
            <w:tcBorders>
              <w:left w:val="single" w:color="auto" w:sz="4" w:space="0"/>
              <w:bottom w:val="single" w:color="auto" w:sz="4" w:space="0"/>
              <w:right w:val="single" w:color="auto" w:sz="4" w:space="0"/>
            </w:tcBorders>
            <w:noWrap w:val="0"/>
            <w:vAlign w:val="center"/>
          </w:tcPr>
          <w:p w14:paraId="41ADF4C7">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C29EC95">
            <w:pPr>
              <w:spacing w:line="320" w:lineRule="exact"/>
              <w:jc w:val="center"/>
              <w:rPr>
                <w:rFonts w:ascii="宋体" w:hAnsi="宋体" w:cs="宋体"/>
                <w:color w:val="auto"/>
                <w:szCs w:val="21"/>
                <w:highlight w:val="none"/>
              </w:rPr>
            </w:pPr>
            <w:r>
              <w:rPr>
                <w:rFonts w:hint="eastAsia" w:ascii="宋体" w:hAnsi="宋体" w:cs="宋体"/>
                <w:bCs/>
                <w:color w:val="auto"/>
                <w:szCs w:val="21"/>
                <w:highlight w:val="none"/>
              </w:rPr>
              <w:t>投标一</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E73BDD7">
            <w:pPr>
              <w:spacing w:line="320" w:lineRule="exact"/>
              <w:jc w:val="center"/>
              <w:rPr>
                <w:rFonts w:ascii="宋体" w:hAnsi="宋体" w:cs="宋体"/>
                <w:color w:val="auto"/>
                <w:szCs w:val="21"/>
                <w:highlight w:val="none"/>
              </w:rPr>
            </w:pPr>
            <w:r>
              <w:rPr>
                <w:rFonts w:hint="eastAsia" w:ascii="宋体" w:hAnsi="宋体" w:cs="宋体"/>
                <w:bCs/>
                <w:color w:val="auto"/>
                <w:szCs w:val="21"/>
                <w:highlight w:val="none"/>
              </w:rPr>
              <w:t>投标人二</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D99D3BD">
            <w:pPr>
              <w:spacing w:line="320" w:lineRule="exact"/>
              <w:jc w:val="center"/>
              <w:rPr>
                <w:rFonts w:ascii="宋体" w:hAnsi="宋体" w:cs="宋体"/>
                <w:color w:val="auto"/>
                <w:szCs w:val="21"/>
                <w:highlight w:val="none"/>
              </w:rPr>
            </w:pPr>
            <w:r>
              <w:rPr>
                <w:rFonts w:hint="eastAsia" w:ascii="宋体" w:hAnsi="宋体" w:cs="宋体"/>
                <w:bCs/>
                <w:color w:val="auto"/>
                <w:szCs w:val="21"/>
                <w:highlight w:val="none"/>
              </w:rPr>
              <w:t>投标人三</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20465F56">
            <w:pPr>
              <w:spacing w:line="32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AD3C746">
            <w:pPr>
              <w:spacing w:line="32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13C2B42C">
            <w:pPr>
              <w:spacing w:line="320" w:lineRule="exact"/>
              <w:rPr>
                <w:rFonts w:ascii="宋体" w:hAnsi="宋体" w:cs="宋体"/>
                <w:color w:val="auto"/>
                <w:szCs w:val="21"/>
                <w:highlight w:val="none"/>
              </w:rPr>
            </w:pPr>
          </w:p>
        </w:tc>
      </w:tr>
      <w:tr w14:paraId="0C5B2A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1BBEF1E4">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379" w:type="dxa"/>
            <w:tcBorders>
              <w:top w:val="single" w:color="auto" w:sz="4" w:space="0"/>
              <w:left w:val="single" w:color="auto" w:sz="4" w:space="0"/>
              <w:bottom w:val="single" w:color="auto" w:sz="4" w:space="0"/>
              <w:right w:val="single" w:color="auto" w:sz="4" w:space="0"/>
            </w:tcBorders>
            <w:noWrap w:val="0"/>
            <w:vAlign w:val="center"/>
          </w:tcPr>
          <w:p w14:paraId="3FE4F005">
            <w:pPr>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04DC115">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6CB2889">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A194678">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FFFBF94">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AA25BF2">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31EAA67">
            <w:pPr>
              <w:spacing w:line="320" w:lineRule="exact"/>
              <w:jc w:val="center"/>
              <w:rPr>
                <w:rFonts w:ascii="宋体" w:hAnsi="宋体" w:cs="宋体"/>
                <w:color w:val="auto"/>
                <w:szCs w:val="21"/>
                <w:highlight w:val="none"/>
              </w:rPr>
            </w:pPr>
          </w:p>
        </w:tc>
      </w:tr>
      <w:tr w14:paraId="0D43E2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5B37B624">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379" w:type="dxa"/>
            <w:tcBorders>
              <w:top w:val="single" w:color="auto" w:sz="4" w:space="0"/>
              <w:left w:val="single" w:color="auto" w:sz="4" w:space="0"/>
              <w:bottom w:val="single" w:color="auto" w:sz="4" w:space="0"/>
              <w:right w:val="single" w:color="auto" w:sz="4" w:space="0"/>
            </w:tcBorders>
            <w:noWrap w:val="0"/>
            <w:vAlign w:val="center"/>
          </w:tcPr>
          <w:p w14:paraId="6214BF0C">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C9264CD">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1174581">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18FA64E">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1713399F">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EA047F7">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24C5516">
            <w:pPr>
              <w:spacing w:line="320" w:lineRule="exact"/>
              <w:jc w:val="center"/>
              <w:rPr>
                <w:rFonts w:ascii="宋体" w:hAnsi="宋体" w:cs="宋体"/>
                <w:color w:val="auto"/>
                <w:szCs w:val="21"/>
                <w:highlight w:val="none"/>
              </w:rPr>
            </w:pPr>
          </w:p>
        </w:tc>
      </w:tr>
      <w:tr w14:paraId="380CA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03EE3E3E">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379" w:type="dxa"/>
            <w:tcBorders>
              <w:top w:val="single" w:color="auto" w:sz="4" w:space="0"/>
              <w:left w:val="single" w:color="auto" w:sz="4" w:space="0"/>
              <w:bottom w:val="single" w:color="auto" w:sz="4" w:space="0"/>
              <w:right w:val="single" w:color="auto" w:sz="4" w:space="0"/>
            </w:tcBorders>
            <w:noWrap w:val="0"/>
            <w:vAlign w:val="center"/>
          </w:tcPr>
          <w:p w14:paraId="3A62342B">
            <w:pPr>
              <w:spacing w:line="320" w:lineRule="exact"/>
              <w:jc w:val="center"/>
              <w:rPr>
                <w:rFonts w:ascii="宋体" w:hAnsi="宋体" w:cs="宋体"/>
                <w:color w:val="auto"/>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1C2F6B0">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DA7F7B6">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13926940">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D9CC6C8">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C2BF98E">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0725DF3">
            <w:pPr>
              <w:spacing w:line="320" w:lineRule="exact"/>
              <w:jc w:val="center"/>
              <w:rPr>
                <w:rFonts w:ascii="宋体" w:hAnsi="宋体" w:cs="宋体"/>
                <w:color w:val="auto"/>
                <w:szCs w:val="21"/>
                <w:highlight w:val="none"/>
              </w:rPr>
            </w:pPr>
          </w:p>
        </w:tc>
      </w:tr>
      <w:tr w14:paraId="57E22D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52C54810">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379" w:type="dxa"/>
            <w:tcBorders>
              <w:top w:val="single" w:color="auto" w:sz="4" w:space="0"/>
              <w:left w:val="single" w:color="auto" w:sz="4" w:space="0"/>
              <w:bottom w:val="single" w:color="auto" w:sz="4" w:space="0"/>
              <w:right w:val="single" w:color="auto" w:sz="4" w:space="0"/>
            </w:tcBorders>
            <w:noWrap w:val="0"/>
            <w:vAlign w:val="center"/>
          </w:tcPr>
          <w:p w14:paraId="792EBED1">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0A6E016">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B774A1A">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18B3475">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820A139">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C6DA0AB">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139B38C7">
            <w:pPr>
              <w:spacing w:line="320" w:lineRule="exact"/>
              <w:jc w:val="center"/>
              <w:rPr>
                <w:rFonts w:ascii="宋体" w:hAnsi="宋体" w:cs="宋体"/>
                <w:color w:val="auto"/>
                <w:szCs w:val="21"/>
                <w:highlight w:val="none"/>
              </w:rPr>
            </w:pPr>
          </w:p>
        </w:tc>
      </w:tr>
      <w:tr w14:paraId="133B50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67D1A46C">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2379" w:type="dxa"/>
            <w:tcBorders>
              <w:top w:val="single" w:color="auto" w:sz="4" w:space="0"/>
              <w:left w:val="single" w:color="auto" w:sz="4" w:space="0"/>
              <w:bottom w:val="single" w:color="auto" w:sz="4" w:space="0"/>
              <w:right w:val="single" w:color="auto" w:sz="4" w:space="0"/>
            </w:tcBorders>
            <w:noWrap w:val="0"/>
            <w:vAlign w:val="center"/>
          </w:tcPr>
          <w:p w14:paraId="3604F8E1">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0FC61AF">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199B193">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458EA48">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87CD64F">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A2DD0F3">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2300075">
            <w:pPr>
              <w:spacing w:line="320" w:lineRule="exact"/>
              <w:jc w:val="center"/>
              <w:rPr>
                <w:rFonts w:ascii="宋体" w:hAnsi="宋体" w:cs="宋体"/>
                <w:color w:val="auto"/>
                <w:szCs w:val="21"/>
                <w:highlight w:val="none"/>
              </w:rPr>
            </w:pPr>
          </w:p>
        </w:tc>
      </w:tr>
      <w:tr w14:paraId="749C0E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492860C2">
            <w:pPr>
              <w:spacing w:line="320" w:lineRule="exact"/>
              <w:jc w:val="center"/>
              <w:rPr>
                <w:rFonts w:ascii="宋体" w:hAnsi="宋体" w:cs="宋体"/>
                <w:color w:val="auto"/>
                <w:szCs w:val="21"/>
                <w:highlight w:val="none"/>
              </w:rPr>
            </w:pPr>
            <w:r>
              <w:rPr>
                <w:rFonts w:hint="eastAsia" w:ascii="宋体" w:hAnsi="宋体" w:cs="宋体"/>
                <w:color w:val="auto"/>
                <w:highlight w:val="none"/>
              </w:rPr>
              <w:t>6</w:t>
            </w:r>
          </w:p>
        </w:tc>
        <w:tc>
          <w:tcPr>
            <w:tcW w:w="2379" w:type="dxa"/>
            <w:tcBorders>
              <w:top w:val="single" w:color="auto" w:sz="4" w:space="0"/>
              <w:left w:val="single" w:color="auto" w:sz="4" w:space="0"/>
              <w:bottom w:val="single" w:color="auto" w:sz="4" w:space="0"/>
              <w:right w:val="single" w:color="auto" w:sz="4" w:space="0"/>
            </w:tcBorders>
            <w:noWrap w:val="0"/>
            <w:vAlign w:val="center"/>
          </w:tcPr>
          <w:p w14:paraId="08069876">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ADA0A80">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3846D13">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CCEB231">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71370A8">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C95A157">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D1E96E6">
            <w:pPr>
              <w:spacing w:line="320" w:lineRule="exact"/>
              <w:jc w:val="center"/>
              <w:rPr>
                <w:rFonts w:ascii="宋体" w:hAnsi="宋体" w:cs="宋体"/>
                <w:color w:val="auto"/>
                <w:szCs w:val="21"/>
                <w:highlight w:val="none"/>
              </w:rPr>
            </w:pPr>
          </w:p>
        </w:tc>
      </w:tr>
      <w:tr w14:paraId="64ED19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6DD5F3D2">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2379" w:type="dxa"/>
            <w:tcBorders>
              <w:top w:val="single" w:color="auto" w:sz="4" w:space="0"/>
              <w:left w:val="single" w:color="auto" w:sz="4" w:space="0"/>
              <w:bottom w:val="single" w:color="auto" w:sz="4" w:space="0"/>
              <w:right w:val="single" w:color="auto" w:sz="4" w:space="0"/>
            </w:tcBorders>
            <w:noWrap w:val="0"/>
            <w:vAlign w:val="center"/>
          </w:tcPr>
          <w:p w14:paraId="1BEFF1F7">
            <w:pPr>
              <w:spacing w:line="360" w:lineRule="exact"/>
              <w:jc w:val="center"/>
              <w:rPr>
                <w:rFonts w:ascii="宋体" w:hAnsi="宋体" w:cs="宋体"/>
                <w:color w:val="auto"/>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87BDEF8">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ADCD83B">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E4B46DA">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5A24277">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38FCD55">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908B455">
            <w:pPr>
              <w:spacing w:line="320" w:lineRule="exact"/>
              <w:jc w:val="center"/>
              <w:rPr>
                <w:rFonts w:ascii="宋体" w:hAnsi="宋体" w:cs="宋体"/>
                <w:color w:val="auto"/>
                <w:szCs w:val="21"/>
                <w:highlight w:val="none"/>
              </w:rPr>
            </w:pPr>
          </w:p>
        </w:tc>
      </w:tr>
      <w:tr w14:paraId="7E100C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2A41616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2379" w:type="dxa"/>
            <w:tcBorders>
              <w:top w:val="single" w:color="auto" w:sz="4" w:space="0"/>
              <w:left w:val="single" w:color="auto" w:sz="4" w:space="0"/>
              <w:bottom w:val="single" w:color="auto" w:sz="4" w:space="0"/>
              <w:right w:val="single" w:color="auto" w:sz="4" w:space="0"/>
            </w:tcBorders>
            <w:noWrap w:val="0"/>
            <w:vAlign w:val="center"/>
          </w:tcPr>
          <w:p w14:paraId="634BEA05">
            <w:pPr>
              <w:spacing w:line="36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4987A03">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4FAEC67">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2DE309C">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29BE8B1">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6270F4B">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966953D">
            <w:pPr>
              <w:spacing w:line="320" w:lineRule="exact"/>
              <w:jc w:val="center"/>
              <w:rPr>
                <w:rFonts w:ascii="宋体" w:hAnsi="宋体" w:cs="宋体"/>
                <w:color w:val="auto"/>
                <w:szCs w:val="21"/>
                <w:highlight w:val="none"/>
              </w:rPr>
            </w:pPr>
          </w:p>
        </w:tc>
      </w:tr>
      <w:tr w14:paraId="1E6767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785FF96E">
            <w:pPr>
              <w:spacing w:line="320" w:lineRule="exact"/>
              <w:jc w:val="center"/>
              <w:rPr>
                <w:rFonts w:ascii="宋体" w:hAnsi="宋体" w:cs="宋体"/>
                <w:color w:val="auto"/>
                <w:szCs w:val="21"/>
                <w:highlight w:val="none"/>
              </w:rPr>
            </w:pPr>
          </w:p>
        </w:tc>
        <w:tc>
          <w:tcPr>
            <w:tcW w:w="2379" w:type="dxa"/>
            <w:tcBorders>
              <w:top w:val="single" w:color="auto" w:sz="4" w:space="0"/>
              <w:left w:val="single" w:color="auto" w:sz="4" w:space="0"/>
              <w:bottom w:val="single" w:color="auto" w:sz="4" w:space="0"/>
              <w:right w:val="single" w:color="auto" w:sz="4" w:space="0"/>
            </w:tcBorders>
            <w:noWrap w:val="0"/>
            <w:vAlign w:val="center"/>
          </w:tcPr>
          <w:p w14:paraId="3F6F3CCA">
            <w:pPr>
              <w:spacing w:line="320" w:lineRule="exact"/>
              <w:jc w:val="center"/>
              <w:rPr>
                <w:rFonts w:ascii="宋体" w:hAnsi="宋体" w:cs="宋体"/>
                <w:color w:val="auto"/>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4D4DA65">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C13B035">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550B193">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FC49978">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2DA2707">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4F5159A">
            <w:pPr>
              <w:spacing w:line="320" w:lineRule="exact"/>
              <w:jc w:val="center"/>
              <w:rPr>
                <w:rFonts w:ascii="宋体" w:hAnsi="宋体" w:cs="宋体"/>
                <w:color w:val="auto"/>
                <w:szCs w:val="21"/>
                <w:highlight w:val="none"/>
              </w:rPr>
            </w:pPr>
          </w:p>
        </w:tc>
      </w:tr>
      <w:tr w14:paraId="5A3C33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1FD2DD4D">
            <w:pPr>
              <w:spacing w:line="320" w:lineRule="exact"/>
              <w:jc w:val="center"/>
              <w:rPr>
                <w:rFonts w:ascii="宋体" w:hAnsi="宋体" w:cs="宋体"/>
                <w:color w:val="auto"/>
                <w:szCs w:val="21"/>
                <w:highlight w:val="none"/>
              </w:rPr>
            </w:pPr>
          </w:p>
        </w:tc>
        <w:tc>
          <w:tcPr>
            <w:tcW w:w="2379" w:type="dxa"/>
            <w:tcBorders>
              <w:top w:val="single" w:color="auto" w:sz="4" w:space="0"/>
              <w:left w:val="single" w:color="auto" w:sz="4" w:space="0"/>
              <w:bottom w:val="single" w:color="auto" w:sz="4" w:space="0"/>
              <w:right w:val="single" w:color="auto" w:sz="4" w:space="0"/>
            </w:tcBorders>
            <w:noWrap w:val="0"/>
            <w:vAlign w:val="center"/>
          </w:tcPr>
          <w:p w14:paraId="2BEEA4FD">
            <w:pPr>
              <w:spacing w:line="320" w:lineRule="exact"/>
              <w:jc w:val="center"/>
              <w:rPr>
                <w:rFonts w:ascii="宋体" w:hAnsi="宋体" w:cs="宋体"/>
                <w:color w:val="auto"/>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D0CFF1F">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3FC02CC">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762799A">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F8CCF06">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8C467FE">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2DC2C4B">
            <w:pPr>
              <w:spacing w:line="320" w:lineRule="exact"/>
              <w:jc w:val="center"/>
              <w:rPr>
                <w:rFonts w:ascii="宋体" w:hAnsi="宋体" w:cs="宋体"/>
                <w:color w:val="auto"/>
                <w:szCs w:val="21"/>
                <w:highlight w:val="none"/>
              </w:rPr>
            </w:pPr>
          </w:p>
        </w:tc>
      </w:tr>
      <w:tr w14:paraId="610200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3168" w:type="dxa"/>
            <w:gridSpan w:val="2"/>
            <w:tcBorders>
              <w:top w:val="single" w:color="auto" w:sz="4" w:space="0"/>
              <w:left w:val="single" w:color="auto" w:sz="4" w:space="0"/>
              <w:bottom w:val="single" w:color="auto" w:sz="4" w:space="0"/>
              <w:right w:val="single" w:color="auto" w:sz="4" w:space="0"/>
            </w:tcBorders>
            <w:noWrap w:val="0"/>
            <w:vAlign w:val="center"/>
          </w:tcPr>
          <w:p w14:paraId="018BF263">
            <w:pPr>
              <w:spacing w:line="320" w:lineRule="exact"/>
              <w:jc w:val="center"/>
              <w:rPr>
                <w:rFonts w:ascii="宋体" w:hAnsi="宋体" w:cs="宋体"/>
                <w:color w:val="auto"/>
                <w:highlight w:val="none"/>
              </w:rPr>
            </w:pPr>
            <w:r>
              <w:rPr>
                <w:rFonts w:hint="eastAsia" w:ascii="宋体" w:hAnsi="宋体" w:cs="宋体"/>
                <w:color w:val="auto"/>
                <w:highlight w:val="none"/>
              </w:rPr>
              <w:t>汇总</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15720CF">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E19D0F4">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FB7BF65">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1BEC1E6">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1DAC3078">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1FBE2A36">
            <w:pPr>
              <w:spacing w:line="320" w:lineRule="exact"/>
              <w:jc w:val="center"/>
              <w:rPr>
                <w:rFonts w:ascii="宋体" w:hAnsi="宋体" w:cs="宋体"/>
                <w:color w:val="auto"/>
                <w:szCs w:val="21"/>
                <w:highlight w:val="none"/>
              </w:rPr>
            </w:pPr>
          </w:p>
        </w:tc>
      </w:tr>
    </w:tbl>
    <w:p w14:paraId="01C5E369">
      <w:pPr>
        <w:spacing w:line="360" w:lineRule="auto"/>
        <w:jc w:val="left"/>
        <w:rPr>
          <w:rFonts w:ascii="宋体" w:hAnsi="宋体"/>
          <w:color w:val="auto"/>
          <w:sz w:val="24"/>
          <w:highlight w:val="none"/>
        </w:rPr>
      </w:pPr>
    </w:p>
    <w:p w14:paraId="6F60B579">
      <w:pPr>
        <w:spacing w:line="360" w:lineRule="auto"/>
        <w:rPr>
          <w:rFonts w:ascii="宋体" w:hAnsi="宋体"/>
          <w:b/>
          <w:color w:val="auto"/>
          <w:sz w:val="36"/>
          <w:szCs w:val="36"/>
          <w:highlight w:val="none"/>
        </w:rPr>
      </w:pPr>
      <w:r>
        <w:rPr>
          <w:rFonts w:hint="eastAsia" w:ascii="宋体" w:hAnsi="宋体" w:cs="宋体"/>
          <w:b/>
          <w:bCs/>
          <w:color w:val="auto"/>
          <w:highlight w:val="none"/>
        </w:rPr>
        <w:t>注：表格最终以</w:t>
      </w:r>
      <w:r>
        <w:rPr>
          <w:rFonts w:hint="eastAsia" w:ascii="宋体" w:hAnsi="宋体" w:cs="宋体"/>
          <w:b/>
          <w:color w:val="auto"/>
          <w:highlight w:val="none"/>
        </w:rPr>
        <w:t>广州交易集团有限公司（广州公共资源交易中心）</w:t>
      </w:r>
      <w:r>
        <w:rPr>
          <w:rFonts w:hint="eastAsia" w:ascii="宋体" w:hAnsi="宋体" w:cs="宋体"/>
          <w:b/>
          <w:bCs/>
          <w:color w:val="auto"/>
          <w:highlight w:val="none"/>
        </w:rPr>
        <w:t>系统生成的为准。</w:t>
      </w:r>
    </w:p>
    <w:p w14:paraId="686CF5F0">
      <w:pPr>
        <w:spacing w:line="360" w:lineRule="auto"/>
        <w:jc w:val="center"/>
        <w:rPr>
          <w:rFonts w:ascii="宋体" w:hAnsi="宋体"/>
          <w:b/>
          <w:color w:val="auto"/>
          <w:sz w:val="36"/>
          <w:szCs w:val="36"/>
          <w:highlight w:val="none"/>
        </w:rPr>
        <w:sectPr>
          <w:pgSz w:w="16838" w:h="11906" w:orient="landscape"/>
          <w:pgMar w:top="1797" w:right="1440" w:bottom="1797" w:left="1440" w:header="851" w:footer="992" w:gutter="0"/>
          <w:cols w:space="720" w:num="1"/>
          <w:docGrid w:linePitch="312" w:charSpace="0"/>
        </w:sectPr>
      </w:pPr>
    </w:p>
    <w:p w14:paraId="35842A07">
      <w:pPr>
        <w:spacing w:line="360" w:lineRule="auto"/>
        <w:ind w:firstLine="420"/>
        <w:outlineLvl w:val="2"/>
        <w:rPr>
          <w:rFonts w:ascii="黑体" w:hAnsi="黑体" w:eastAsia="黑体"/>
          <w:color w:val="auto"/>
          <w:szCs w:val="27"/>
          <w:highlight w:val="none"/>
        </w:rPr>
      </w:pPr>
      <w:bookmarkStart w:id="262" w:name="_Toc21787742"/>
      <w:bookmarkStart w:id="263" w:name="_Toc180758574"/>
      <w:bookmarkStart w:id="264" w:name="_Toc22304"/>
      <w:r>
        <w:rPr>
          <w:rFonts w:hint="eastAsia" w:ascii="黑体" w:hAnsi="黑体" w:eastAsia="黑体"/>
          <w:color w:val="auto"/>
          <w:szCs w:val="27"/>
          <w:highlight w:val="none"/>
        </w:rPr>
        <w:t>附表6：投标报价评审得分记录表（格式）</w:t>
      </w:r>
      <w:bookmarkEnd w:id="262"/>
      <w:bookmarkEnd w:id="263"/>
      <w:bookmarkEnd w:id="264"/>
    </w:p>
    <w:p w14:paraId="76910CC3">
      <w:pPr>
        <w:jc w:val="center"/>
        <w:rPr>
          <w:b/>
          <w:color w:val="auto"/>
          <w:sz w:val="32"/>
          <w:szCs w:val="32"/>
          <w:highlight w:val="none"/>
        </w:rPr>
      </w:pPr>
      <w:r>
        <w:rPr>
          <w:rFonts w:hint="eastAsia"/>
          <w:b/>
          <w:color w:val="auto"/>
          <w:sz w:val="32"/>
          <w:szCs w:val="32"/>
          <w:highlight w:val="none"/>
        </w:rPr>
        <w:t>评标委员会投标报价评审得分记录表一</w:t>
      </w:r>
    </w:p>
    <w:p w14:paraId="37445E86">
      <w:pPr>
        <w:jc w:val="center"/>
        <w:rPr>
          <w:b/>
          <w:color w:val="auto"/>
          <w:szCs w:val="21"/>
          <w:highlight w:val="none"/>
        </w:rPr>
      </w:pPr>
      <w:r>
        <w:rPr>
          <w:rFonts w:hint="eastAsia"/>
          <w:b/>
          <w:color w:val="auto"/>
          <w:szCs w:val="21"/>
          <w:highlight w:val="none"/>
        </w:rPr>
        <w:t>（用于计算评标基准价）</w:t>
      </w:r>
    </w:p>
    <w:p w14:paraId="5E7C7316">
      <w:pPr>
        <w:jc w:val="center"/>
        <w:rPr>
          <w:b/>
          <w:color w:val="auto"/>
          <w:szCs w:val="21"/>
          <w:highlight w:val="none"/>
        </w:rPr>
      </w:pPr>
    </w:p>
    <w:p w14:paraId="26E2C5F8">
      <w:pPr>
        <w:spacing w:line="360" w:lineRule="auto"/>
        <w:rPr>
          <w:rFonts w:ascii="宋体" w:hAnsi="宋体"/>
          <w:b/>
          <w:color w:val="auto"/>
          <w:szCs w:val="21"/>
          <w:highlight w:val="none"/>
        </w:rPr>
      </w:pPr>
      <w:r>
        <w:rPr>
          <w:rFonts w:hint="eastAsia" w:ascii="宋体" w:hAnsi="宋体"/>
          <w:b/>
          <w:color w:val="auto"/>
          <w:szCs w:val="21"/>
          <w:highlight w:val="none"/>
        </w:rPr>
        <w:t>项目编号：                               最高投标限价：元</w:t>
      </w:r>
    </w:p>
    <w:p w14:paraId="432EB7C2">
      <w:pPr>
        <w:spacing w:line="360" w:lineRule="auto"/>
        <w:rPr>
          <w:rFonts w:ascii="宋体" w:hAnsi="宋体"/>
          <w:b/>
          <w:color w:val="auto"/>
          <w:szCs w:val="21"/>
          <w:highlight w:val="none"/>
        </w:rPr>
      </w:pPr>
      <w:r>
        <w:rPr>
          <w:rFonts w:hint="eastAsia" w:ascii="宋体" w:hAnsi="宋体"/>
          <w:b/>
          <w:color w:val="auto"/>
          <w:szCs w:val="21"/>
          <w:highlight w:val="none"/>
        </w:rPr>
        <w:t>项目名称：                               评标基准价下浮率X：</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5400"/>
        <w:gridCol w:w="2340"/>
      </w:tblGrid>
      <w:tr w14:paraId="5C63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center"/>
          </w:tcPr>
          <w:p w14:paraId="577815D0">
            <w:pPr>
              <w:jc w:val="center"/>
              <w:rPr>
                <w:rFonts w:ascii="宋体" w:hAnsi="宋体"/>
                <w:color w:val="auto"/>
                <w:szCs w:val="21"/>
                <w:highlight w:val="none"/>
              </w:rPr>
            </w:pPr>
            <w:r>
              <w:rPr>
                <w:rFonts w:hint="eastAsia" w:ascii="宋体" w:hAnsi="宋体"/>
                <w:color w:val="auto"/>
                <w:szCs w:val="21"/>
                <w:highlight w:val="none"/>
              </w:rPr>
              <w:t>序号</w:t>
            </w:r>
          </w:p>
        </w:tc>
        <w:tc>
          <w:tcPr>
            <w:tcW w:w="5400" w:type="dxa"/>
            <w:noWrap w:val="0"/>
            <w:vAlign w:val="center"/>
          </w:tcPr>
          <w:p w14:paraId="16A08274">
            <w:pPr>
              <w:jc w:val="center"/>
              <w:rPr>
                <w:rFonts w:ascii="宋体" w:hAnsi="宋体"/>
                <w:color w:val="auto"/>
                <w:szCs w:val="21"/>
                <w:highlight w:val="none"/>
              </w:rPr>
            </w:pPr>
            <w:r>
              <w:rPr>
                <w:rFonts w:hint="eastAsia" w:ascii="宋体" w:hAnsi="宋体"/>
                <w:color w:val="auto"/>
                <w:szCs w:val="21"/>
                <w:highlight w:val="none"/>
              </w:rPr>
              <w:t>投标人</w:t>
            </w:r>
          </w:p>
        </w:tc>
        <w:tc>
          <w:tcPr>
            <w:tcW w:w="2340" w:type="dxa"/>
            <w:noWrap w:val="0"/>
            <w:vAlign w:val="center"/>
          </w:tcPr>
          <w:p w14:paraId="6CC2117E">
            <w:pPr>
              <w:jc w:val="center"/>
              <w:rPr>
                <w:rFonts w:ascii="宋体" w:hAnsi="宋体"/>
                <w:strike/>
                <w:color w:val="auto"/>
                <w:szCs w:val="21"/>
                <w:highlight w:val="none"/>
              </w:rPr>
            </w:pPr>
            <w:r>
              <w:rPr>
                <w:rFonts w:hint="eastAsia" w:ascii="宋体" w:hAnsi="宋体"/>
                <w:color w:val="auto"/>
                <w:szCs w:val="21"/>
                <w:highlight w:val="none"/>
              </w:rPr>
              <w:t>投标价</w:t>
            </w:r>
          </w:p>
          <w:p w14:paraId="7C55B5AF">
            <w:pPr>
              <w:jc w:val="center"/>
              <w:rPr>
                <w:rFonts w:ascii="宋体" w:hAnsi="宋体"/>
                <w:color w:val="auto"/>
                <w:szCs w:val="21"/>
                <w:highlight w:val="none"/>
              </w:rPr>
            </w:pPr>
            <w:r>
              <w:rPr>
                <w:rFonts w:hint="eastAsia" w:ascii="宋体" w:hAnsi="宋体"/>
                <w:color w:val="auto"/>
                <w:szCs w:val="21"/>
                <w:highlight w:val="none"/>
              </w:rPr>
              <w:t>（元）</w:t>
            </w:r>
          </w:p>
        </w:tc>
      </w:tr>
      <w:tr w14:paraId="45D8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center"/>
          </w:tcPr>
          <w:p w14:paraId="045FE834">
            <w:pPr>
              <w:spacing w:line="560" w:lineRule="exact"/>
              <w:jc w:val="center"/>
              <w:rPr>
                <w:rFonts w:ascii="黑体" w:eastAsia="黑体"/>
                <w:color w:val="auto"/>
                <w:szCs w:val="21"/>
                <w:highlight w:val="none"/>
              </w:rPr>
            </w:pPr>
          </w:p>
        </w:tc>
        <w:tc>
          <w:tcPr>
            <w:tcW w:w="5400" w:type="dxa"/>
            <w:noWrap w:val="0"/>
            <w:vAlign w:val="center"/>
          </w:tcPr>
          <w:p w14:paraId="6B67A51B">
            <w:pPr>
              <w:spacing w:line="560" w:lineRule="exact"/>
              <w:jc w:val="center"/>
              <w:rPr>
                <w:rFonts w:ascii="黑体" w:eastAsia="黑体"/>
                <w:color w:val="auto"/>
                <w:szCs w:val="21"/>
                <w:highlight w:val="none"/>
              </w:rPr>
            </w:pPr>
          </w:p>
        </w:tc>
        <w:tc>
          <w:tcPr>
            <w:tcW w:w="2340" w:type="dxa"/>
            <w:noWrap w:val="0"/>
            <w:vAlign w:val="center"/>
          </w:tcPr>
          <w:p w14:paraId="137E8D7B">
            <w:pPr>
              <w:spacing w:line="560" w:lineRule="exact"/>
              <w:jc w:val="center"/>
              <w:rPr>
                <w:rFonts w:ascii="黑体" w:eastAsia="黑体"/>
                <w:color w:val="auto"/>
                <w:szCs w:val="21"/>
                <w:highlight w:val="none"/>
              </w:rPr>
            </w:pPr>
          </w:p>
        </w:tc>
      </w:tr>
      <w:tr w14:paraId="3E37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648" w:type="dxa"/>
            <w:noWrap w:val="0"/>
            <w:vAlign w:val="top"/>
          </w:tcPr>
          <w:p w14:paraId="1BF6F70E">
            <w:pPr>
              <w:spacing w:line="560" w:lineRule="exact"/>
              <w:rPr>
                <w:rFonts w:ascii="黑体" w:eastAsia="黑体"/>
                <w:color w:val="auto"/>
                <w:szCs w:val="21"/>
                <w:highlight w:val="none"/>
              </w:rPr>
            </w:pPr>
          </w:p>
        </w:tc>
        <w:tc>
          <w:tcPr>
            <w:tcW w:w="5400" w:type="dxa"/>
            <w:noWrap w:val="0"/>
            <w:vAlign w:val="top"/>
          </w:tcPr>
          <w:p w14:paraId="1BC857E0">
            <w:pPr>
              <w:spacing w:line="560" w:lineRule="exact"/>
              <w:rPr>
                <w:rFonts w:ascii="黑体" w:eastAsia="黑体"/>
                <w:color w:val="auto"/>
                <w:szCs w:val="21"/>
                <w:highlight w:val="none"/>
              </w:rPr>
            </w:pPr>
          </w:p>
        </w:tc>
        <w:tc>
          <w:tcPr>
            <w:tcW w:w="2340" w:type="dxa"/>
            <w:noWrap w:val="0"/>
            <w:vAlign w:val="center"/>
          </w:tcPr>
          <w:p w14:paraId="22C14603">
            <w:pPr>
              <w:spacing w:line="560" w:lineRule="exact"/>
              <w:jc w:val="center"/>
              <w:rPr>
                <w:rFonts w:ascii="黑体" w:eastAsia="黑体"/>
                <w:color w:val="auto"/>
                <w:szCs w:val="21"/>
                <w:highlight w:val="none"/>
              </w:rPr>
            </w:pPr>
          </w:p>
        </w:tc>
      </w:tr>
      <w:tr w14:paraId="004C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48" w:type="dxa"/>
            <w:noWrap w:val="0"/>
            <w:vAlign w:val="top"/>
          </w:tcPr>
          <w:p w14:paraId="7656EC9B">
            <w:pPr>
              <w:spacing w:line="560" w:lineRule="exact"/>
              <w:rPr>
                <w:rFonts w:ascii="黑体" w:eastAsia="黑体"/>
                <w:color w:val="auto"/>
                <w:szCs w:val="21"/>
                <w:highlight w:val="none"/>
              </w:rPr>
            </w:pPr>
          </w:p>
        </w:tc>
        <w:tc>
          <w:tcPr>
            <w:tcW w:w="5400" w:type="dxa"/>
            <w:noWrap w:val="0"/>
            <w:vAlign w:val="top"/>
          </w:tcPr>
          <w:p w14:paraId="686FDF7C">
            <w:pPr>
              <w:spacing w:line="560" w:lineRule="exact"/>
              <w:rPr>
                <w:rFonts w:ascii="黑体" w:eastAsia="黑体"/>
                <w:color w:val="auto"/>
                <w:szCs w:val="21"/>
                <w:highlight w:val="none"/>
              </w:rPr>
            </w:pPr>
          </w:p>
        </w:tc>
        <w:tc>
          <w:tcPr>
            <w:tcW w:w="2340" w:type="dxa"/>
            <w:noWrap w:val="0"/>
            <w:vAlign w:val="center"/>
          </w:tcPr>
          <w:p w14:paraId="6A060AC8">
            <w:pPr>
              <w:spacing w:line="560" w:lineRule="exact"/>
              <w:jc w:val="center"/>
              <w:rPr>
                <w:rFonts w:ascii="黑体" w:eastAsia="黑体"/>
                <w:color w:val="auto"/>
                <w:szCs w:val="21"/>
                <w:highlight w:val="none"/>
              </w:rPr>
            </w:pPr>
          </w:p>
        </w:tc>
      </w:tr>
      <w:tr w14:paraId="211F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48" w:type="dxa"/>
            <w:noWrap w:val="0"/>
            <w:vAlign w:val="top"/>
          </w:tcPr>
          <w:p w14:paraId="63E77129">
            <w:pPr>
              <w:spacing w:line="560" w:lineRule="exact"/>
              <w:rPr>
                <w:rFonts w:ascii="黑体" w:eastAsia="黑体"/>
                <w:color w:val="auto"/>
                <w:szCs w:val="21"/>
                <w:highlight w:val="none"/>
              </w:rPr>
            </w:pPr>
          </w:p>
        </w:tc>
        <w:tc>
          <w:tcPr>
            <w:tcW w:w="5400" w:type="dxa"/>
            <w:noWrap w:val="0"/>
            <w:vAlign w:val="top"/>
          </w:tcPr>
          <w:p w14:paraId="2622E761">
            <w:pPr>
              <w:spacing w:line="560" w:lineRule="exact"/>
              <w:rPr>
                <w:rFonts w:ascii="黑体" w:eastAsia="黑体"/>
                <w:color w:val="auto"/>
                <w:szCs w:val="21"/>
                <w:highlight w:val="none"/>
              </w:rPr>
            </w:pPr>
          </w:p>
        </w:tc>
        <w:tc>
          <w:tcPr>
            <w:tcW w:w="2340" w:type="dxa"/>
            <w:noWrap w:val="0"/>
            <w:vAlign w:val="center"/>
          </w:tcPr>
          <w:p w14:paraId="208BF864">
            <w:pPr>
              <w:spacing w:line="560" w:lineRule="exact"/>
              <w:jc w:val="center"/>
              <w:rPr>
                <w:rFonts w:ascii="黑体" w:eastAsia="黑体"/>
                <w:color w:val="auto"/>
                <w:szCs w:val="21"/>
                <w:highlight w:val="none"/>
              </w:rPr>
            </w:pPr>
          </w:p>
        </w:tc>
      </w:tr>
      <w:tr w14:paraId="65F0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top"/>
          </w:tcPr>
          <w:p w14:paraId="19D72C0F">
            <w:pPr>
              <w:spacing w:line="560" w:lineRule="exact"/>
              <w:rPr>
                <w:rFonts w:ascii="黑体" w:eastAsia="黑体"/>
                <w:color w:val="auto"/>
                <w:szCs w:val="21"/>
                <w:highlight w:val="none"/>
              </w:rPr>
            </w:pPr>
          </w:p>
        </w:tc>
        <w:tc>
          <w:tcPr>
            <w:tcW w:w="5400" w:type="dxa"/>
            <w:noWrap w:val="0"/>
            <w:vAlign w:val="top"/>
          </w:tcPr>
          <w:p w14:paraId="36E5E8C6">
            <w:pPr>
              <w:spacing w:line="560" w:lineRule="exact"/>
              <w:rPr>
                <w:rFonts w:ascii="黑体" w:eastAsia="黑体"/>
                <w:color w:val="auto"/>
                <w:szCs w:val="21"/>
                <w:highlight w:val="none"/>
              </w:rPr>
            </w:pPr>
          </w:p>
        </w:tc>
        <w:tc>
          <w:tcPr>
            <w:tcW w:w="2340" w:type="dxa"/>
            <w:noWrap w:val="0"/>
            <w:vAlign w:val="center"/>
          </w:tcPr>
          <w:p w14:paraId="49099609">
            <w:pPr>
              <w:spacing w:line="560" w:lineRule="exact"/>
              <w:jc w:val="center"/>
              <w:rPr>
                <w:rFonts w:ascii="黑体" w:eastAsia="黑体"/>
                <w:color w:val="auto"/>
                <w:szCs w:val="21"/>
                <w:highlight w:val="none"/>
              </w:rPr>
            </w:pPr>
          </w:p>
        </w:tc>
      </w:tr>
      <w:tr w14:paraId="0B5D7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8" w:type="dxa"/>
            <w:gridSpan w:val="2"/>
            <w:noWrap w:val="0"/>
            <w:vAlign w:val="center"/>
          </w:tcPr>
          <w:p w14:paraId="1FA16FC7">
            <w:pPr>
              <w:spacing w:line="320" w:lineRule="exact"/>
              <w:jc w:val="center"/>
              <w:rPr>
                <w:rFonts w:ascii="黑体" w:eastAsia="黑体"/>
                <w:color w:val="auto"/>
                <w:szCs w:val="21"/>
                <w:highlight w:val="none"/>
              </w:rPr>
            </w:pPr>
            <w:r>
              <w:rPr>
                <w:rFonts w:hint="eastAsia" w:ascii="黑体" w:eastAsia="黑体"/>
                <w:color w:val="auto"/>
                <w:szCs w:val="21"/>
                <w:highlight w:val="none"/>
              </w:rPr>
              <w:t>计算通过初步评审的全部投标人投标报价的算术平均值</w:t>
            </w:r>
          </w:p>
        </w:tc>
        <w:tc>
          <w:tcPr>
            <w:tcW w:w="2340" w:type="dxa"/>
            <w:noWrap w:val="0"/>
            <w:vAlign w:val="center"/>
          </w:tcPr>
          <w:p w14:paraId="033391AA">
            <w:pPr>
              <w:spacing w:line="560" w:lineRule="exact"/>
              <w:jc w:val="center"/>
              <w:rPr>
                <w:rFonts w:ascii="黑体" w:eastAsia="黑体"/>
                <w:color w:val="auto"/>
                <w:szCs w:val="21"/>
                <w:highlight w:val="none"/>
              </w:rPr>
            </w:pPr>
          </w:p>
        </w:tc>
      </w:tr>
      <w:tr w14:paraId="2B86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6048" w:type="dxa"/>
            <w:gridSpan w:val="2"/>
            <w:noWrap w:val="0"/>
            <w:vAlign w:val="center"/>
          </w:tcPr>
          <w:p w14:paraId="50A78F3B">
            <w:pPr>
              <w:spacing w:line="320" w:lineRule="exact"/>
              <w:jc w:val="center"/>
              <w:rPr>
                <w:rFonts w:ascii="黑体" w:eastAsia="黑体"/>
                <w:color w:val="auto"/>
                <w:szCs w:val="21"/>
                <w:highlight w:val="none"/>
              </w:rPr>
            </w:pPr>
            <w:r>
              <w:rPr>
                <w:rFonts w:hint="eastAsia" w:ascii="宋体" w:hAnsi="宋体"/>
                <w:color w:val="auto"/>
                <w:szCs w:val="21"/>
                <w:highlight w:val="none"/>
              </w:rPr>
              <w:t>计算评标基准价（元）：投标报价的算术平均值×（1-评标基准价下浮率）</w:t>
            </w:r>
          </w:p>
        </w:tc>
        <w:tc>
          <w:tcPr>
            <w:tcW w:w="2340" w:type="dxa"/>
            <w:noWrap w:val="0"/>
            <w:vAlign w:val="center"/>
          </w:tcPr>
          <w:p w14:paraId="24B97EB8">
            <w:pPr>
              <w:spacing w:line="560" w:lineRule="exact"/>
              <w:rPr>
                <w:rFonts w:ascii="黑体" w:eastAsia="黑体"/>
                <w:color w:val="auto"/>
                <w:szCs w:val="21"/>
                <w:highlight w:val="none"/>
              </w:rPr>
            </w:pPr>
          </w:p>
        </w:tc>
      </w:tr>
    </w:tbl>
    <w:p w14:paraId="24938D2F">
      <w:pPr>
        <w:rPr>
          <w:rFonts w:ascii="仿宋_GB2312" w:hAnsi="宋体" w:eastAsia="仿宋_GB2312"/>
          <w:color w:val="auto"/>
          <w:szCs w:val="21"/>
          <w:highlight w:val="none"/>
        </w:rPr>
      </w:pPr>
      <w:r>
        <w:rPr>
          <w:rFonts w:hint="eastAsia" w:ascii="仿宋_GB2312" w:hAnsi="宋体" w:eastAsia="仿宋_GB2312"/>
          <w:color w:val="auto"/>
          <w:szCs w:val="21"/>
          <w:highlight w:val="none"/>
        </w:rPr>
        <w:t>注：</w:t>
      </w:r>
    </w:p>
    <w:p w14:paraId="6194009A">
      <w:pPr>
        <w:ind w:firstLine="420" w:firstLineChars="200"/>
        <w:rPr>
          <w:rFonts w:ascii="仿宋_GB2312" w:hAnsi="宋体" w:eastAsia="仿宋_GB2312"/>
          <w:color w:val="auto"/>
          <w:szCs w:val="21"/>
          <w:highlight w:val="none"/>
        </w:rPr>
      </w:pPr>
      <w:r>
        <w:rPr>
          <w:rFonts w:hint="eastAsia" w:ascii="仿宋_GB2312" w:hAnsi="宋体" w:eastAsia="仿宋_GB2312"/>
          <w:color w:val="auto"/>
          <w:szCs w:val="21"/>
          <w:highlight w:val="none"/>
        </w:rPr>
        <w:t>1. 本表用于确定评标基准价。适用于全部投标报价计算算术平均值的情形。</w:t>
      </w:r>
    </w:p>
    <w:p w14:paraId="5EE091C2">
      <w:pPr>
        <w:ind w:firstLine="420" w:firstLineChars="200"/>
        <w:rPr>
          <w:rFonts w:ascii="仿宋_GB2312" w:hAnsi="宋体" w:eastAsia="仿宋_GB2312"/>
          <w:color w:val="auto"/>
          <w:szCs w:val="21"/>
          <w:highlight w:val="none"/>
        </w:rPr>
      </w:pPr>
      <w:r>
        <w:rPr>
          <w:rFonts w:hint="eastAsia" w:ascii="仿宋_GB2312" w:hAnsi="宋体" w:eastAsia="仿宋_GB2312"/>
          <w:color w:val="auto"/>
          <w:szCs w:val="21"/>
          <w:highlight w:val="none"/>
        </w:rPr>
        <w:t>2.评标基准价下浮率：取自《抽取评标基准价的下浮率记录表》中的“随机抽取的评标基准价的下浮率”</w:t>
      </w:r>
    </w:p>
    <w:p w14:paraId="39B2B1D5">
      <w:pPr>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3.未能通过初步评审的投标人，其投标报价不得在本表中列出。</w:t>
      </w:r>
    </w:p>
    <w:p w14:paraId="71F59CB0">
      <w:pPr>
        <w:ind w:firstLine="420" w:firstLineChars="200"/>
        <w:rPr>
          <w:rFonts w:ascii="仿宋_GB2312" w:hAnsi="宋体" w:eastAsia="仿宋_GB2312"/>
          <w:color w:val="auto"/>
          <w:szCs w:val="21"/>
          <w:highlight w:val="none"/>
        </w:rPr>
      </w:pPr>
      <w:r>
        <w:rPr>
          <w:rFonts w:hint="eastAsia" w:ascii="仿宋_GB2312" w:hAnsi="宋体" w:eastAsia="仿宋_GB2312"/>
          <w:color w:val="auto"/>
          <w:szCs w:val="21"/>
          <w:highlight w:val="none"/>
        </w:rPr>
        <w:t>4.投标人在本</w:t>
      </w:r>
      <w:r>
        <w:rPr>
          <w:rFonts w:hint="eastAsia" w:ascii="仿宋" w:hAnsi="仿宋" w:eastAsia="仿宋"/>
          <w:color w:val="auto"/>
          <w:szCs w:val="21"/>
          <w:highlight w:val="none"/>
        </w:rPr>
        <w:t>表中的排列：按照《开标记录表》中的序号从小到大排列</w:t>
      </w:r>
      <w:r>
        <w:rPr>
          <w:rFonts w:hint="eastAsia" w:ascii="仿宋_GB2312" w:hAnsi="宋体" w:eastAsia="仿宋_GB2312"/>
          <w:color w:val="auto"/>
          <w:szCs w:val="21"/>
          <w:highlight w:val="none"/>
        </w:rPr>
        <w:t>。</w:t>
      </w:r>
    </w:p>
    <w:p w14:paraId="024EA40F">
      <w:pPr>
        <w:ind w:firstLine="420" w:firstLineChars="200"/>
        <w:rPr>
          <w:rFonts w:ascii="仿宋_GB2312" w:hAnsi="宋体" w:eastAsia="仿宋_GB2312"/>
          <w:color w:val="auto"/>
          <w:szCs w:val="21"/>
          <w:highlight w:val="none"/>
        </w:rPr>
      </w:pPr>
    </w:p>
    <w:p w14:paraId="743D7991">
      <w:pPr>
        <w:rPr>
          <w:rFonts w:hint="eastAsia" w:ascii="宋体" w:hAnsi="宋体"/>
          <w:color w:val="auto"/>
          <w:szCs w:val="21"/>
          <w:highlight w:val="none"/>
        </w:rPr>
      </w:pPr>
    </w:p>
    <w:p w14:paraId="23A2F4BC">
      <w:pPr>
        <w:rPr>
          <w:rFonts w:ascii="宋体" w:hAnsi="宋体"/>
          <w:color w:val="auto"/>
          <w:kern w:val="0"/>
          <w:highlight w:val="none"/>
        </w:rPr>
      </w:pPr>
      <w:r>
        <w:rPr>
          <w:rFonts w:hint="eastAsia" w:ascii="宋体" w:hAnsi="宋体"/>
          <w:color w:val="auto"/>
          <w:szCs w:val="21"/>
          <w:highlight w:val="none"/>
        </w:rPr>
        <w:t xml:space="preserve">评标委员会全体评委签名：                              </w:t>
      </w:r>
      <w:r>
        <w:rPr>
          <w:rFonts w:hint="eastAsia" w:ascii="宋体" w:hAnsi="宋体"/>
          <w:color w:val="auto"/>
          <w:kern w:val="0"/>
          <w:highlight w:val="none"/>
        </w:rPr>
        <w:t>日期：   年   月  日</w:t>
      </w:r>
    </w:p>
    <w:p w14:paraId="72BA7CA2">
      <w:pPr>
        <w:rPr>
          <w:rFonts w:ascii="宋体" w:hAnsi="宋体"/>
          <w:color w:val="auto"/>
          <w:kern w:val="0"/>
          <w:highlight w:val="none"/>
        </w:rPr>
      </w:pPr>
    </w:p>
    <w:p w14:paraId="35E11B39">
      <w:pPr>
        <w:rPr>
          <w:rFonts w:ascii="宋体" w:hAnsi="宋体"/>
          <w:color w:val="auto"/>
          <w:kern w:val="0"/>
          <w:highlight w:val="none"/>
        </w:rPr>
      </w:pPr>
    </w:p>
    <w:p w14:paraId="42541B0F">
      <w:pPr>
        <w:rPr>
          <w:rFonts w:ascii="宋体" w:hAnsi="宋体"/>
          <w:color w:val="auto"/>
          <w:kern w:val="0"/>
          <w:highlight w:val="none"/>
        </w:rPr>
      </w:pPr>
      <w:r>
        <w:rPr>
          <w:rFonts w:ascii="宋体" w:hAnsi="宋体"/>
          <w:color w:val="auto"/>
          <w:kern w:val="0"/>
          <w:highlight w:val="none"/>
        </w:rPr>
        <w:br w:type="page"/>
      </w:r>
    </w:p>
    <w:p w14:paraId="1710021F">
      <w:pPr>
        <w:jc w:val="center"/>
        <w:rPr>
          <w:rFonts w:ascii="宋体" w:hAnsi="宋体"/>
          <w:b/>
          <w:color w:val="auto"/>
          <w:sz w:val="32"/>
          <w:szCs w:val="32"/>
          <w:highlight w:val="none"/>
        </w:rPr>
      </w:pPr>
      <w:r>
        <w:rPr>
          <w:rFonts w:hint="eastAsia" w:ascii="宋体" w:hAnsi="宋体"/>
          <w:b/>
          <w:color w:val="auto"/>
          <w:sz w:val="32"/>
          <w:szCs w:val="32"/>
          <w:highlight w:val="none"/>
        </w:rPr>
        <w:t>评标委员会投标报价评审得分记录表二</w:t>
      </w:r>
    </w:p>
    <w:p w14:paraId="3BC29751">
      <w:pPr>
        <w:jc w:val="center"/>
        <w:rPr>
          <w:rFonts w:ascii="宋体" w:hAnsi="宋体"/>
          <w:b/>
          <w:color w:val="auto"/>
          <w:szCs w:val="21"/>
          <w:highlight w:val="none"/>
        </w:rPr>
      </w:pPr>
      <w:r>
        <w:rPr>
          <w:rFonts w:hint="eastAsia" w:ascii="宋体" w:hAnsi="宋体"/>
          <w:b/>
          <w:color w:val="auto"/>
          <w:szCs w:val="21"/>
          <w:highlight w:val="none"/>
        </w:rPr>
        <w:t>（计算投标报价得分）</w:t>
      </w:r>
    </w:p>
    <w:p w14:paraId="2D4E5DB3">
      <w:pPr>
        <w:jc w:val="center"/>
        <w:rPr>
          <w:rFonts w:ascii="宋体" w:hAnsi="宋体"/>
          <w:b/>
          <w:color w:val="auto"/>
          <w:szCs w:val="21"/>
          <w:highlight w:val="none"/>
        </w:rPr>
      </w:pPr>
    </w:p>
    <w:p w14:paraId="29764212">
      <w:pPr>
        <w:rPr>
          <w:rFonts w:ascii="宋体" w:hAnsi="宋体"/>
          <w:color w:val="auto"/>
          <w:highlight w:val="none"/>
        </w:rPr>
      </w:pPr>
      <w:r>
        <w:rPr>
          <w:rFonts w:hint="eastAsia" w:ascii="宋体" w:hAnsi="宋体"/>
          <w:color w:val="auto"/>
          <w:highlight w:val="none"/>
        </w:rPr>
        <w:t>项目编号：</w:t>
      </w:r>
    </w:p>
    <w:p w14:paraId="163A11CA">
      <w:pPr>
        <w:rPr>
          <w:rFonts w:ascii="宋体" w:hAnsi="宋体"/>
          <w:color w:val="auto"/>
          <w:highlight w:val="none"/>
        </w:rPr>
      </w:pPr>
      <w:r>
        <w:rPr>
          <w:rFonts w:hint="eastAsia" w:ascii="宋体" w:hAnsi="宋体"/>
          <w:color w:val="auto"/>
          <w:highlight w:val="none"/>
        </w:rPr>
        <w:t>项目名称：</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1800"/>
        <w:gridCol w:w="2340"/>
        <w:gridCol w:w="1310"/>
        <w:gridCol w:w="1170"/>
      </w:tblGrid>
      <w:tr w14:paraId="503A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noWrap w:val="0"/>
            <w:vAlign w:val="center"/>
          </w:tcPr>
          <w:p w14:paraId="272E912F">
            <w:pPr>
              <w:jc w:val="center"/>
              <w:rPr>
                <w:rFonts w:ascii="宋体" w:hAnsi="宋体"/>
                <w:color w:val="auto"/>
                <w:kern w:val="0"/>
                <w:highlight w:val="none"/>
              </w:rPr>
            </w:pPr>
            <w:r>
              <w:rPr>
                <w:rFonts w:hint="eastAsia" w:ascii="宋体" w:hAnsi="宋体"/>
                <w:color w:val="auto"/>
                <w:szCs w:val="21"/>
                <w:highlight w:val="none"/>
              </w:rPr>
              <w:t>序号</w:t>
            </w:r>
          </w:p>
        </w:tc>
        <w:tc>
          <w:tcPr>
            <w:tcW w:w="1080" w:type="dxa"/>
            <w:noWrap w:val="0"/>
            <w:vAlign w:val="center"/>
          </w:tcPr>
          <w:p w14:paraId="52023977">
            <w:pPr>
              <w:jc w:val="center"/>
              <w:rPr>
                <w:rFonts w:ascii="宋体" w:hAnsi="宋体"/>
                <w:color w:val="auto"/>
                <w:kern w:val="0"/>
                <w:highlight w:val="none"/>
              </w:rPr>
            </w:pPr>
            <w:r>
              <w:rPr>
                <w:rFonts w:hint="eastAsia" w:ascii="宋体" w:hAnsi="宋体"/>
                <w:color w:val="auto"/>
                <w:kern w:val="0"/>
                <w:highlight w:val="none"/>
              </w:rPr>
              <w:t>投标人</w:t>
            </w:r>
          </w:p>
        </w:tc>
        <w:tc>
          <w:tcPr>
            <w:tcW w:w="1800" w:type="dxa"/>
            <w:noWrap w:val="0"/>
            <w:vAlign w:val="center"/>
          </w:tcPr>
          <w:p w14:paraId="43E5827A">
            <w:pPr>
              <w:jc w:val="center"/>
              <w:rPr>
                <w:rFonts w:ascii="宋体" w:hAnsi="宋体"/>
                <w:color w:val="auto"/>
                <w:kern w:val="0"/>
                <w:highlight w:val="none"/>
              </w:rPr>
            </w:pPr>
            <w:r>
              <w:rPr>
                <w:rFonts w:hint="eastAsia" w:ascii="宋体" w:hAnsi="宋体"/>
                <w:color w:val="auto"/>
                <w:kern w:val="0"/>
                <w:highlight w:val="none"/>
              </w:rPr>
              <w:t>投标报价</w:t>
            </w:r>
          </w:p>
        </w:tc>
        <w:tc>
          <w:tcPr>
            <w:tcW w:w="2340" w:type="dxa"/>
            <w:noWrap w:val="0"/>
            <w:vAlign w:val="center"/>
          </w:tcPr>
          <w:p w14:paraId="580A4732">
            <w:pPr>
              <w:jc w:val="center"/>
              <w:rPr>
                <w:rFonts w:ascii="宋体" w:hAnsi="宋体"/>
                <w:color w:val="auto"/>
                <w:kern w:val="0"/>
                <w:highlight w:val="none"/>
              </w:rPr>
            </w:pPr>
            <w:r>
              <w:rPr>
                <w:rFonts w:hint="eastAsia" w:ascii="宋体" w:hAnsi="宋体"/>
                <w:color w:val="auto"/>
                <w:kern w:val="0"/>
                <w:highlight w:val="none"/>
              </w:rPr>
              <w:t>评标基准价（元）</w:t>
            </w:r>
          </w:p>
          <w:p w14:paraId="6170A1B9">
            <w:pPr>
              <w:jc w:val="center"/>
              <w:rPr>
                <w:rFonts w:ascii="宋体" w:hAnsi="宋体"/>
                <w:color w:val="auto"/>
                <w:kern w:val="0"/>
                <w:highlight w:val="none"/>
              </w:rPr>
            </w:pPr>
            <w:r>
              <w:rPr>
                <w:rFonts w:hint="eastAsia" w:ascii="宋体" w:hAnsi="宋体"/>
                <w:color w:val="auto"/>
                <w:kern w:val="0"/>
                <w:highlight w:val="none"/>
              </w:rPr>
              <w:t>（</w:t>
            </w:r>
            <w:r>
              <w:rPr>
                <w:rFonts w:hint="eastAsia" w:ascii="宋体" w:hAnsi="宋体"/>
                <w:color w:val="auto"/>
                <w:kern w:val="0"/>
                <w:sz w:val="18"/>
                <w:szCs w:val="18"/>
                <w:highlight w:val="none"/>
              </w:rPr>
              <w:t>取自《评标委员会投标报价评审得分记录表一》）</w:t>
            </w:r>
          </w:p>
        </w:tc>
        <w:tc>
          <w:tcPr>
            <w:tcW w:w="1310" w:type="dxa"/>
            <w:noWrap w:val="0"/>
            <w:vAlign w:val="center"/>
          </w:tcPr>
          <w:p w14:paraId="663DDD59">
            <w:pPr>
              <w:jc w:val="center"/>
              <w:rPr>
                <w:rFonts w:ascii="宋体" w:hAnsi="宋体"/>
                <w:color w:val="auto"/>
                <w:kern w:val="0"/>
                <w:highlight w:val="none"/>
              </w:rPr>
            </w:pPr>
            <w:r>
              <w:rPr>
                <w:rFonts w:hint="eastAsia" w:ascii="宋体" w:hAnsi="宋体"/>
                <w:color w:val="auto"/>
                <w:kern w:val="0"/>
                <w:highlight w:val="none"/>
              </w:rPr>
              <w:t>投标报价偏差率（%）</w:t>
            </w:r>
          </w:p>
        </w:tc>
        <w:tc>
          <w:tcPr>
            <w:tcW w:w="1170" w:type="dxa"/>
            <w:noWrap w:val="0"/>
            <w:vAlign w:val="center"/>
          </w:tcPr>
          <w:p w14:paraId="1AD52ADE">
            <w:pPr>
              <w:jc w:val="center"/>
              <w:rPr>
                <w:rFonts w:ascii="宋体" w:hAnsi="宋体"/>
                <w:color w:val="auto"/>
                <w:kern w:val="0"/>
                <w:highlight w:val="none"/>
              </w:rPr>
            </w:pPr>
            <w:r>
              <w:rPr>
                <w:rFonts w:hint="eastAsia" w:ascii="宋体" w:hAnsi="宋体"/>
                <w:color w:val="auto"/>
                <w:kern w:val="0"/>
                <w:highlight w:val="none"/>
              </w:rPr>
              <w:t>投标报价得分</w:t>
            </w:r>
          </w:p>
        </w:tc>
      </w:tr>
      <w:tr w14:paraId="403F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5EC14855">
            <w:pPr>
              <w:rPr>
                <w:rFonts w:ascii="宋体" w:hAnsi="宋体"/>
                <w:color w:val="auto"/>
                <w:kern w:val="0"/>
                <w:highlight w:val="none"/>
              </w:rPr>
            </w:pPr>
          </w:p>
        </w:tc>
        <w:tc>
          <w:tcPr>
            <w:tcW w:w="1080" w:type="dxa"/>
            <w:noWrap w:val="0"/>
            <w:vAlign w:val="top"/>
          </w:tcPr>
          <w:p w14:paraId="2A53776B">
            <w:pPr>
              <w:rPr>
                <w:rFonts w:ascii="宋体" w:hAnsi="宋体"/>
                <w:color w:val="auto"/>
                <w:kern w:val="0"/>
                <w:highlight w:val="none"/>
              </w:rPr>
            </w:pPr>
          </w:p>
        </w:tc>
        <w:tc>
          <w:tcPr>
            <w:tcW w:w="1800" w:type="dxa"/>
            <w:noWrap w:val="0"/>
            <w:vAlign w:val="top"/>
          </w:tcPr>
          <w:p w14:paraId="0C70CD58">
            <w:pPr>
              <w:rPr>
                <w:rFonts w:ascii="宋体" w:hAnsi="宋体"/>
                <w:color w:val="auto"/>
                <w:kern w:val="0"/>
                <w:highlight w:val="none"/>
              </w:rPr>
            </w:pPr>
          </w:p>
        </w:tc>
        <w:tc>
          <w:tcPr>
            <w:tcW w:w="2340" w:type="dxa"/>
            <w:noWrap w:val="0"/>
            <w:vAlign w:val="top"/>
          </w:tcPr>
          <w:p w14:paraId="5885778E">
            <w:pPr>
              <w:rPr>
                <w:rFonts w:ascii="宋体" w:hAnsi="宋体"/>
                <w:color w:val="auto"/>
                <w:kern w:val="0"/>
                <w:highlight w:val="none"/>
              </w:rPr>
            </w:pPr>
          </w:p>
        </w:tc>
        <w:tc>
          <w:tcPr>
            <w:tcW w:w="1310" w:type="dxa"/>
            <w:noWrap w:val="0"/>
            <w:vAlign w:val="top"/>
          </w:tcPr>
          <w:p w14:paraId="457C0C4D">
            <w:pPr>
              <w:rPr>
                <w:rFonts w:ascii="宋体" w:hAnsi="宋体"/>
                <w:color w:val="auto"/>
                <w:kern w:val="0"/>
                <w:highlight w:val="none"/>
              </w:rPr>
            </w:pPr>
          </w:p>
        </w:tc>
        <w:tc>
          <w:tcPr>
            <w:tcW w:w="1170" w:type="dxa"/>
            <w:noWrap w:val="0"/>
            <w:vAlign w:val="top"/>
          </w:tcPr>
          <w:p w14:paraId="7DA4E991">
            <w:pPr>
              <w:rPr>
                <w:rFonts w:ascii="宋体" w:hAnsi="宋体"/>
                <w:color w:val="auto"/>
                <w:kern w:val="0"/>
                <w:highlight w:val="none"/>
              </w:rPr>
            </w:pPr>
          </w:p>
        </w:tc>
      </w:tr>
      <w:tr w14:paraId="3B51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73420D4">
            <w:pPr>
              <w:rPr>
                <w:rFonts w:ascii="宋体" w:hAnsi="宋体"/>
                <w:color w:val="auto"/>
                <w:kern w:val="0"/>
                <w:highlight w:val="none"/>
              </w:rPr>
            </w:pPr>
          </w:p>
        </w:tc>
        <w:tc>
          <w:tcPr>
            <w:tcW w:w="1080" w:type="dxa"/>
            <w:noWrap w:val="0"/>
            <w:vAlign w:val="top"/>
          </w:tcPr>
          <w:p w14:paraId="12D45013">
            <w:pPr>
              <w:rPr>
                <w:rFonts w:ascii="宋体" w:hAnsi="宋体"/>
                <w:color w:val="auto"/>
                <w:kern w:val="0"/>
                <w:highlight w:val="none"/>
              </w:rPr>
            </w:pPr>
          </w:p>
        </w:tc>
        <w:tc>
          <w:tcPr>
            <w:tcW w:w="1800" w:type="dxa"/>
            <w:noWrap w:val="0"/>
            <w:vAlign w:val="top"/>
          </w:tcPr>
          <w:p w14:paraId="0BF4E1A7">
            <w:pPr>
              <w:rPr>
                <w:rFonts w:ascii="宋体" w:hAnsi="宋体"/>
                <w:color w:val="auto"/>
                <w:kern w:val="0"/>
                <w:highlight w:val="none"/>
              </w:rPr>
            </w:pPr>
          </w:p>
        </w:tc>
        <w:tc>
          <w:tcPr>
            <w:tcW w:w="2340" w:type="dxa"/>
            <w:noWrap w:val="0"/>
            <w:vAlign w:val="top"/>
          </w:tcPr>
          <w:p w14:paraId="5F18026B">
            <w:pPr>
              <w:rPr>
                <w:rFonts w:ascii="宋体" w:hAnsi="宋体"/>
                <w:color w:val="auto"/>
                <w:kern w:val="0"/>
                <w:highlight w:val="none"/>
              </w:rPr>
            </w:pPr>
          </w:p>
        </w:tc>
        <w:tc>
          <w:tcPr>
            <w:tcW w:w="1310" w:type="dxa"/>
            <w:noWrap w:val="0"/>
            <w:vAlign w:val="top"/>
          </w:tcPr>
          <w:p w14:paraId="32D57451">
            <w:pPr>
              <w:rPr>
                <w:rFonts w:ascii="宋体" w:hAnsi="宋体"/>
                <w:color w:val="auto"/>
                <w:kern w:val="0"/>
                <w:highlight w:val="none"/>
              </w:rPr>
            </w:pPr>
          </w:p>
        </w:tc>
        <w:tc>
          <w:tcPr>
            <w:tcW w:w="1170" w:type="dxa"/>
            <w:noWrap w:val="0"/>
            <w:vAlign w:val="top"/>
          </w:tcPr>
          <w:p w14:paraId="335A0C62">
            <w:pPr>
              <w:rPr>
                <w:rFonts w:ascii="宋体" w:hAnsi="宋体"/>
                <w:color w:val="auto"/>
                <w:kern w:val="0"/>
                <w:highlight w:val="none"/>
              </w:rPr>
            </w:pPr>
          </w:p>
        </w:tc>
      </w:tr>
      <w:tr w14:paraId="7AE4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E4C454A">
            <w:pPr>
              <w:rPr>
                <w:rFonts w:ascii="宋体" w:hAnsi="宋体"/>
                <w:color w:val="auto"/>
                <w:kern w:val="0"/>
                <w:highlight w:val="none"/>
              </w:rPr>
            </w:pPr>
          </w:p>
        </w:tc>
        <w:tc>
          <w:tcPr>
            <w:tcW w:w="1080" w:type="dxa"/>
            <w:noWrap w:val="0"/>
            <w:vAlign w:val="top"/>
          </w:tcPr>
          <w:p w14:paraId="0C98D6F5">
            <w:pPr>
              <w:rPr>
                <w:rFonts w:ascii="宋体" w:hAnsi="宋体"/>
                <w:color w:val="auto"/>
                <w:kern w:val="0"/>
                <w:highlight w:val="none"/>
              </w:rPr>
            </w:pPr>
          </w:p>
        </w:tc>
        <w:tc>
          <w:tcPr>
            <w:tcW w:w="1800" w:type="dxa"/>
            <w:noWrap w:val="0"/>
            <w:vAlign w:val="top"/>
          </w:tcPr>
          <w:p w14:paraId="5667992A">
            <w:pPr>
              <w:rPr>
                <w:rFonts w:ascii="宋体" w:hAnsi="宋体"/>
                <w:color w:val="auto"/>
                <w:kern w:val="0"/>
                <w:highlight w:val="none"/>
              </w:rPr>
            </w:pPr>
          </w:p>
        </w:tc>
        <w:tc>
          <w:tcPr>
            <w:tcW w:w="2340" w:type="dxa"/>
            <w:noWrap w:val="0"/>
            <w:vAlign w:val="top"/>
          </w:tcPr>
          <w:p w14:paraId="0140D598">
            <w:pPr>
              <w:rPr>
                <w:rFonts w:ascii="宋体" w:hAnsi="宋体"/>
                <w:color w:val="auto"/>
                <w:kern w:val="0"/>
                <w:highlight w:val="none"/>
              </w:rPr>
            </w:pPr>
          </w:p>
        </w:tc>
        <w:tc>
          <w:tcPr>
            <w:tcW w:w="1310" w:type="dxa"/>
            <w:noWrap w:val="0"/>
            <w:vAlign w:val="top"/>
          </w:tcPr>
          <w:p w14:paraId="1722E1C6">
            <w:pPr>
              <w:rPr>
                <w:rFonts w:ascii="宋体" w:hAnsi="宋体"/>
                <w:color w:val="auto"/>
                <w:kern w:val="0"/>
                <w:highlight w:val="none"/>
              </w:rPr>
            </w:pPr>
          </w:p>
        </w:tc>
        <w:tc>
          <w:tcPr>
            <w:tcW w:w="1170" w:type="dxa"/>
            <w:noWrap w:val="0"/>
            <w:vAlign w:val="top"/>
          </w:tcPr>
          <w:p w14:paraId="7D03CD92">
            <w:pPr>
              <w:rPr>
                <w:rFonts w:ascii="宋体" w:hAnsi="宋体"/>
                <w:color w:val="auto"/>
                <w:kern w:val="0"/>
                <w:highlight w:val="none"/>
              </w:rPr>
            </w:pPr>
          </w:p>
        </w:tc>
      </w:tr>
      <w:tr w14:paraId="2259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0DCD3906">
            <w:pPr>
              <w:rPr>
                <w:rFonts w:ascii="宋体" w:hAnsi="宋体"/>
                <w:color w:val="auto"/>
                <w:kern w:val="0"/>
                <w:highlight w:val="none"/>
              </w:rPr>
            </w:pPr>
          </w:p>
        </w:tc>
        <w:tc>
          <w:tcPr>
            <w:tcW w:w="1080" w:type="dxa"/>
            <w:noWrap w:val="0"/>
            <w:vAlign w:val="top"/>
          </w:tcPr>
          <w:p w14:paraId="1DBFB117">
            <w:pPr>
              <w:rPr>
                <w:rFonts w:ascii="宋体" w:hAnsi="宋体"/>
                <w:color w:val="auto"/>
                <w:kern w:val="0"/>
                <w:highlight w:val="none"/>
              </w:rPr>
            </w:pPr>
          </w:p>
        </w:tc>
        <w:tc>
          <w:tcPr>
            <w:tcW w:w="1800" w:type="dxa"/>
            <w:noWrap w:val="0"/>
            <w:vAlign w:val="top"/>
          </w:tcPr>
          <w:p w14:paraId="20F2DF54">
            <w:pPr>
              <w:rPr>
                <w:rFonts w:ascii="宋体" w:hAnsi="宋体"/>
                <w:color w:val="auto"/>
                <w:kern w:val="0"/>
                <w:highlight w:val="none"/>
              </w:rPr>
            </w:pPr>
          </w:p>
        </w:tc>
        <w:tc>
          <w:tcPr>
            <w:tcW w:w="2340" w:type="dxa"/>
            <w:noWrap w:val="0"/>
            <w:vAlign w:val="top"/>
          </w:tcPr>
          <w:p w14:paraId="260D9A3E">
            <w:pPr>
              <w:rPr>
                <w:rFonts w:ascii="宋体" w:hAnsi="宋体"/>
                <w:color w:val="auto"/>
                <w:kern w:val="0"/>
                <w:highlight w:val="none"/>
              </w:rPr>
            </w:pPr>
          </w:p>
        </w:tc>
        <w:tc>
          <w:tcPr>
            <w:tcW w:w="1310" w:type="dxa"/>
            <w:noWrap w:val="0"/>
            <w:vAlign w:val="top"/>
          </w:tcPr>
          <w:p w14:paraId="7AA38A34">
            <w:pPr>
              <w:rPr>
                <w:rFonts w:ascii="宋体" w:hAnsi="宋体"/>
                <w:color w:val="auto"/>
                <w:kern w:val="0"/>
                <w:highlight w:val="none"/>
              </w:rPr>
            </w:pPr>
          </w:p>
        </w:tc>
        <w:tc>
          <w:tcPr>
            <w:tcW w:w="1170" w:type="dxa"/>
            <w:noWrap w:val="0"/>
            <w:vAlign w:val="top"/>
          </w:tcPr>
          <w:p w14:paraId="1D84F19A">
            <w:pPr>
              <w:rPr>
                <w:rFonts w:ascii="宋体" w:hAnsi="宋体"/>
                <w:color w:val="auto"/>
                <w:kern w:val="0"/>
                <w:highlight w:val="none"/>
              </w:rPr>
            </w:pPr>
          </w:p>
        </w:tc>
      </w:tr>
      <w:tr w14:paraId="722C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C16BC70">
            <w:pPr>
              <w:rPr>
                <w:rFonts w:ascii="宋体" w:hAnsi="宋体"/>
                <w:color w:val="auto"/>
                <w:kern w:val="0"/>
                <w:highlight w:val="none"/>
              </w:rPr>
            </w:pPr>
          </w:p>
        </w:tc>
        <w:tc>
          <w:tcPr>
            <w:tcW w:w="1080" w:type="dxa"/>
            <w:noWrap w:val="0"/>
            <w:vAlign w:val="top"/>
          </w:tcPr>
          <w:p w14:paraId="5F08469E">
            <w:pPr>
              <w:rPr>
                <w:rFonts w:ascii="宋体" w:hAnsi="宋体"/>
                <w:color w:val="auto"/>
                <w:kern w:val="0"/>
                <w:highlight w:val="none"/>
              </w:rPr>
            </w:pPr>
          </w:p>
        </w:tc>
        <w:tc>
          <w:tcPr>
            <w:tcW w:w="1800" w:type="dxa"/>
            <w:noWrap w:val="0"/>
            <w:vAlign w:val="top"/>
          </w:tcPr>
          <w:p w14:paraId="7242AAF6">
            <w:pPr>
              <w:rPr>
                <w:rFonts w:ascii="宋体" w:hAnsi="宋体"/>
                <w:color w:val="auto"/>
                <w:kern w:val="0"/>
                <w:highlight w:val="none"/>
              </w:rPr>
            </w:pPr>
          </w:p>
        </w:tc>
        <w:tc>
          <w:tcPr>
            <w:tcW w:w="2340" w:type="dxa"/>
            <w:noWrap w:val="0"/>
            <w:vAlign w:val="top"/>
          </w:tcPr>
          <w:p w14:paraId="4D7BC15E">
            <w:pPr>
              <w:rPr>
                <w:rFonts w:ascii="宋体" w:hAnsi="宋体"/>
                <w:color w:val="auto"/>
                <w:kern w:val="0"/>
                <w:highlight w:val="none"/>
              </w:rPr>
            </w:pPr>
          </w:p>
        </w:tc>
        <w:tc>
          <w:tcPr>
            <w:tcW w:w="1310" w:type="dxa"/>
            <w:noWrap w:val="0"/>
            <w:vAlign w:val="top"/>
          </w:tcPr>
          <w:p w14:paraId="7D9DCEAE">
            <w:pPr>
              <w:rPr>
                <w:rFonts w:ascii="宋体" w:hAnsi="宋体"/>
                <w:color w:val="auto"/>
                <w:kern w:val="0"/>
                <w:highlight w:val="none"/>
              </w:rPr>
            </w:pPr>
          </w:p>
        </w:tc>
        <w:tc>
          <w:tcPr>
            <w:tcW w:w="1170" w:type="dxa"/>
            <w:noWrap w:val="0"/>
            <w:vAlign w:val="top"/>
          </w:tcPr>
          <w:p w14:paraId="43F4160D">
            <w:pPr>
              <w:rPr>
                <w:rFonts w:ascii="宋体" w:hAnsi="宋体"/>
                <w:color w:val="auto"/>
                <w:kern w:val="0"/>
                <w:highlight w:val="none"/>
              </w:rPr>
            </w:pPr>
          </w:p>
        </w:tc>
      </w:tr>
      <w:tr w14:paraId="1C39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B67B7D1">
            <w:pPr>
              <w:rPr>
                <w:rFonts w:ascii="宋体" w:hAnsi="宋体"/>
                <w:color w:val="auto"/>
                <w:kern w:val="0"/>
                <w:highlight w:val="none"/>
              </w:rPr>
            </w:pPr>
          </w:p>
        </w:tc>
        <w:tc>
          <w:tcPr>
            <w:tcW w:w="1080" w:type="dxa"/>
            <w:noWrap w:val="0"/>
            <w:vAlign w:val="top"/>
          </w:tcPr>
          <w:p w14:paraId="134898AF">
            <w:pPr>
              <w:rPr>
                <w:rFonts w:ascii="宋体" w:hAnsi="宋体"/>
                <w:color w:val="auto"/>
                <w:kern w:val="0"/>
                <w:highlight w:val="none"/>
              </w:rPr>
            </w:pPr>
          </w:p>
        </w:tc>
        <w:tc>
          <w:tcPr>
            <w:tcW w:w="1800" w:type="dxa"/>
            <w:noWrap w:val="0"/>
            <w:vAlign w:val="top"/>
          </w:tcPr>
          <w:p w14:paraId="223A3AEB">
            <w:pPr>
              <w:rPr>
                <w:rFonts w:ascii="宋体" w:hAnsi="宋体"/>
                <w:color w:val="auto"/>
                <w:kern w:val="0"/>
                <w:highlight w:val="none"/>
              </w:rPr>
            </w:pPr>
          </w:p>
        </w:tc>
        <w:tc>
          <w:tcPr>
            <w:tcW w:w="2340" w:type="dxa"/>
            <w:noWrap w:val="0"/>
            <w:vAlign w:val="top"/>
          </w:tcPr>
          <w:p w14:paraId="7692D8DF">
            <w:pPr>
              <w:rPr>
                <w:rFonts w:ascii="宋体" w:hAnsi="宋体"/>
                <w:color w:val="auto"/>
                <w:kern w:val="0"/>
                <w:highlight w:val="none"/>
              </w:rPr>
            </w:pPr>
          </w:p>
        </w:tc>
        <w:tc>
          <w:tcPr>
            <w:tcW w:w="1310" w:type="dxa"/>
            <w:noWrap w:val="0"/>
            <w:vAlign w:val="top"/>
          </w:tcPr>
          <w:p w14:paraId="6B0E9044">
            <w:pPr>
              <w:rPr>
                <w:rFonts w:ascii="宋体" w:hAnsi="宋体"/>
                <w:color w:val="auto"/>
                <w:kern w:val="0"/>
                <w:highlight w:val="none"/>
              </w:rPr>
            </w:pPr>
          </w:p>
        </w:tc>
        <w:tc>
          <w:tcPr>
            <w:tcW w:w="1170" w:type="dxa"/>
            <w:noWrap w:val="0"/>
            <w:vAlign w:val="top"/>
          </w:tcPr>
          <w:p w14:paraId="30801A42">
            <w:pPr>
              <w:rPr>
                <w:rFonts w:ascii="宋体" w:hAnsi="宋体"/>
                <w:color w:val="auto"/>
                <w:kern w:val="0"/>
                <w:highlight w:val="none"/>
              </w:rPr>
            </w:pPr>
          </w:p>
        </w:tc>
      </w:tr>
      <w:tr w14:paraId="5E28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2B6F978">
            <w:pPr>
              <w:rPr>
                <w:rFonts w:ascii="宋体" w:hAnsi="宋体"/>
                <w:color w:val="auto"/>
                <w:kern w:val="0"/>
                <w:highlight w:val="none"/>
              </w:rPr>
            </w:pPr>
          </w:p>
        </w:tc>
        <w:tc>
          <w:tcPr>
            <w:tcW w:w="1080" w:type="dxa"/>
            <w:noWrap w:val="0"/>
            <w:vAlign w:val="top"/>
          </w:tcPr>
          <w:p w14:paraId="3289714A">
            <w:pPr>
              <w:rPr>
                <w:rFonts w:ascii="宋体" w:hAnsi="宋体"/>
                <w:color w:val="auto"/>
                <w:kern w:val="0"/>
                <w:highlight w:val="none"/>
              </w:rPr>
            </w:pPr>
          </w:p>
        </w:tc>
        <w:tc>
          <w:tcPr>
            <w:tcW w:w="1800" w:type="dxa"/>
            <w:noWrap w:val="0"/>
            <w:vAlign w:val="top"/>
          </w:tcPr>
          <w:p w14:paraId="098C5A74">
            <w:pPr>
              <w:rPr>
                <w:rFonts w:ascii="宋体" w:hAnsi="宋体"/>
                <w:color w:val="auto"/>
                <w:kern w:val="0"/>
                <w:highlight w:val="none"/>
              </w:rPr>
            </w:pPr>
          </w:p>
        </w:tc>
        <w:tc>
          <w:tcPr>
            <w:tcW w:w="2340" w:type="dxa"/>
            <w:noWrap w:val="0"/>
            <w:vAlign w:val="top"/>
          </w:tcPr>
          <w:p w14:paraId="06A72180">
            <w:pPr>
              <w:rPr>
                <w:rFonts w:ascii="宋体" w:hAnsi="宋体"/>
                <w:color w:val="auto"/>
                <w:kern w:val="0"/>
                <w:highlight w:val="none"/>
              </w:rPr>
            </w:pPr>
          </w:p>
        </w:tc>
        <w:tc>
          <w:tcPr>
            <w:tcW w:w="1310" w:type="dxa"/>
            <w:noWrap w:val="0"/>
            <w:vAlign w:val="top"/>
          </w:tcPr>
          <w:p w14:paraId="34DE2587">
            <w:pPr>
              <w:rPr>
                <w:rFonts w:ascii="宋体" w:hAnsi="宋体"/>
                <w:color w:val="auto"/>
                <w:kern w:val="0"/>
                <w:highlight w:val="none"/>
              </w:rPr>
            </w:pPr>
          </w:p>
        </w:tc>
        <w:tc>
          <w:tcPr>
            <w:tcW w:w="1170" w:type="dxa"/>
            <w:noWrap w:val="0"/>
            <w:vAlign w:val="top"/>
          </w:tcPr>
          <w:p w14:paraId="1F859777">
            <w:pPr>
              <w:rPr>
                <w:rFonts w:ascii="宋体" w:hAnsi="宋体"/>
                <w:color w:val="auto"/>
                <w:kern w:val="0"/>
                <w:highlight w:val="none"/>
              </w:rPr>
            </w:pPr>
          </w:p>
        </w:tc>
      </w:tr>
    </w:tbl>
    <w:p w14:paraId="271AF1C4">
      <w:pPr>
        <w:rPr>
          <w:rFonts w:ascii="宋体" w:hAnsi="宋体"/>
          <w:color w:val="auto"/>
          <w:szCs w:val="21"/>
          <w:highlight w:val="none"/>
        </w:rPr>
      </w:pPr>
      <w:r>
        <w:rPr>
          <w:rFonts w:hint="eastAsia" w:ascii="宋体" w:hAnsi="宋体"/>
          <w:color w:val="auto"/>
          <w:szCs w:val="21"/>
          <w:highlight w:val="none"/>
        </w:rPr>
        <w:t>注：</w:t>
      </w:r>
    </w:p>
    <w:p w14:paraId="43785B43">
      <w:pPr>
        <w:ind w:firstLine="420" w:firstLineChars="200"/>
        <w:rPr>
          <w:rFonts w:ascii="宋体" w:hAnsi="宋体"/>
          <w:color w:val="auto"/>
          <w:szCs w:val="21"/>
          <w:highlight w:val="none"/>
        </w:rPr>
      </w:pPr>
      <w:r>
        <w:rPr>
          <w:rFonts w:hint="eastAsia" w:ascii="宋体" w:hAnsi="宋体"/>
          <w:color w:val="auto"/>
          <w:szCs w:val="21"/>
          <w:highlight w:val="none"/>
        </w:rPr>
        <w:t>1. 本表用于确定投标报价得分。</w:t>
      </w:r>
    </w:p>
    <w:p w14:paraId="7637BF21">
      <w:pPr>
        <w:ind w:firstLine="420" w:firstLineChars="200"/>
        <w:rPr>
          <w:rFonts w:ascii="宋体" w:hAnsi="宋体"/>
          <w:color w:val="auto"/>
          <w:szCs w:val="21"/>
          <w:highlight w:val="none"/>
        </w:rPr>
      </w:pPr>
      <w:r>
        <w:rPr>
          <w:rFonts w:hint="eastAsia" w:ascii="宋体" w:hAnsi="宋体"/>
          <w:color w:val="auto"/>
          <w:szCs w:val="21"/>
          <w:highlight w:val="none"/>
        </w:rPr>
        <w:t>2.未能通过初步评审的投标人不得在本表中列出。</w:t>
      </w:r>
    </w:p>
    <w:p w14:paraId="5235A3E7">
      <w:pPr>
        <w:ind w:firstLine="420" w:firstLineChars="200"/>
        <w:rPr>
          <w:rFonts w:ascii="宋体" w:hAnsi="宋体"/>
          <w:color w:val="auto"/>
          <w:szCs w:val="21"/>
          <w:highlight w:val="none"/>
        </w:rPr>
      </w:pPr>
      <w:r>
        <w:rPr>
          <w:rFonts w:hint="eastAsia" w:ascii="宋体" w:hAnsi="宋体"/>
          <w:color w:val="auto"/>
          <w:szCs w:val="21"/>
          <w:highlight w:val="none"/>
        </w:rPr>
        <w:t>3.投标人在本表中的排列：按照《开标记录表》中的“序号”从小到大排列。</w:t>
      </w:r>
    </w:p>
    <w:p w14:paraId="4F4706F4">
      <w:pPr>
        <w:rPr>
          <w:rFonts w:ascii="宋体" w:hAnsi="宋体"/>
          <w:color w:val="auto"/>
          <w:kern w:val="0"/>
          <w:szCs w:val="21"/>
          <w:highlight w:val="none"/>
        </w:rPr>
      </w:pPr>
      <w:r>
        <w:rPr>
          <w:rFonts w:hint="eastAsia" w:ascii="宋体" w:hAnsi="宋体"/>
          <w:color w:val="auto"/>
          <w:szCs w:val="21"/>
          <w:highlight w:val="none"/>
        </w:rPr>
        <w:t xml:space="preserve">评标委员会全体评委签名：                       </w:t>
      </w:r>
      <w:r>
        <w:rPr>
          <w:rFonts w:hint="eastAsia" w:ascii="宋体" w:hAnsi="宋体"/>
          <w:color w:val="auto"/>
          <w:kern w:val="0"/>
          <w:szCs w:val="21"/>
          <w:highlight w:val="none"/>
        </w:rPr>
        <w:t>日期：   年   月  日</w:t>
      </w:r>
    </w:p>
    <w:p w14:paraId="33A79F2B">
      <w:pPr>
        <w:rPr>
          <w:rFonts w:ascii="宋体" w:hAnsi="宋体"/>
          <w:strike/>
          <w:color w:val="auto"/>
          <w:kern w:val="0"/>
          <w:highlight w:val="none"/>
        </w:rPr>
      </w:pPr>
    </w:p>
    <w:p w14:paraId="6496730F">
      <w:pPr>
        <w:rPr>
          <w:rFonts w:ascii="宋体" w:hAnsi="宋体"/>
          <w:color w:val="auto"/>
          <w:kern w:val="0"/>
          <w:highlight w:val="none"/>
        </w:rPr>
      </w:pPr>
    </w:p>
    <w:p w14:paraId="2ED61227">
      <w:pPr>
        <w:rPr>
          <w:rFonts w:ascii="宋体" w:hAnsi="宋体"/>
          <w:color w:val="auto"/>
          <w:kern w:val="0"/>
          <w:highlight w:val="none"/>
        </w:rPr>
      </w:pPr>
    </w:p>
    <w:p w14:paraId="5C233770">
      <w:pPr>
        <w:jc w:val="center"/>
        <w:rPr>
          <w:rFonts w:ascii="宋体" w:hAnsi="宋体"/>
          <w:b/>
          <w:color w:val="auto"/>
          <w:sz w:val="32"/>
          <w:szCs w:val="32"/>
          <w:highlight w:val="none"/>
        </w:rPr>
        <w:sectPr>
          <w:pgSz w:w="11906" w:h="16838"/>
          <w:pgMar w:top="1440" w:right="1797" w:bottom="1440" w:left="1797" w:header="851" w:footer="992" w:gutter="0"/>
          <w:cols w:space="720" w:num="1"/>
          <w:docGrid w:linePitch="312" w:charSpace="0"/>
        </w:sectPr>
      </w:pPr>
    </w:p>
    <w:p w14:paraId="73C099BC">
      <w:pPr>
        <w:spacing w:line="360" w:lineRule="auto"/>
        <w:jc w:val="left"/>
        <w:outlineLvl w:val="2"/>
        <w:rPr>
          <w:rFonts w:ascii="宋体" w:hAnsi="宋体"/>
          <w:strike/>
          <w:color w:val="auto"/>
          <w:sz w:val="28"/>
          <w:szCs w:val="27"/>
          <w:highlight w:val="none"/>
        </w:rPr>
      </w:pPr>
      <w:bookmarkStart w:id="265" w:name="_Toc180758575"/>
      <w:bookmarkStart w:id="266" w:name="_Toc115179790"/>
      <w:r>
        <w:rPr>
          <w:rFonts w:hint="eastAsia" w:ascii="宋体" w:hAnsi="宋体"/>
          <w:strike/>
          <w:color w:val="auto"/>
          <w:sz w:val="28"/>
          <w:szCs w:val="27"/>
          <w:highlight w:val="none"/>
        </w:rPr>
        <w:t>附表7：诚信评价评审得分记录表（格式）</w:t>
      </w:r>
      <w:bookmarkEnd w:id="265"/>
      <w:bookmarkEnd w:id="266"/>
    </w:p>
    <w:p w14:paraId="7A16384B">
      <w:pPr>
        <w:spacing w:line="360" w:lineRule="auto"/>
        <w:jc w:val="center"/>
        <w:rPr>
          <w:rFonts w:ascii="宋体" w:hAnsi="宋体"/>
          <w:b/>
          <w:strike/>
          <w:color w:val="auto"/>
          <w:sz w:val="36"/>
          <w:szCs w:val="36"/>
          <w:highlight w:val="none"/>
        </w:rPr>
      </w:pPr>
      <w:r>
        <w:rPr>
          <w:rFonts w:hint="eastAsia" w:ascii="宋体" w:hAnsi="宋体"/>
          <w:b/>
          <w:strike/>
          <w:color w:val="auto"/>
          <w:sz w:val="36"/>
          <w:szCs w:val="36"/>
          <w:highlight w:val="none"/>
        </w:rPr>
        <w:t>诚信评价分表</w:t>
      </w:r>
    </w:p>
    <w:p w14:paraId="7E1AD52E">
      <w:pPr>
        <w:spacing w:line="360" w:lineRule="auto"/>
        <w:rPr>
          <w:rFonts w:ascii="宋体" w:hAnsi="宋体"/>
          <w:b/>
          <w:strike/>
          <w:color w:val="auto"/>
          <w:szCs w:val="21"/>
          <w:highlight w:val="none"/>
        </w:rPr>
      </w:pPr>
      <w:r>
        <w:rPr>
          <w:rFonts w:hint="eastAsia" w:ascii="宋体" w:hAnsi="宋体"/>
          <w:b/>
          <w:strike/>
          <w:color w:val="auto"/>
          <w:szCs w:val="21"/>
          <w:highlight w:val="none"/>
        </w:rPr>
        <w:t>项目编号：</w:t>
      </w:r>
    </w:p>
    <w:p w14:paraId="1BA4EAB7">
      <w:pPr>
        <w:spacing w:line="360" w:lineRule="auto"/>
        <w:rPr>
          <w:rFonts w:ascii="宋体" w:hAnsi="宋体"/>
          <w:b/>
          <w:strike/>
          <w:color w:val="auto"/>
          <w:szCs w:val="21"/>
          <w:highlight w:val="none"/>
        </w:rPr>
      </w:pPr>
      <w:r>
        <w:rPr>
          <w:rFonts w:hint="eastAsia" w:ascii="宋体" w:hAnsi="宋体"/>
          <w:b/>
          <w:strike/>
          <w:color w:val="auto"/>
          <w:szCs w:val="21"/>
          <w:highlight w:val="none"/>
        </w:rPr>
        <w:t>项目名称：</w:t>
      </w:r>
    </w:p>
    <w:tbl>
      <w:tblPr>
        <w:tblStyle w:val="4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80"/>
        <w:gridCol w:w="1440"/>
        <w:gridCol w:w="2340"/>
      </w:tblGrid>
      <w:tr w14:paraId="1D1D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0" w:type="dxa"/>
            <w:noWrap w:val="0"/>
            <w:vAlign w:val="center"/>
          </w:tcPr>
          <w:p w14:paraId="6239AAD2">
            <w:pPr>
              <w:jc w:val="center"/>
              <w:rPr>
                <w:rFonts w:ascii="宋体" w:hAnsi="宋体"/>
                <w:strike/>
                <w:color w:val="auto"/>
                <w:szCs w:val="21"/>
                <w:highlight w:val="none"/>
              </w:rPr>
            </w:pPr>
            <w:r>
              <w:rPr>
                <w:rFonts w:hint="eastAsia" w:ascii="宋体" w:hAnsi="宋体"/>
                <w:strike/>
                <w:color w:val="auto"/>
                <w:szCs w:val="21"/>
                <w:highlight w:val="none"/>
              </w:rPr>
              <w:t>序号</w:t>
            </w:r>
          </w:p>
        </w:tc>
        <w:tc>
          <w:tcPr>
            <w:tcW w:w="3780" w:type="dxa"/>
            <w:noWrap w:val="0"/>
            <w:vAlign w:val="center"/>
          </w:tcPr>
          <w:p w14:paraId="19E4AA48">
            <w:pPr>
              <w:jc w:val="center"/>
              <w:rPr>
                <w:rFonts w:ascii="宋体" w:hAnsi="宋体"/>
                <w:strike/>
                <w:color w:val="auto"/>
                <w:szCs w:val="21"/>
                <w:highlight w:val="none"/>
              </w:rPr>
            </w:pPr>
            <w:r>
              <w:rPr>
                <w:rFonts w:hint="eastAsia" w:ascii="宋体" w:hAnsi="宋体"/>
                <w:strike/>
                <w:color w:val="auto"/>
                <w:szCs w:val="21"/>
                <w:highlight w:val="none"/>
              </w:rPr>
              <w:t>投标人</w:t>
            </w:r>
          </w:p>
        </w:tc>
        <w:tc>
          <w:tcPr>
            <w:tcW w:w="1440" w:type="dxa"/>
            <w:noWrap w:val="0"/>
            <w:vAlign w:val="center"/>
          </w:tcPr>
          <w:p w14:paraId="1547065B">
            <w:pPr>
              <w:jc w:val="center"/>
              <w:rPr>
                <w:rFonts w:ascii="宋体" w:hAnsi="宋体"/>
                <w:strike/>
                <w:color w:val="auto"/>
                <w:szCs w:val="21"/>
                <w:highlight w:val="none"/>
              </w:rPr>
            </w:pPr>
            <w:r>
              <w:rPr>
                <w:rFonts w:hint="eastAsia" w:ascii="宋体" w:hAnsi="宋体"/>
                <w:strike/>
                <w:color w:val="auto"/>
                <w:szCs w:val="21"/>
                <w:highlight w:val="none"/>
              </w:rPr>
              <w:t>诚信类别</w:t>
            </w:r>
          </w:p>
        </w:tc>
        <w:tc>
          <w:tcPr>
            <w:tcW w:w="2340" w:type="dxa"/>
            <w:noWrap w:val="0"/>
            <w:vAlign w:val="center"/>
          </w:tcPr>
          <w:p w14:paraId="094F7C85">
            <w:pPr>
              <w:jc w:val="center"/>
              <w:rPr>
                <w:rFonts w:ascii="宋体" w:hAnsi="宋体"/>
                <w:strike/>
                <w:color w:val="auto"/>
                <w:szCs w:val="21"/>
                <w:highlight w:val="none"/>
              </w:rPr>
            </w:pPr>
            <w:r>
              <w:rPr>
                <w:rFonts w:hint="eastAsia" w:ascii="宋体" w:hAnsi="宋体"/>
                <w:strike/>
                <w:color w:val="auto"/>
                <w:szCs w:val="21"/>
                <w:highlight w:val="none"/>
              </w:rPr>
              <w:t>诚信评价分</w:t>
            </w:r>
          </w:p>
        </w:tc>
      </w:tr>
      <w:tr w14:paraId="69894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62DE0F07">
            <w:pPr>
              <w:jc w:val="center"/>
              <w:rPr>
                <w:rFonts w:ascii="宋体" w:hAnsi="宋体"/>
                <w:strike/>
                <w:color w:val="auto"/>
                <w:szCs w:val="21"/>
                <w:highlight w:val="none"/>
              </w:rPr>
            </w:pPr>
            <w:r>
              <w:rPr>
                <w:rFonts w:hint="eastAsia" w:ascii="宋体" w:hAnsi="宋体"/>
                <w:strike/>
                <w:color w:val="auto"/>
                <w:szCs w:val="21"/>
                <w:highlight w:val="none"/>
              </w:rPr>
              <w:t>1</w:t>
            </w:r>
          </w:p>
        </w:tc>
        <w:tc>
          <w:tcPr>
            <w:tcW w:w="3780" w:type="dxa"/>
            <w:noWrap w:val="0"/>
            <w:vAlign w:val="top"/>
          </w:tcPr>
          <w:p w14:paraId="185092BC">
            <w:pPr>
              <w:rPr>
                <w:rFonts w:ascii="宋体" w:hAnsi="宋体"/>
                <w:strike/>
                <w:color w:val="auto"/>
                <w:szCs w:val="21"/>
                <w:highlight w:val="none"/>
              </w:rPr>
            </w:pPr>
          </w:p>
        </w:tc>
        <w:tc>
          <w:tcPr>
            <w:tcW w:w="1440" w:type="dxa"/>
            <w:vMerge w:val="restart"/>
            <w:noWrap w:val="0"/>
            <w:vAlign w:val="center"/>
          </w:tcPr>
          <w:p w14:paraId="247886B0">
            <w:pPr>
              <w:rPr>
                <w:rFonts w:ascii="宋体" w:hAnsi="宋体"/>
                <w:strike/>
                <w:color w:val="auto"/>
                <w:szCs w:val="21"/>
                <w:highlight w:val="none"/>
              </w:rPr>
            </w:pPr>
            <w:r>
              <w:rPr>
                <w:rFonts w:hint="eastAsia" w:ascii="宋体" w:hAnsi="宋体"/>
                <w:strike/>
                <w:color w:val="auto"/>
                <w:szCs w:val="21"/>
                <w:highlight w:val="none"/>
              </w:rPr>
              <w:t>施工-水利</w:t>
            </w:r>
          </w:p>
        </w:tc>
        <w:tc>
          <w:tcPr>
            <w:tcW w:w="2340" w:type="dxa"/>
            <w:noWrap w:val="0"/>
            <w:vAlign w:val="top"/>
          </w:tcPr>
          <w:p w14:paraId="6BCB0EB0">
            <w:pPr>
              <w:rPr>
                <w:rFonts w:ascii="宋体" w:hAnsi="宋体"/>
                <w:strike/>
                <w:color w:val="auto"/>
                <w:szCs w:val="21"/>
                <w:highlight w:val="none"/>
              </w:rPr>
            </w:pPr>
          </w:p>
        </w:tc>
      </w:tr>
      <w:tr w14:paraId="2ECE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3A0EAE3A">
            <w:pPr>
              <w:jc w:val="center"/>
              <w:rPr>
                <w:rFonts w:ascii="宋体" w:hAnsi="宋体"/>
                <w:strike/>
                <w:color w:val="auto"/>
                <w:szCs w:val="21"/>
                <w:highlight w:val="none"/>
              </w:rPr>
            </w:pPr>
            <w:r>
              <w:rPr>
                <w:rFonts w:hint="eastAsia" w:ascii="宋体" w:hAnsi="宋体"/>
                <w:strike/>
                <w:color w:val="auto"/>
                <w:szCs w:val="21"/>
                <w:highlight w:val="none"/>
              </w:rPr>
              <w:t>2</w:t>
            </w:r>
          </w:p>
        </w:tc>
        <w:tc>
          <w:tcPr>
            <w:tcW w:w="3780" w:type="dxa"/>
            <w:noWrap w:val="0"/>
            <w:vAlign w:val="top"/>
          </w:tcPr>
          <w:p w14:paraId="6F347A88">
            <w:pPr>
              <w:rPr>
                <w:rFonts w:ascii="宋体" w:hAnsi="宋体"/>
                <w:strike/>
                <w:color w:val="auto"/>
                <w:szCs w:val="21"/>
                <w:highlight w:val="none"/>
              </w:rPr>
            </w:pPr>
          </w:p>
        </w:tc>
        <w:tc>
          <w:tcPr>
            <w:tcW w:w="1440" w:type="dxa"/>
            <w:vMerge w:val="continue"/>
            <w:noWrap w:val="0"/>
            <w:vAlign w:val="top"/>
          </w:tcPr>
          <w:p w14:paraId="49774968">
            <w:pPr>
              <w:jc w:val="center"/>
              <w:rPr>
                <w:rFonts w:ascii="宋体" w:hAnsi="宋体"/>
                <w:strike/>
                <w:color w:val="auto"/>
                <w:szCs w:val="21"/>
                <w:highlight w:val="none"/>
              </w:rPr>
            </w:pPr>
          </w:p>
        </w:tc>
        <w:tc>
          <w:tcPr>
            <w:tcW w:w="2340" w:type="dxa"/>
            <w:noWrap w:val="0"/>
            <w:vAlign w:val="top"/>
          </w:tcPr>
          <w:p w14:paraId="7F025C4B">
            <w:pPr>
              <w:rPr>
                <w:rFonts w:ascii="宋体" w:hAnsi="宋体"/>
                <w:strike/>
                <w:color w:val="auto"/>
                <w:szCs w:val="21"/>
                <w:highlight w:val="none"/>
              </w:rPr>
            </w:pPr>
          </w:p>
        </w:tc>
      </w:tr>
      <w:tr w14:paraId="4EB5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5305F484">
            <w:pPr>
              <w:jc w:val="center"/>
              <w:rPr>
                <w:rFonts w:ascii="宋体" w:hAnsi="宋体"/>
                <w:strike/>
                <w:color w:val="auto"/>
                <w:szCs w:val="21"/>
                <w:highlight w:val="none"/>
              </w:rPr>
            </w:pPr>
            <w:r>
              <w:rPr>
                <w:rFonts w:hint="eastAsia" w:ascii="宋体" w:hAnsi="宋体"/>
                <w:strike/>
                <w:color w:val="auto"/>
                <w:szCs w:val="21"/>
                <w:highlight w:val="none"/>
              </w:rPr>
              <w:t>3</w:t>
            </w:r>
          </w:p>
        </w:tc>
        <w:tc>
          <w:tcPr>
            <w:tcW w:w="3780" w:type="dxa"/>
            <w:noWrap w:val="0"/>
            <w:vAlign w:val="top"/>
          </w:tcPr>
          <w:p w14:paraId="66530421">
            <w:pPr>
              <w:rPr>
                <w:rFonts w:ascii="宋体" w:hAnsi="宋体"/>
                <w:strike/>
                <w:color w:val="auto"/>
                <w:szCs w:val="21"/>
                <w:highlight w:val="none"/>
              </w:rPr>
            </w:pPr>
          </w:p>
        </w:tc>
        <w:tc>
          <w:tcPr>
            <w:tcW w:w="1440" w:type="dxa"/>
            <w:vMerge w:val="continue"/>
            <w:noWrap w:val="0"/>
            <w:vAlign w:val="top"/>
          </w:tcPr>
          <w:p w14:paraId="4B0D3D5A">
            <w:pPr>
              <w:jc w:val="center"/>
              <w:rPr>
                <w:rFonts w:ascii="宋体" w:hAnsi="宋体"/>
                <w:strike/>
                <w:color w:val="auto"/>
                <w:szCs w:val="21"/>
                <w:highlight w:val="none"/>
              </w:rPr>
            </w:pPr>
          </w:p>
        </w:tc>
        <w:tc>
          <w:tcPr>
            <w:tcW w:w="2340" w:type="dxa"/>
            <w:noWrap w:val="0"/>
            <w:vAlign w:val="top"/>
          </w:tcPr>
          <w:p w14:paraId="334E46D4">
            <w:pPr>
              <w:rPr>
                <w:rFonts w:ascii="宋体" w:hAnsi="宋体"/>
                <w:strike/>
                <w:color w:val="auto"/>
                <w:szCs w:val="21"/>
                <w:highlight w:val="none"/>
              </w:rPr>
            </w:pPr>
          </w:p>
        </w:tc>
      </w:tr>
      <w:tr w14:paraId="39B2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35BF003A">
            <w:pPr>
              <w:jc w:val="center"/>
              <w:rPr>
                <w:rFonts w:ascii="宋体" w:hAnsi="宋体"/>
                <w:strike/>
                <w:color w:val="auto"/>
                <w:szCs w:val="21"/>
                <w:highlight w:val="none"/>
              </w:rPr>
            </w:pPr>
            <w:r>
              <w:rPr>
                <w:rFonts w:hint="eastAsia" w:ascii="宋体" w:hAnsi="宋体"/>
                <w:strike/>
                <w:color w:val="auto"/>
                <w:szCs w:val="21"/>
                <w:highlight w:val="none"/>
              </w:rPr>
              <w:t>4</w:t>
            </w:r>
          </w:p>
        </w:tc>
        <w:tc>
          <w:tcPr>
            <w:tcW w:w="3780" w:type="dxa"/>
            <w:noWrap w:val="0"/>
            <w:vAlign w:val="top"/>
          </w:tcPr>
          <w:p w14:paraId="14C826EA">
            <w:pPr>
              <w:rPr>
                <w:rFonts w:ascii="宋体" w:hAnsi="宋体"/>
                <w:strike/>
                <w:color w:val="auto"/>
                <w:szCs w:val="21"/>
                <w:highlight w:val="none"/>
              </w:rPr>
            </w:pPr>
          </w:p>
        </w:tc>
        <w:tc>
          <w:tcPr>
            <w:tcW w:w="1440" w:type="dxa"/>
            <w:vMerge w:val="continue"/>
            <w:noWrap w:val="0"/>
            <w:vAlign w:val="top"/>
          </w:tcPr>
          <w:p w14:paraId="7CA05E6D">
            <w:pPr>
              <w:jc w:val="center"/>
              <w:rPr>
                <w:rFonts w:ascii="宋体" w:hAnsi="宋体"/>
                <w:strike/>
                <w:color w:val="auto"/>
                <w:szCs w:val="21"/>
                <w:highlight w:val="none"/>
              </w:rPr>
            </w:pPr>
          </w:p>
        </w:tc>
        <w:tc>
          <w:tcPr>
            <w:tcW w:w="2340" w:type="dxa"/>
            <w:noWrap w:val="0"/>
            <w:vAlign w:val="top"/>
          </w:tcPr>
          <w:p w14:paraId="43BC8B3B">
            <w:pPr>
              <w:rPr>
                <w:rFonts w:ascii="宋体" w:hAnsi="宋体"/>
                <w:strike/>
                <w:color w:val="auto"/>
                <w:szCs w:val="21"/>
                <w:highlight w:val="none"/>
              </w:rPr>
            </w:pPr>
          </w:p>
        </w:tc>
      </w:tr>
      <w:tr w14:paraId="6252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6A1705C3">
            <w:pPr>
              <w:jc w:val="center"/>
              <w:rPr>
                <w:rFonts w:ascii="宋体" w:hAnsi="宋体"/>
                <w:strike/>
                <w:color w:val="auto"/>
                <w:szCs w:val="21"/>
                <w:highlight w:val="none"/>
              </w:rPr>
            </w:pPr>
            <w:r>
              <w:rPr>
                <w:rFonts w:hint="eastAsia" w:ascii="宋体" w:hAnsi="宋体"/>
                <w:strike/>
                <w:color w:val="auto"/>
                <w:szCs w:val="21"/>
                <w:highlight w:val="none"/>
              </w:rPr>
              <w:t>5</w:t>
            </w:r>
          </w:p>
        </w:tc>
        <w:tc>
          <w:tcPr>
            <w:tcW w:w="3780" w:type="dxa"/>
            <w:noWrap w:val="0"/>
            <w:vAlign w:val="top"/>
          </w:tcPr>
          <w:p w14:paraId="6678A6AA">
            <w:pPr>
              <w:rPr>
                <w:rFonts w:ascii="宋体" w:hAnsi="宋体"/>
                <w:strike/>
                <w:color w:val="auto"/>
                <w:szCs w:val="21"/>
                <w:highlight w:val="none"/>
              </w:rPr>
            </w:pPr>
          </w:p>
        </w:tc>
        <w:tc>
          <w:tcPr>
            <w:tcW w:w="1440" w:type="dxa"/>
            <w:vMerge w:val="continue"/>
            <w:noWrap w:val="0"/>
            <w:vAlign w:val="top"/>
          </w:tcPr>
          <w:p w14:paraId="0672ABED">
            <w:pPr>
              <w:jc w:val="center"/>
              <w:rPr>
                <w:rFonts w:ascii="宋体" w:hAnsi="宋体"/>
                <w:strike/>
                <w:color w:val="auto"/>
                <w:szCs w:val="21"/>
                <w:highlight w:val="none"/>
              </w:rPr>
            </w:pPr>
          </w:p>
        </w:tc>
        <w:tc>
          <w:tcPr>
            <w:tcW w:w="2340" w:type="dxa"/>
            <w:noWrap w:val="0"/>
            <w:vAlign w:val="top"/>
          </w:tcPr>
          <w:p w14:paraId="72C80037">
            <w:pPr>
              <w:widowControl/>
              <w:jc w:val="left"/>
              <w:rPr>
                <w:rFonts w:ascii="宋体" w:hAnsi="宋体"/>
                <w:strike/>
                <w:color w:val="auto"/>
                <w:szCs w:val="21"/>
                <w:highlight w:val="none"/>
              </w:rPr>
            </w:pPr>
          </w:p>
          <w:p w14:paraId="6DB8BF1F">
            <w:pPr>
              <w:jc w:val="center"/>
              <w:rPr>
                <w:rFonts w:ascii="宋体" w:hAnsi="宋体"/>
                <w:strike/>
                <w:color w:val="auto"/>
                <w:szCs w:val="21"/>
                <w:highlight w:val="none"/>
              </w:rPr>
            </w:pPr>
          </w:p>
        </w:tc>
      </w:tr>
      <w:tr w14:paraId="3148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04D00392">
            <w:pPr>
              <w:jc w:val="center"/>
              <w:rPr>
                <w:rFonts w:ascii="宋体" w:hAnsi="宋体"/>
                <w:strike/>
                <w:color w:val="auto"/>
                <w:szCs w:val="21"/>
                <w:highlight w:val="none"/>
              </w:rPr>
            </w:pPr>
            <w:r>
              <w:rPr>
                <w:rFonts w:hint="eastAsia" w:ascii="宋体" w:hAnsi="宋体"/>
                <w:strike/>
                <w:color w:val="auto"/>
                <w:szCs w:val="21"/>
                <w:highlight w:val="none"/>
              </w:rPr>
              <w:t>6</w:t>
            </w:r>
          </w:p>
        </w:tc>
        <w:tc>
          <w:tcPr>
            <w:tcW w:w="3780" w:type="dxa"/>
            <w:noWrap w:val="0"/>
            <w:vAlign w:val="top"/>
          </w:tcPr>
          <w:p w14:paraId="3E6CEFF9">
            <w:pPr>
              <w:rPr>
                <w:rFonts w:ascii="宋体" w:hAnsi="宋体"/>
                <w:strike/>
                <w:color w:val="auto"/>
                <w:szCs w:val="21"/>
                <w:highlight w:val="none"/>
              </w:rPr>
            </w:pPr>
          </w:p>
        </w:tc>
        <w:tc>
          <w:tcPr>
            <w:tcW w:w="1440" w:type="dxa"/>
            <w:vMerge w:val="continue"/>
            <w:noWrap w:val="0"/>
            <w:vAlign w:val="top"/>
          </w:tcPr>
          <w:p w14:paraId="1879C2AB">
            <w:pPr>
              <w:rPr>
                <w:rFonts w:ascii="宋体" w:hAnsi="宋体"/>
                <w:strike/>
                <w:color w:val="auto"/>
                <w:szCs w:val="21"/>
                <w:highlight w:val="none"/>
              </w:rPr>
            </w:pPr>
          </w:p>
        </w:tc>
        <w:tc>
          <w:tcPr>
            <w:tcW w:w="2340" w:type="dxa"/>
            <w:noWrap w:val="0"/>
            <w:vAlign w:val="top"/>
          </w:tcPr>
          <w:p w14:paraId="0B3EC7E6">
            <w:pPr>
              <w:rPr>
                <w:rFonts w:ascii="宋体" w:hAnsi="宋体"/>
                <w:strike/>
                <w:color w:val="auto"/>
                <w:szCs w:val="21"/>
                <w:highlight w:val="none"/>
              </w:rPr>
            </w:pPr>
          </w:p>
        </w:tc>
      </w:tr>
      <w:tr w14:paraId="4303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1C609217">
            <w:pPr>
              <w:jc w:val="center"/>
              <w:rPr>
                <w:rFonts w:ascii="宋体" w:hAnsi="宋体"/>
                <w:strike/>
                <w:color w:val="auto"/>
                <w:szCs w:val="21"/>
                <w:highlight w:val="none"/>
              </w:rPr>
            </w:pPr>
            <w:r>
              <w:rPr>
                <w:rFonts w:hint="eastAsia" w:ascii="宋体" w:hAnsi="宋体"/>
                <w:strike/>
                <w:color w:val="auto"/>
                <w:szCs w:val="21"/>
                <w:highlight w:val="none"/>
              </w:rPr>
              <w:t>7</w:t>
            </w:r>
          </w:p>
        </w:tc>
        <w:tc>
          <w:tcPr>
            <w:tcW w:w="3780" w:type="dxa"/>
            <w:noWrap w:val="0"/>
            <w:vAlign w:val="top"/>
          </w:tcPr>
          <w:p w14:paraId="13560351">
            <w:pPr>
              <w:rPr>
                <w:rFonts w:ascii="宋体" w:hAnsi="宋体"/>
                <w:strike/>
                <w:color w:val="auto"/>
                <w:szCs w:val="21"/>
                <w:highlight w:val="none"/>
              </w:rPr>
            </w:pPr>
          </w:p>
        </w:tc>
        <w:tc>
          <w:tcPr>
            <w:tcW w:w="1440" w:type="dxa"/>
            <w:vMerge w:val="continue"/>
            <w:noWrap w:val="0"/>
            <w:vAlign w:val="top"/>
          </w:tcPr>
          <w:p w14:paraId="687A6981">
            <w:pPr>
              <w:rPr>
                <w:rFonts w:ascii="宋体" w:hAnsi="宋体"/>
                <w:strike/>
                <w:color w:val="auto"/>
                <w:szCs w:val="21"/>
                <w:highlight w:val="none"/>
              </w:rPr>
            </w:pPr>
          </w:p>
        </w:tc>
        <w:tc>
          <w:tcPr>
            <w:tcW w:w="2340" w:type="dxa"/>
            <w:noWrap w:val="0"/>
            <w:vAlign w:val="top"/>
          </w:tcPr>
          <w:p w14:paraId="1C739143">
            <w:pPr>
              <w:rPr>
                <w:rFonts w:ascii="宋体" w:hAnsi="宋体"/>
                <w:strike/>
                <w:color w:val="auto"/>
                <w:szCs w:val="21"/>
                <w:highlight w:val="none"/>
              </w:rPr>
            </w:pPr>
          </w:p>
        </w:tc>
      </w:tr>
      <w:tr w14:paraId="2BE9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70297ED4">
            <w:pPr>
              <w:jc w:val="center"/>
              <w:rPr>
                <w:rFonts w:ascii="宋体" w:hAnsi="宋体"/>
                <w:strike/>
                <w:color w:val="auto"/>
                <w:szCs w:val="21"/>
                <w:highlight w:val="none"/>
              </w:rPr>
            </w:pPr>
            <w:r>
              <w:rPr>
                <w:rFonts w:hint="eastAsia" w:ascii="宋体" w:hAnsi="宋体"/>
                <w:strike/>
                <w:color w:val="auto"/>
                <w:szCs w:val="21"/>
                <w:highlight w:val="none"/>
              </w:rPr>
              <w:t>8</w:t>
            </w:r>
          </w:p>
        </w:tc>
        <w:tc>
          <w:tcPr>
            <w:tcW w:w="3780" w:type="dxa"/>
            <w:noWrap w:val="0"/>
            <w:vAlign w:val="top"/>
          </w:tcPr>
          <w:p w14:paraId="7DDC8D73">
            <w:pPr>
              <w:rPr>
                <w:rFonts w:ascii="宋体" w:hAnsi="宋体"/>
                <w:strike/>
                <w:color w:val="auto"/>
                <w:szCs w:val="21"/>
                <w:highlight w:val="none"/>
              </w:rPr>
            </w:pPr>
          </w:p>
        </w:tc>
        <w:tc>
          <w:tcPr>
            <w:tcW w:w="1440" w:type="dxa"/>
            <w:vMerge w:val="continue"/>
            <w:noWrap w:val="0"/>
            <w:vAlign w:val="top"/>
          </w:tcPr>
          <w:p w14:paraId="322450C9">
            <w:pPr>
              <w:rPr>
                <w:rFonts w:ascii="宋体" w:hAnsi="宋体"/>
                <w:strike/>
                <w:color w:val="auto"/>
                <w:szCs w:val="21"/>
                <w:highlight w:val="none"/>
              </w:rPr>
            </w:pPr>
          </w:p>
        </w:tc>
        <w:tc>
          <w:tcPr>
            <w:tcW w:w="2340" w:type="dxa"/>
            <w:noWrap w:val="0"/>
            <w:vAlign w:val="top"/>
          </w:tcPr>
          <w:p w14:paraId="37824398">
            <w:pPr>
              <w:rPr>
                <w:rFonts w:ascii="宋体" w:hAnsi="宋体"/>
                <w:strike/>
                <w:color w:val="auto"/>
                <w:szCs w:val="21"/>
                <w:highlight w:val="none"/>
              </w:rPr>
            </w:pPr>
          </w:p>
        </w:tc>
      </w:tr>
      <w:tr w14:paraId="61C2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463E9005">
            <w:pPr>
              <w:jc w:val="center"/>
              <w:rPr>
                <w:rFonts w:ascii="宋体" w:hAnsi="宋体"/>
                <w:strike/>
                <w:color w:val="auto"/>
                <w:szCs w:val="21"/>
                <w:highlight w:val="none"/>
              </w:rPr>
            </w:pPr>
            <w:r>
              <w:rPr>
                <w:rFonts w:hint="eastAsia" w:ascii="宋体" w:hAnsi="宋体"/>
                <w:strike/>
                <w:color w:val="auto"/>
                <w:szCs w:val="21"/>
                <w:highlight w:val="none"/>
              </w:rPr>
              <w:t>9</w:t>
            </w:r>
          </w:p>
        </w:tc>
        <w:tc>
          <w:tcPr>
            <w:tcW w:w="3780" w:type="dxa"/>
            <w:noWrap w:val="0"/>
            <w:vAlign w:val="top"/>
          </w:tcPr>
          <w:p w14:paraId="51271196">
            <w:pPr>
              <w:rPr>
                <w:rFonts w:ascii="宋体" w:hAnsi="宋体"/>
                <w:strike/>
                <w:color w:val="auto"/>
                <w:szCs w:val="21"/>
                <w:highlight w:val="none"/>
              </w:rPr>
            </w:pPr>
          </w:p>
        </w:tc>
        <w:tc>
          <w:tcPr>
            <w:tcW w:w="1440" w:type="dxa"/>
            <w:vMerge w:val="continue"/>
            <w:noWrap w:val="0"/>
            <w:vAlign w:val="top"/>
          </w:tcPr>
          <w:p w14:paraId="6BE29950">
            <w:pPr>
              <w:rPr>
                <w:rFonts w:ascii="宋体" w:hAnsi="宋体"/>
                <w:strike/>
                <w:color w:val="auto"/>
                <w:szCs w:val="21"/>
                <w:highlight w:val="none"/>
              </w:rPr>
            </w:pPr>
          </w:p>
        </w:tc>
        <w:tc>
          <w:tcPr>
            <w:tcW w:w="2340" w:type="dxa"/>
            <w:noWrap w:val="0"/>
            <w:vAlign w:val="top"/>
          </w:tcPr>
          <w:p w14:paraId="57FC7372">
            <w:pPr>
              <w:rPr>
                <w:rFonts w:ascii="宋体" w:hAnsi="宋体"/>
                <w:strike/>
                <w:color w:val="auto"/>
                <w:szCs w:val="21"/>
                <w:highlight w:val="none"/>
              </w:rPr>
            </w:pPr>
          </w:p>
        </w:tc>
      </w:tr>
      <w:tr w14:paraId="66D4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640AE6EC">
            <w:pPr>
              <w:jc w:val="center"/>
              <w:rPr>
                <w:rFonts w:ascii="宋体" w:hAnsi="宋体"/>
                <w:strike/>
                <w:color w:val="auto"/>
                <w:szCs w:val="21"/>
                <w:highlight w:val="none"/>
              </w:rPr>
            </w:pPr>
          </w:p>
        </w:tc>
        <w:tc>
          <w:tcPr>
            <w:tcW w:w="3780" w:type="dxa"/>
            <w:noWrap w:val="0"/>
            <w:vAlign w:val="top"/>
          </w:tcPr>
          <w:p w14:paraId="55F73FAD">
            <w:pPr>
              <w:rPr>
                <w:rFonts w:ascii="宋体" w:hAnsi="宋体"/>
                <w:strike/>
                <w:color w:val="auto"/>
                <w:szCs w:val="21"/>
                <w:highlight w:val="none"/>
              </w:rPr>
            </w:pPr>
          </w:p>
        </w:tc>
        <w:tc>
          <w:tcPr>
            <w:tcW w:w="1440" w:type="dxa"/>
            <w:vMerge w:val="continue"/>
            <w:noWrap w:val="0"/>
            <w:vAlign w:val="top"/>
          </w:tcPr>
          <w:p w14:paraId="29AA4A4C">
            <w:pPr>
              <w:rPr>
                <w:rFonts w:ascii="宋体" w:hAnsi="宋体"/>
                <w:strike/>
                <w:color w:val="auto"/>
                <w:szCs w:val="21"/>
                <w:highlight w:val="none"/>
              </w:rPr>
            </w:pPr>
          </w:p>
        </w:tc>
        <w:tc>
          <w:tcPr>
            <w:tcW w:w="2340" w:type="dxa"/>
            <w:noWrap w:val="0"/>
            <w:vAlign w:val="top"/>
          </w:tcPr>
          <w:p w14:paraId="3EFEFC83">
            <w:pPr>
              <w:rPr>
                <w:rFonts w:ascii="宋体" w:hAnsi="宋体"/>
                <w:strike/>
                <w:color w:val="auto"/>
                <w:szCs w:val="21"/>
                <w:highlight w:val="none"/>
              </w:rPr>
            </w:pPr>
          </w:p>
        </w:tc>
      </w:tr>
      <w:tr w14:paraId="206C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672D8B91">
            <w:pPr>
              <w:jc w:val="center"/>
              <w:rPr>
                <w:rFonts w:ascii="宋体" w:hAnsi="宋体"/>
                <w:strike/>
                <w:color w:val="auto"/>
                <w:szCs w:val="21"/>
                <w:highlight w:val="none"/>
              </w:rPr>
            </w:pPr>
          </w:p>
        </w:tc>
        <w:tc>
          <w:tcPr>
            <w:tcW w:w="3780" w:type="dxa"/>
            <w:noWrap w:val="0"/>
            <w:vAlign w:val="top"/>
          </w:tcPr>
          <w:p w14:paraId="37D8A2FA">
            <w:pPr>
              <w:rPr>
                <w:rFonts w:ascii="宋体" w:hAnsi="宋体"/>
                <w:strike/>
                <w:color w:val="auto"/>
                <w:szCs w:val="21"/>
                <w:highlight w:val="none"/>
              </w:rPr>
            </w:pPr>
          </w:p>
        </w:tc>
        <w:tc>
          <w:tcPr>
            <w:tcW w:w="1440" w:type="dxa"/>
            <w:vMerge w:val="continue"/>
            <w:noWrap w:val="0"/>
            <w:vAlign w:val="top"/>
          </w:tcPr>
          <w:p w14:paraId="236AAF2C">
            <w:pPr>
              <w:rPr>
                <w:rFonts w:ascii="宋体" w:hAnsi="宋体"/>
                <w:strike/>
                <w:color w:val="auto"/>
                <w:szCs w:val="21"/>
                <w:highlight w:val="none"/>
              </w:rPr>
            </w:pPr>
          </w:p>
        </w:tc>
        <w:tc>
          <w:tcPr>
            <w:tcW w:w="2340" w:type="dxa"/>
            <w:noWrap w:val="0"/>
            <w:vAlign w:val="top"/>
          </w:tcPr>
          <w:p w14:paraId="2FE2D3BE">
            <w:pPr>
              <w:rPr>
                <w:rFonts w:ascii="宋体" w:hAnsi="宋体"/>
                <w:strike/>
                <w:color w:val="auto"/>
                <w:szCs w:val="21"/>
                <w:highlight w:val="none"/>
              </w:rPr>
            </w:pPr>
          </w:p>
        </w:tc>
      </w:tr>
      <w:tr w14:paraId="3FA8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11C8D650">
            <w:pPr>
              <w:jc w:val="center"/>
              <w:rPr>
                <w:rFonts w:ascii="宋体" w:hAnsi="宋体"/>
                <w:strike/>
                <w:color w:val="auto"/>
                <w:szCs w:val="21"/>
                <w:highlight w:val="none"/>
              </w:rPr>
            </w:pPr>
          </w:p>
        </w:tc>
        <w:tc>
          <w:tcPr>
            <w:tcW w:w="3780" w:type="dxa"/>
            <w:noWrap w:val="0"/>
            <w:vAlign w:val="top"/>
          </w:tcPr>
          <w:p w14:paraId="11630F39">
            <w:pPr>
              <w:rPr>
                <w:rFonts w:ascii="宋体" w:hAnsi="宋体"/>
                <w:strike/>
                <w:color w:val="auto"/>
                <w:szCs w:val="21"/>
                <w:highlight w:val="none"/>
              </w:rPr>
            </w:pPr>
          </w:p>
        </w:tc>
        <w:tc>
          <w:tcPr>
            <w:tcW w:w="1440" w:type="dxa"/>
            <w:vMerge w:val="continue"/>
            <w:noWrap w:val="0"/>
            <w:vAlign w:val="top"/>
          </w:tcPr>
          <w:p w14:paraId="0AD89EB2">
            <w:pPr>
              <w:rPr>
                <w:rFonts w:ascii="宋体" w:hAnsi="宋体"/>
                <w:strike/>
                <w:color w:val="auto"/>
                <w:szCs w:val="21"/>
                <w:highlight w:val="none"/>
              </w:rPr>
            </w:pPr>
          </w:p>
        </w:tc>
        <w:tc>
          <w:tcPr>
            <w:tcW w:w="2340" w:type="dxa"/>
            <w:noWrap w:val="0"/>
            <w:vAlign w:val="top"/>
          </w:tcPr>
          <w:p w14:paraId="47C727D2">
            <w:pPr>
              <w:rPr>
                <w:rFonts w:ascii="宋体" w:hAnsi="宋体"/>
                <w:strike/>
                <w:color w:val="auto"/>
                <w:szCs w:val="21"/>
                <w:highlight w:val="none"/>
              </w:rPr>
            </w:pPr>
          </w:p>
        </w:tc>
      </w:tr>
    </w:tbl>
    <w:p w14:paraId="71F99C7A">
      <w:pPr>
        <w:rPr>
          <w:rFonts w:hint="eastAsia" w:ascii="宋体" w:hAnsi="宋体"/>
          <w:b/>
          <w:strike/>
          <w:color w:val="auto"/>
          <w:szCs w:val="21"/>
          <w:highlight w:val="none"/>
        </w:rPr>
      </w:pPr>
    </w:p>
    <w:p w14:paraId="0500D2CF">
      <w:pPr>
        <w:rPr>
          <w:rFonts w:ascii="宋体" w:hAnsi="宋体"/>
          <w:b/>
          <w:strike/>
          <w:color w:val="auto"/>
          <w:szCs w:val="21"/>
          <w:highlight w:val="none"/>
        </w:rPr>
      </w:pPr>
      <w:r>
        <w:rPr>
          <w:rFonts w:hint="eastAsia" w:ascii="宋体" w:hAnsi="宋体"/>
          <w:b/>
          <w:strike/>
          <w:color w:val="auto"/>
          <w:szCs w:val="21"/>
          <w:highlight w:val="none"/>
        </w:rPr>
        <w:t>注：1.</w:t>
      </w:r>
      <w:r>
        <w:rPr>
          <w:rFonts w:ascii="宋体" w:hAnsi="宋体"/>
          <w:b/>
          <w:strike/>
          <w:color w:val="auto"/>
          <w:szCs w:val="21"/>
          <w:highlight w:val="none"/>
        </w:rPr>
        <w:t xml:space="preserve"> 本表用于确定</w:t>
      </w:r>
      <w:r>
        <w:rPr>
          <w:rFonts w:hint="eastAsia" w:ascii="宋体" w:hAnsi="宋体"/>
          <w:b/>
          <w:strike/>
          <w:color w:val="auto"/>
          <w:szCs w:val="21"/>
          <w:highlight w:val="none"/>
        </w:rPr>
        <w:t>诚信得分。</w:t>
      </w:r>
    </w:p>
    <w:p w14:paraId="0A9E36C9">
      <w:pPr>
        <w:ind w:firstLine="527" w:firstLineChars="250"/>
        <w:rPr>
          <w:rFonts w:ascii="宋体" w:hAnsi="宋体"/>
          <w:b/>
          <w:strike/>
          <w:color w:val="auto"/>
          <w:szCs w:val="21"/>
          <w:highlight w:val="none"/>
        </w:rPr>
      </w:pPr>
      <w:r>
        <w:rPr>
          <w:rFonts w:hint="eastAsia" w:ascii="宋体" w:hAnsi="宋体"/>
          <w:b/>
          <w:strike/>
          <w:color w:val="auto"/>
          <w:szCs w:val="21"/>
          <w:highlight w:val="none"/>
        </w:rPr>
        <w:t>2.未能通过初步评审的投标人不得在本表中列出。</w:t>
      </w:r>
    </w:p>
    <w:p w14:paraId="6E69E365">
      <w:pPr>
        <w:ind w:firstLine="527" w:firstLineChars="250"/>
        <w:rPr>
          <w:rFonts w:ascii="宋体" w:hAnsi="宋体"/>
          <w:b/>
          <w:strike/>
          <w:color w:val="auto"/>
          <w:szCs w:val="21"/>
          <w:highlight w:val="none"/>
        </w:rPr>
      </w:pPr>
      <w:r>
        <w:rPr>
          <w:rFonts w:hint="eastAsia" w:ascii="宋体" w:hAnsi="宋体"/>
          <w:b/>
          <w:strike/>
          <w:color w:val="auto"/>
          <w:szCs w:val="21"/>
          <w:highlight w:val="none"/>
        </w:rPr>
        <w:t>3.投标人在本表中的排列：按照《开标记录表》中的“序号”从小到大排列。</w:t>
      </w:r>
    </w:p>
    <w:p w14:paraId="7EBA1B37">
      <w:pPr>
        <w:ind w:firstLine="525" w:firstLineChars="250"/>
        <w:rPr>
          <w:rFonts w:ascii="宋体" w:hAnsi="宋体"/>
          <w:strike/>
          <w:color w:val="auto"/>
          <w:szCs w:val="21"/>
          <w:highlight w:val="none"/>
        </w:rPr>
      </w:pPr>
    </w:p>
    <w:p w14:paraId="7C86BFA3">
      <w:pPr>
        <w:rPr>
          <w:rFonts w:ascii="宋体" w:hAnsi="宋体"/>
          <w:strike/>
          <w:color w:val="auto"/>
          <w:kern w:val="0"/>
          <w:highlight w:val="none"/>
        </w:rPr>
        <w:sectPr>
          <w:pgSz w:w="11906" w:h="16838"/>
          <w:pgMar w:top="1440" w:right="1800" w:bottom="1440" w:left="1800" w:header="851" w:footer="992" w:gutter="0"/>
          <w:cols w:space="720" w:num="1"/>
          <w:docGrid w:type="lines" w:linePitch="312" w:charSpace="0"/>
        </w:sectPr>
      </w:pPr>
      <w:r>
        <w:rPr>
          <w:rFonts w:hint="eastAsia" w:ascii="宋体" w:hAnsi="宋体"/>
          <w:strike/>
          <w:color w:val="auto"/>
          <w:szCs w:val="21"/>
          <w:highlight w:val="none"/>
        </w:rPr>
        <w:t xml:space="preserve">评标委员会全体评委签名：                                   </w:t>
      </w:r>
      <w:r>
        <w:rPr>
          <w:rFonts w:hint="eastAsia" w:ascii="宋体" w:hAnsi="宋体"/>
          <w:strike/>
          <w:color w:val="auto"/>
          <w:kern w:val="0"/>
          <w:highlight w:val="none"/>
        </w:rPr>
        <w:t>日期：   年   月  日</w:t>
      </w:r>
    </w:p>
    <w:p w14:paraId="1B2E0FA2">
      <w:pPr>
        <w:spacing w:line="360" w:lineRule="auto"/>
        <w:jc w:val="left"/>
        <w:outlineLvl w:val="2"/>
        <w:rPr>
          <w:rFonts w:ascii="宋体" w:hAnsi="宋体"/>
          <w:color w:val="auto"/>
          <w:sz w:val="28"/>
          <w:szCs w:val="27"/>
          <w:highlight w:val="none"/>
        </w:rPr>
      </w:pPr>
      <w:bookmarkStart w:id="267" w:name="_Toc180758576"/>
      <w:bookmarkStart w:id="268" w:name="_Toc115179791"/>
      <w:r>
        <w:rPr>
          <w:rFonts w:hint="eastAsia" w:ascii="宋体" w:hAnsi="宋体"/>
          <w:color w:val="auto"/>
          <w:sz w:val="28"/>
          <w:szCs w:val="27"/>
          <w:highlight w:val="none"/>
        </w:rPr>
        <w:t>附表8：综合评估得分及排序表（格式）</w:t>
      </w:r>
      <w:bookmarkEnd w:id="267"/>
      <w:bookmarkEnd w:id="268"/>
    </w:p>
    <w:p w14:paraId="56CB755B">
      <w:pPr>
        <w:jc w:val="center"/>
        <w:rPr>
          <w:rFonts w:ascii="宋体" w:hAnsi="宋体"/>
          <w:b/>
          <w:color w:val="auto"/>
          <w:sz w:val="28"/>
          <w:szCs w:val="28"/>
          <w:highlight w:val="none"/>
        </w:rPr>
      </w:pPr>
      <w:r>
        <w:rPr>
          <w:rFonts w:hint="eastAsia" w:ascii="宋体" w:hAnsi="宋体"/>
          <w:b/>
          <w:color w:val="auto"/>
          <w:sz w:val="28"/>
          <w:szCs w:val="28"/>
          <w:highlight w:val="none"/>
        </w:rPr>
        <w:t>综合评估得分及排序表</w:t>
      </w:r>
    </w:p>
    <w:p w14:paraId="7A97380F">
      <w:pPr>
        <w:jc w:val="center"/>
        <w:rPr>
          <w:rFonts w:ascii="宋体" w:hAnsi="宋体"/>
          <w:b/>
          <w:color w:val="auto"/>
          <w:szCs w:val="21"/>
          <w:highlight w:val="none"/>
        </w:rPr>
      </w:pPr>
      <w:r>
        <w:rPr>
          <w:rFonts w:hint="eastAsia" w:ascii="宋体" w:hAnsi="宋体"/>
          <w:b/>
          <w:color w:val="auto"/>
          <w:szCs w:val="21"/>
          <w:highlight w:val="none"/>
        </w:rPr>
        <w:t>（注：适用于综合评标法）</w:t>
      </w:r>
    </w:p>
    <w:p w14:paraId="1375DEF2">
      <w:pPr>
        <w:rPr>
          <w:rFonts w:ascii="宋体" w:hAnsi="宋体"/>
          <w:color w:val="auto"/>
          <w:highlight w:val="none"/>
        </w:rPr>
      </w:pPr>
      <w:r>
        <w:rPr>
          <w:rFonts w:hint="eastAsia" w:ascii="宋体" w:hAnsi="宋体"/>
          <w:color w:val="auto"/>
          <w:highlight w:val="none"/>
        </w:rPr>
        <w:t>项目编号：</w:t>
      </w:r>
    </w:p>
    <w:p w14:paraId="61358380">
      <w:pPr>
        <w:rPr>
          <w:rFonts w:ascii="宋体" w:hAnsi="宋体"/>
          <w:color w:val="auto"/>
          <w:highlight w:val="none"/>
        </w:rPr>
      </w:pPr>
      <w:r>
        <w:rPr>
          <w:rFonts w:hint="eastAsia" w:ascii="宋体" w:hAnsi="宋体"/>
          <w:color w:val="auto"/>
          <w:highlight w:val="none"/>
        </w:rPr>
        <w:t>项目名称：</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701"/>
        <w:gridCol w:w="1110"/>
        <w:gridCol w:w="1054"/>
        <w:gridCol w:w="1034"/>
        <w:gridCol w:w="1160"/>
        <w:gridCol w:w="850"/>
        <w:gridCol w:w="850"/>
      </w:tblGrid>
      <w:tr w14:paraId="3A54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50" w:type="dxa"/>
            <w:noWrap w:val="0"/>
            <w:vAlign w:val="center"/>
          </w:tcPr>
          <w:p w14:paraId="4393D2B3">
            <w:pPr>
              <w:jc w:val="center"/>
              <w:rPr>
                <w:rFonts w:ascii="宋体" w:hAnsi="宋体"/>
                <w:color w:val="auto"/>
                <w:sz w:val="18"/>
                <w:szCs w:val="18"/>
                <w:highlight w:val="none"/>
              </w:rPr>
            </w:pPr>
            <w:r>
              <w:rPr>
                <w:rFonts w:hint="eastAsia" w:ascii="宋体" w:hAnsi="宋体"/>
                <w:color w:val="auto"/>
                <w:sz w:val="18"/>
                <w:szCs w:val="18"/>
                <w:highlight w:val="none"/>
              </w:rPr>
              <w:t>序号</w:t>
            </w:r>
          </w:p>
        </w:tc>
        <w:tc>
          <w:tcPr>
            <w:tcW w:w="1701" w:type="dxa"/>
            <w:noWrap w:val="0"/>
            <w:vAlign w:val="center"/>
          </w:tcPr>
          <w:p w14:paraId="27617A60">
            <w:pPr>
              <w:jc w:val="center"/>
              <w:rPr>
                <w:rFonts w:ascii="宋体" w:hAnsi="宋体"/>
                <w:color w:val="auto"/>
                <w:sz w:val="18"/>
                <w:szCs w:val="18"/>
                <w:highlight w:val="none"/>
              </w:rPr>
            </w:pPr>
            <w:r>
              <w:rPr>
                <w:rFonts w:hint="eastAsia" w:ascii="宋体" w:hAnsi="宋体"/>
                <w:color w:val="auto"/>
                <w:sz w:val="18"/>
                <w:szCs w:val="18"/>
                <w:highlight w:val="none"/>
              </w:rPr>
              <w:t>投标人名称</w:t>
            </w:r>
          </w:p>
        </w:tc>
        <w:tc>
          <w:tcPr>
            <w:tcW w:w="1110" w:type="dxa"/>
            <w:noWrap w:val="0"/>
            <w:vAlign w:val="center"/>
          </w:tcPr>
          <w:p w14:paraId="7473141A">
            <w:pPr>
              <w:jc w:val="center"/>
              <w:rPr>
                <w:rFonts w:ascii="宋体" w:hAnsi="宋体"/>
                <w:color w:val="auto"/>
                <w:sz w:val="18"/>
                <w:szCs w:val="18"/>
                <w:highlight w:val="none"/>
              </w:rPr>
            </w:pPr>
            <w:r>
              <w:rPr>
                <w:rFonts w:hint="eastAsia" w:ascii="宋体" w:hAnsi="宋体"/>
                <w:color w:val="auto"/>
                <w:sz w:val="18"/>
                <w:szCs w:val="18"/>
                <w:highlight w:val="none"/>
              </w:rPr>
              <w:t>技术部分</w:t>
            </w:r>
          </w:p>
          <w:p w14:paraId="014283B4">
            <w:pPr>
              <w:jc w:val="center"/>
              <w:rPr>
                <w:rFonts w:ascii="宋体" w:hAnsi="宋体"/>
                <w:color w:val="auto"/>
                <w:sz w:val="18"/>
                <w:szCs w:val="18"/>
                <w:highlight w:val="none"/>
              </w:rPr>
            </w:pPr>
            <w:r>
              <w:rPr>
                <w:rFonts w:hint="eastAsia" w:ascii="宋体" w:hAnsi="宋体"/>
                <w:color w:val="auto"/>
                <w:sz w:val="18"/>
                <w:szCs w:val="18"/>
                <w:highlight w:val="none"/>
              </w:rPr>
              <w:t>得分</w:t>
            </w:r>
          </w:p>
          <w:p w14:paraId="4EFFCFF2">
            <w:pPr>
              <w:jc w:val="center"/>
              <w:rPr>
                <w:rFonts w:hint="eastAsia" w:ascii="宋体" w:hAnsi="宋体"/>
                <w:color w:val="auto"/>
                <w:sz w:val="18"/>
                <w:szCs w:val="18"/>
                <w:highlight w:val="none"/>
              </w:rPr>
            </w:pPr>
            <w:r>
              <w:rPr>
                <w:rFonts w:hint="eastAsia" w:ascii="宋体" w:hAnsi="宋体"/>
                <w:color w:val="auto"/>
                <w:sz w:val="18"/>
                <w:szCs w:val="18"/>
                <w:highlight w:val="none"/>
              </w:rPr>
              <w:t>（权重</w:t>
            </w:r>
            <w:r>
              <w:rPr>
                <w:rFonts w:ascii="宋体" w:hAnsi="宋体"/>
                <w:color w:val="auto"/>
                <w:sz w:val="18"/>
                <w:szCs w:val="18"/>
                <w:highlight w:val="none"/>
              </w:rPr>
              <w:t>：</w:t>
            </w:r>
            <w:r>
              <w:rPr>
                <w:rFonts w:hint="eastAsia" w:ascii="宋体" w:hAnsi="宋体"/>
                <w:color w:val="auto"/>
                <w:sz w:val="18"/>
                <w:szCs w:val="18"/>
                <w:highlight w:val="none"/>
              </w:rPr>
              <w:t>）</w:t>
            </w:r>
          </w:p>
        </w:tc>
        <w:tc>
          <w:tcPr>
            <w:tcW w:w="1054" w:type="dxa"/>
            <w:noWrap w:val="0"/>
            <w:vAlign w:val="center"/>
          </w:tcPr>
          <w:p w14:paraId="5353B9DF">
            <w:pPr>
              <w:jc w:val="center"/>
              <w:rPr>
                <w:rFonts w:ascii="宋体" w:hAnsi="宋体"/>
                <w:color w:val="auto"/>
                <w:sz w:val="18"/>
                <w:szCs w:val="18"/>
                <w:highlight w:val="none"/>
              </w:rPr>
            </w:pPr>
            <w:r>
              <w:rPr>
                <w:rFonts w:hint="eastAsia" w:ascii="宋体" w:hAnsi="宋体"/>
                <w:color w:val="auto"/>
                <w:sz w:val="18"/>
                <w:szCs w:val="18"/>
                <w:highlight w:val="none"/>
              </w:rPr>
              <w:t>商务部分</w:t>
            </w:r>
          </w:p>
          <w:p w14:paraId="7F6910D2">
            <w:pPr>
              <w:jc w:val="center"/>
              <w:rPr>
                <w:rFonts w:ascii="宋体" w:hAnsi="宋体"/>
                <w:color w:val="auto"/>
                <w:sz w:val="18"/>
                <w:szCs w:val="18"/>
                <w:highlight w:val="none"/>
              </w:rPr>
            </w:pPr>
            <w:r>
              <w:rPr>
                <w:rFonts w:hint="eastAsia" w:ascii="宋体" w:hAnsi="宋体"/>
                <w:color w:val="auto"/>
                <w:sz w:val="18"/>
                <w:szCs w:val="18"/>
                <w:highlight w:val="none"/>
              </w:rPr>
              <w:t>得分</w:t>
            </w:r>
          </w:p>
          <w:p w14:paraId="3912895D">
            <w:pPr>
              <w:jc w:val="center"/>
              <w:rPr>
                <w:rFonts w:ascii="宋体" w:hAnsi="宋体"/>
                <w:color w:val="auto"/>
                <w:sz w:val="18"/>
                <w:szCs w:val="18"/>
                <w:highlight w:val="none"/>
              </w:rPr>
            </w:pPr>
            <w:r>
              <w:rPr>
                <w:rFonts w:hint="eastAsia" w:ascii="宋体" w:hAnsi="宋体"/>
                <w:color w:val="auto"/>
                <w:sz w:val="18"/>
                <w:szCs w:val="18"/>
                <w:highlight w:val="none"/>
              </w:rPr>
              <w:t>（权重</w:t>
            </w:r>
            <w:r>
              <w:rPr>
                <w:rFonts w:ascii="宋体" w:hAnsi="宋体"/>
                <w:color w:val="auto"/>
                <w:sz w:val="18"/>
                <w:szCs w:val="18"/>
                <w:highlight w:val="none"/>
              </w:rPr>
              <w:t>：</w:t>
            </w:r>
            <w:r>
              <w:rPr>
                <w:rFonts w:hint="eastAsia" w:ascii="宋体" w:hAnsi="宋体"/>
                <w:color w:val="auto"/>
                <w:sz w:val="18"/>
                <w:szCs w:val="18"/>
                <w:highlight w:val="none"/>
              </w:rPr>
              <w:t>）</w:t>
            </w:r>
          </w:p>
        </w:tc>
        <w:tc>
          <w:tcPr>
            <w:tcW w:w="1034" w:type="dxa"/>
            <w:noWrap w:val="0"/>
            <w:vAlign w:val="center"/>
          </w:tcPr>
          <w:p w14:paraId="0E2660D4">
            <w:pPr>
              <w:jc w:val="center"/>
              <w:rPr>
                <w:rFonts w:ascii="宋体" w:hAnsi="宋体"/>
                <w:color w:val="auto"/>
                <w:sz w:val="18"/>
                <w:szCs w:val="18"/>
                <w:highlight w:val="none"/>
              </w:rPr>
            </w:pPr>
            <w:r>
              <w:rPr>
                <w:rFonts w:hint="eastAsia" w:ascii="宋体" w:hAnsi="宋体"/>
                <w:color w:val="auto"/>
                <w:sz w:val="18"/>
                <w:szCs w:val="18"/>
                <w:highlight w:val="none"/>
              </w:rPr>
              <w:t>投标报价</w:t>
            </w:r>
          </w:p>
          <w:p w14:paraId="437270A5">
            <w:pPr>
              <w:jc w:val="center"/>
              <w:rPr>
                <w:rFonts w:ascii="宋体" w:hAnsi="宋体"/>
                <w:color w:val="auto"/>
                <w:sz w:val="18"/>
                <w:szCs w:val="18"/>
                <w:highlight w:val="none"/>
              </w:rPr>
            </w:pPr>
            <w:r>
              <w:rPr>
                <w:rFonts w:hint="eastAsia" w:ascii="宋体" w:hAnsi="宋体"/>
                <w:color w:val="auto"/>
                <w:sz w:val="18"/>
                <w:szCs w:val="18"/>
                <w:highlight w:val="none"/>
              </w:rPr>
              <w:t>得分</w:t>
            </w:r>
          </w:p>
          <w:p w14:paraId="102620F6">
            <w:pPr>
              <w:jc w:val="center"/>
              <w:rPr>
                <w:rFonts w:ascii="宋体" w:hAnsi="宋体"/>
                <w:color w:val="auto"/>
                <w:sz w:val="18"/>
                <w:szCs w:val="18"/>
                <w:highlight w:val="none"/>
              </w:rPr>
            </w:pPr>
            <w:r>
              <w:rPr>
                <w:rFonts w:hint="eastAsia" w:ascii="宋体" w:hAnsi="宋体"/>
                <w:color w:val="auto"/>
                <w:sz w:val="18"/>
                <w:szCs w:val="18"/>
                <w:highlight w:val="none"/>
              </w:rPr>
              <w:t>（权重</w:t>
            </w:r>
            <w:r>
              <w:rPr>
                <w:rFonts w:ascii="宋体" w:hAnsi="宋体"/>
                <w:color w:val="auto"/>
                <w:sz w:val="18"/>
                <w:szCs w:val="18"/>
                <w:highlight w:val="none"/>
              </w:rPr>
              <w:t>：</w:t>
            </w:r>
            <w:r>
              <w:rPr>
                <w:rFonts w:hint="eastAsia" w:ascii="宋体" w:hAnsi="宋体"/>
                <w:color w:val="auto"/>
                <w:sz w:val="18"/>
                <w:szCs w:val="18"/>
                <w:highlight w:val="none"/>
              </w:rPr>
              <w:t>）</w:t>
            </w:r>
          </w:p>
        </w:tc>
        <w:tc>
          <w:tcPr>
            <w:tcW w:w="1160" w:type="dxa"/>
            <w:noWrap w:val="0"/>
            <w:vAlign w:val="center"/>
          </w:tcPr>
          <w:p w14:paraId="2D456977">
            <w:pPr>
              <w:jc w:val="center"/>
              <w:rPr>
                <w:rFonts w:ascii="宋体" w:hAnsi="宋体"/>
                <w:strike/>
                <w:color w:val="auto"/>
                <w:sz w:val="18"/>
                <w:szCs w:val="18"/>
                <w:highlight w:val="none"/>
              </w:rPr>
            </w:pPr>
            <w:r>
              <w:rPr>
                <w:rFonts w:hint="eastAsia" w:ascii="宋体" w:hAnsi="宋体"/>
                <w:strike/>
                <w:color w:val="auto"/>
                <w:sz w:val="18"/>
                <w:szCs w:val="18"/>
                <w:highlight w:val="none"/>
              </w:rPr>
              <w:t>诚信评价</w:t>
            </w:r>
          </w:p>
          <w:p w14:paraId="3D261E93">
            <w:pPr>
              <w:jc w:val="center"/>
              <w:rPr>
                <w:rFonts w:ascii="宋体" w:hAnsi="宋体"/>
                <w:strike/>
                <w:color w:val="auto"/>
                <w:sz w:val="18"/>
                <w:szCs w:val="18"/>
                <w:highlight w:val="none"/>
              </w:rPr>
            </w:pPr>
            <w:r>
              <w:rPr>
                <w:rFonts w:hint="eastAsia" w:ascii="宋体" w:hAnsi="宋体"/>
                <w:strike/>
                <w:color w:val="auto"/>
                <w:sz w:val="18"/>
                <w:szCs w:val="18"/>
                <w:highlight w:val="none"/>
              </w:rPr>
              <w:t>得分</w:t>
            </w:r>
          </w:p>
          <w:p w14:paraId="384AB5F3">
            <w:pPr>
              <w:rPr>
                <w:rFonts w:ascii="宋体" w:hAnsi="宋体"/>
                <w:color w:val="auto"/>
                <w:sz w:val="18"/>
                <w:szCs w:val="18"/>
                <w:highlight w:val="none"/>
              </w:rPr>
            </w:pPr>
            <w:r>
              <w:rPr>
                <w:rFonts w:hint="eastAsia" w:ascii="宋体" w:hAnsi="宋体"/>
                <w:strike/>
                <w:color w:val="auto"/>
                <w:sz w:val="18"/>
                <w:szCs w:val="18"/>
                <w:highlight w:val="none"/>
              </w:rPr>
              <w:t>（权重</w:t>
            </w:r>
            <w:r>
              <w:rPr>
                <w:rFonts w:ascii="宋体" w:hAnsi="宋体"/>
                <w:strike/>
                <w:color w:val="auto"/>
                <w:sz w:val="18"/>
                <w:szCs w:val="18"/>
                <w:highlight w:val="none"/>
              </w:rPr>
              <w:t>：</w:t>
            </w:r>
            <w:r>
              <w:rPr>
                <w:rFonts w:hint="eastAsia" w:ascii="宋体" w:hAnsi="宋体"/>
                <w:strike/>
                <w:color w:val="auto"/>
                <w:sz w:val="18"/>
                <w:szCs w:val="18"/>
                <w:highlight w:val="none"/>
              </w:rPr>
              <w:t>）</w:t>
            </w:r>
          </w:p>
        </w:tc>
        <w:tc>
          <w:tcPr>
            <w:tcW w:w="850" w:type="dxa"/>
            <w:noWrap w:val="0"/>
            <w:vAlign w:val="center"/>
          </w:tcPr>
          <w:p w14:paraId="7FC5B693">
            <w:pPr>
              <w:jc w:val="center"/>
              <w:rPr>
                <w:rFonts w:ascii="宋体" w:hAnsi="宋体"/>
                <w:color w:val="auto"/>
                <w:sz w:val="18"/>
                <w:szCs w:val="18"/>
                <w:highlight w:val="none"/>
              </w:rPr>
            </w:pPr>
            <w:r>
              <w:rPr>
                <w:rFonts w:hint="eastAsia" w:ascii="宋体" w:hAnsi="宋体"/>
                <w:color w:val="auto"/>
                <w:sz w:val="18"/>
                <w:szCs w:val="18"/>
                <w:highlight w:val="none"/>
              </w:rPr>
              <w:t>总</w:t>
            </w:r>
          </w:p>
          <w:p w14:paraId="489E656A">
            <w:pPr>
              <w:jc w:val="center"/>
              <w:rPr>
                <w:rFonts w:ascii="宋体" w:hAnsi="宋体"/>
                <w:color w:val="auto"/>
                <w:sz w:val="18"/>
                <w:szCs w:val="18"/>
                <w:highlight w:val="none"/>
              </w:rPr>
            </w:pPr>
            <w:r>
              <w:rPr>
                <w:rFonts w:hint="eastAsia" w:ascii="宋体" w:hAnsi="宋体"/>
                <w:color w:val="auto"/>
                <w:sz w:val="18"/>
                <w:szCs w:val="18"/>
                <w:highlight w:val="none"/>
              </w:rPr>
              <w:t>得分</w:t>
            </w:r>
          </w:p>
        </w:tc>
        <w:tc>
          <w:tcPr>
            <w:tcW w:w="850" w:type="dxa"/>
            <w:noWrap w:val="0"/>
            <w:vAlign w:val="center"/>
          </w:tcPr>
          <w:p w14:paraId="6F369DD6">
            <w:pPr>
              <w:jc w:val="center"/>
              <w:rPr>
                <w:rFonts w:ascii="宋体" w:hAnsi="宋体"/>
                <w:color w:val="auto"/>
                <w:sz w:val="18"/>
                <w:szCs w:val="18"/>
                <w:highlight w:val="none"/>
              </w:rPr>
            </w:pPr>
            <w:r>
              <w:rPr>
                <w:rFonts w:hint="eastAsia" w:ascii="宋体" w:hAnsi="宋体"/>
                <w:color w:val="auto"/>
                <w:szCs w:val="21"/>
                <w:highlight w:val="none"/>
              </w:rPr>
              <w:t>得分</w:t>
            </w:r>
            <w:r>
              <w:rPr>
                <w:rFonts w:hint="eastAsia" w:ascii="宋体" w:hAnsi="宋体"/>
                <w:color w:val="auto"/>
                <w:sz w:val="18"/>
                <w:szCs w:val="18"/>
                <w:highlight w:val="none"/>
              </w:rPr>
              <w:t>排序</w:t>
            </w:r>
          </w:p>
        </w:tc>
      </w:tr>
      <w:tr w14:paraId="1C0E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17D8D33B">
            <w:pPr>
              <w:spacing w:line="560" w:lineRule="exact"/>
              <w:jc w:val="center"/>
              <w:rPr>
                <w:rFonts w:ascii="宋体" w:hAnsi="宋体"/>
                <w:color w:val="auto"/>
                <w:szCs w:val="21"/>
                <w:highlight w:val="none"/>
              </w:rPr>
            </w:pPr>
          </w:p>
        </w:tc>
        <w:tc>
          <w:tcPr>
            <w:tcW w:w="1701" w:type="dxa"/>
            <w:noWrap w:val="0"/>
            <w:vAlign w:val="center"/>
          </w:tcPr>
          <w:p w14:paraId="30498A08">
            <w:pPr>
              <w:spacing w:line="560" w:lineRule="exact"/>
              <w:jc w:val="center"/>
              <w:rPr>
                <w:rFonts w:ascii="宋体" w:hAnsi="宋体"/>
                <w:color w:val="auto"/>
                <w:szCs w:val="21"/>
                <w:highlight w:val="none"/>
              </w:rPr>
            </w:pPr>
          </w:p>
        </w:tc>
        <w:tc>
          <w:tcPr>
            <w:tcW w:w="1110" w:type="dxa"/>
            <w:noWrap w:val="0"/>
            <w:vAlign w:val="center"/>
          </w:tcPr>
          <w:p w14:paraId="3FD1A708">
            <w:pPr>
              <w:spacing w:line="560" w:lineRule="exact"/>
              <w:jc w:val="center"/>
              <w:rPr>
                <w:rFonts w:ascii="宋体" w:hAnsi="宋体"/>
                <w:color w:val="auto"/>
                <w:szCs w:val="21"/>
                <w:highlight w:val="none"/>
              </w:rPr>
            </w:pPr>
          </w:p>
        </w:tc>
        <w:tc>
          <w:tcPr>
            <w:tcW w:w="1054" w:type="dxa"/>
            <w:noWrap w:val="0"/>
            <w:vAlign w:val="center"/>
          </w:tcPr>
          <w:p w14:paraId="24691799">
            <w:pPr>
              <w:spacing w:line="560" w:lineRule="exact"/>
              <w:jc w:val="center"/>
              <w:rPr>
                <w:rFonts w:ascii="宋体" w:hAnsi="宋体"/>
                <w:color w:val="auto"/>
                <w:szCs w:val="21"/>
                <w:highlight w:val="none"/>
              </w:rPr>
            </w:pPr>
          </w:p>
        </w:tc>
        <w:tc>
          <w:tcPr>
            <w:tcW w:w="1034" w:type="dxa"/>
            <w:noWrap w:val="0"/>
            <w:vAlign w:val="center"/>
          </w:tcPr>
          <w:p w14:paraId="7D5EB92D">
            <w:pPr>
              <w:spacing w:line="560" w:lineRule="exact"/>
              <w:jc w:val="center"/>
              <w:rPr>
                <w:rFonts w:ascii="宋体" w:hAnsi="宋体"/>
                <w:color w:val="auto"/>
                <w:szCs w:val="21"/>
                <w:highlight w:val="none"/>
              </w:rPr>
            </w:pPr>
          </w:p>
        </w:tc>
        <w:tc>
          <w:tcPr>
            <w:tcW w:w="1160" w:type="dxa"/>
            <w:noWrap w:val="0"/>
            <w:vAlign w:val="center"/>
          </w:tcPr>
          <w:p w14:paraId="07484776">
            <w:pPr>
              <w:spacing w:line="560" w:lineRule="exact"/>
              <w:jc w:val="center"/>
              <w:rPr>
                <w:rFonts w:ascii="宋体" w:hAnsi="宋体"/>
                <w:color w:val="auto"/>
                <w:szCs w:val="21"/>
                <w:highlight w:val="none"/>
              </w:rPr>
            </w:pPr>
          </w:p>
        </w:tc>
        <w:tc>
          <w:tcPr>
            <w:tcW w:w="850" w:type="dxa"/>
            <w:noWrap w:val="0"/>
            <w:vAlign w:val="center"/>
          </w:tcPr>
          <w:p w14:paraId="1D66675D">
            <w:pPr>
              <w:spacing w:line="560" w:lineRule="exact"/>
              <w:jc w:val="center"/>
              <w:rPr>
                <w:rFonts w:ascii="宋体" w:hAnsi="宋体"/>
                <w:color w:val="auto"/>
                <w:szCs w:val="21"/>
                <w:highlight w:val="none"/>
              </w:rPr>
            </w:pPr>
          </w:p>
        </w:tc>
        <w:tc>
          <w:tcPr>
            <w:tcW w:w="850" w:type="dxa"/>
            <w:noWrap w:val="0"/>
            <w:vAlign w:val="center"/>
          </w:tcPr>
          <w:p w14:paraId="2749A752">
            <w:pPr>
              <w:spacing w:line="560" w:lineRule="exact"/>
              <w:jc w:val="center"/>
              <w:rPr>
                <w:rFonts w:ascii="宋体" w:hAnsi="宋体"/>
                <w:color w:val="auto"/>
                <w:szCs w:val="21"/>
                <w:highlight w:val="none"/>
              </w:rPr>
            </w:pPr>
          </w:p>
        </w:tc>
      </w:tr>
      <w:tr w14:paraId="7E33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269612CD">
            <w:pPr>
              <w:spacing w:line="560" w:lineRule="exact"/>
              <w:jc w:val="center"/>
              <w:rPr>
                <w:rFonts w:ascii="宋体" w:hAnsi="宋体"/>
                <w:color w:val="auto"/>
                <w:szCs w:val="21"/>
                <w:highlight w:val="none"/>
              </w:rPr>
            </w:pPr>
          </w:p>
        </w:tc>
        <w:tc>
          <w:tcPr>
            <w:tcW w:w="1701" w:type="dxa"/>
            <w:noWrap w:val="0"/>
            <w:vAlign w:val="center"/>
          </w:tcPr>
          <w:p w14:paraId="2F52DBA6">
            <w:pPr>
              <w:spacing w:line="560" w:lineRule="exact"/>
              <w:jc w:val="center"/>
              <w:rPr>
                <w:rFonts w:ascii="宋体" w:hAnsi="宋体"/>
                <w:color w:val="auto"/>
                <w:szCs w:val="21"/>
                <w:highlight w:val="none"/>
              </w:rPr>
            </w:pPr>
          </w:p>
        </w:tc>
        <w:tc>
          <w:tcPr>
            <w:tcW w:w="1110" w:type="dxa"/>
            <w:noWrap w:val="0"/>
            <w:vAlign w:val="center"/>
          </w:tcPr>
          <w:p w14:paraId="3DAF8456">
            <w:pPr>
              <w:spacing w:line="560" w:lineRule="exact"/>
              <w:jc w:val="center"/>
              <w:rPr>
                <w:rFonts w:ascii="宋体" w:hAnsi="宋体"/>
                <w:color w:val="auto"/>
                <w:szCs w:val="21"/>
                <w:highlight w:val="none"/>
              </w:rPr>
            </w:pPr>
          </w:p>
        </w:tc>
        <w:tc>
          <w:tcPr>
            <w:tcW w:w="1054" w:type="dxa"/>
            <w:noWrap w:val="0"/>
            <w:vAlign w:val="center"/>
          </w:tcPr>
          <w:p w14:paraId="51516B02">
            <w:pPr>
              <w:spacing w:line="560" w:lineRule="exact"/>
              <w:jc w:val="center"/>
              <w:rPr>
                <w:rFonts w:ascii="宋体" w:hAnsi="宋体"/>
                <w:color w:val="auto"/>
                <w:szCs w:val="21"/>
                <w:highlight w:val="none"/>
              </w:rPr>
            </w:pPr>
          </w:p>
        </w:tc>
        <w:tc>
          <w:tcPr>
            <w:tcW w:w="1034" w:type="dxa"/>
            <w:noWrap w:val="0"/>
            <w:vAlign w:val="center"/>
          </w:tcPr>
          <w:p w14:paraId="7B56AFB4">
            <w:pPr>
              <w:spacing w:line="560" w:lineRule="exact"/>
              <w:jc w:val="center"/>
              <w:rPr>
                <w:rFonts w:ascii="宋体" w:hAnsi="宋体"/>
                <w:color w:val="auto"/>
                <w:szCs w:val="21"/>
                <w:highlight w:val="none"/>
              </w:rPr>
            </w:pPr>
          </w:p>
        </w:tc>
        <w:tc>
          <w:tcPr>
            <w:tcW w:w="1160" w:type="dxa"/>
            <w:noWrap w:val="0"/>
            <w:vAlign w:val="center"/>
          </w:tcPr>
          <w:p w14:paraId="3845B1CA">
            <w:pPr>
              <w:spacing w:line="560" w:lineRule="exact"/>
              <w:jc w:val="center"/>
              <w:rPr>
                <w:rFonts w:ascii="宋体" w:hAnsi="宋体"/>
                <w:color w:val="auto"/>
                <w:szCs w:val="21"/>
                <w:highlight w:val="none"/>
              </w:rPr>
            </w:pPr>
          </w:p>
        </w:tc>
        <w:tc>
          <w:tcPr>
            <w:tcW w:w="850" w:type="dxa"/>
            <w:noWrap w:val="0"/>
            <w:vAlign w:val="center"/>
          </w:tcPr>
          <w:p w14:paraId="18EDE033">
            <w:pPr>
              <w:spacing w:line="560" w:lineRule="exact"/>
              <w:jc w:val="center"/>
              <w:rPr>
                <w:rFonts w:ascii="宋体" w:hAnsi="宋体"/>
                <w:color w:val="auto"/>
                <w:szCs w:val="21"/>
                <w:highlight w:val="none"/>
              </w:rPr>
            </w:pPr>
          </w:p>
        </w:tc>
        <w:tc>
          <w:tcPr>
            <w:tcW w:w="850" w:type="dxa"/>
            <w:noWrap w:val="0"/>
            <w:vAlign w:val="center"/>
          </w:tcPr>
          <w:p w14:paraId="669D8124">
            <w:pPr>
              <w:spacing w:line="560" w:lineRule="exact"/>
              <w:jc w:val="center"/>
              <w:rPr>
                <w:rFonts w:ascii="宋体" w:hAnsi="宋体"/>
                <w:color w:val="auto"/>
                <w:szCs w:val="21"/>
                <w:highlight w:val="none"/>
              </w:rPr>
            </w:pPr>
          </w:p>
        </w:tc>
      </w:tr>
      <w:tr w14:paraId="39D8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231AE569">
            <w:pPr>
              <w:spacing w:line="560" w:lineRule="exact"/>
              <w:jc w:val="center"/>
              <w:rPr>
                <w:rFonts w:ascii="宋体" w:hAnsi="宋体"/>
                <w:color w:val="auto"/>
                <w:szCs w:val="21"/>
                <w:highlight w:val="none"/>
              </w:rPr>
            </w:pPr>
          </w:p>
        </w:tc>
        <w:tc>
          <w:tcPr>
            <w:tcW w:w="1701" w:type="dxa"/>
            <w:noWrap w:val="0"/>
            <w:vAlign w:val="center"/>
          </w:tcPr>
          <w:p w14:paraId="533EE8FD">
            <w:pPr>
              <w:spacing w:line="560" w:lineRule="exact"/>
              <w:jc w:val="center"/>
              <w:rPr>
                <w:rFonts w:ascii="宋体" w:hAnsi="宋体"/>
                <w:color w:val="auto"/>
                <w:szCs w:val="21"/>
                <w:highlight w:val="none"/>
              </w:rPr>
            </w:pPr>
          </w:p>
        </w:tc>
        <w:tc>
          <w:tcPr>
            <w:tcW w:w="1110" w:type="dxa"/>
            <w:noWrap w:val="0"/>
            <w:vAlign w:val="center"/>
          </w:tcPr>
          <w:p w14:paraId="0A5AC764">
            <w:pPr>
              <w:spacing w:line="560" w:lineRule="exact"/>
              <w:jc w:val="center"/>
              <w:rPr>
                <w:rFonts w:ascii="宋体" w:hAnsi="宋体"/>
                <w:color w:val="auto"/>
                <w:szCs w:val="21"/>
                <w:highlight w:val="none"/>
              </w:rPr>
            </w:pPr>
          </w:p>
        </w:tc>
        <w:tc>
          <w:tcPr>
            <w:tcW w:w="1054" w:type="dxa"/>
            <w:noWrap w:val="0"/>
            <w:vAlign w:val="center"/>
          </w:tcPr>
          <w:p w14:paraId="77C2805F">
            <w:pPr>
              <w:spacing w:line="560" w:lineRule="exact"/>
              <w:jc w:val="center"/>
              <w:rPr>
                <w:rFonts w:ascii="宋体" w:hAnsi="宋体"/>
                <w:color w:val="auto"/>
                <w:szCs w:val="21"/>
                <w:highlight w:val="none"/>
              </w:rPr>
            </w:pPr>
          </w:p>
        </w:tc>
        <w:tc>
          <w:tcPr>
            <w:tcW w:w="1034" w:type="dxa"/>
            <w:noWrap w:val="0"/>
            <w:vAlign w:val="center"/>
          </w:tcPr>
          <w:p w14:paraId="2D0F4A23">
            <w:pPr>
              <w:spacing w:line="560" w:lineRule="exact"/>
              <w:jc w:val="center"/>
              <w:rPr>
                <w:rFonts w:ascii="宋体" w:hAnsi="宋体"/>
                <w:color w:val="auto"/>
                <w:szCs w:val="21"/>
                <w:highlight w:val="none"/>
              </w:rPr>
            </w:pPr>
          </w:p>
        </w:tc>
        <w:tc>
          <w:tcPr>
            <w:tcW w:w="1160" w:type="dxa"/>
            <w:noWrap w:val="0"/>
            <w:vAlign w:val="center"/>
          </w:tcPr>
          <w:p w14:paraId="32B3BA87">
            <w:pPr>
              <w:spacing w:line="560" w:lineRule="exact"/>
              <w:jc w:val="center"/>
              <w:rPr>
                <w:rFonts w:ascii="宋体" w:hAnsi="宋体"/>
                <w:color w:val="auto"/>
                <w:szCs w:val="21"/>
                <w:highlight w:val="none"/>
              </w:rPr>
            </w:pPr>
          </w:p>
        </w:tc>
        <w:tc>
          <w:tcPr>
            <w:tcW w:w="850" w:type="dxa"/>
            <w:noWrap w:val="0"/>
            <w:vAlign w:val="center"/>
          </w:tcPr>
          <w:p w14:paraId="36F9C677">
            <w:pPr>
              <w:spacing w:line="560" w:lineRule="exact"/>
              <w:jc w:val="center"/>
              <w:rPr>
                <w:rFonts w:ascii="宋体" w:hAnsi="宋体"/>
                <w:color w:val="auto"/>
                <w:szCs w:val="21"/>
                <w:highlight w:val="none"/>
              </w:rPr>
            </w:pPr>
          </w:p>
        </w:tc>
        <w:tc>
          <w:tcPr>
            <w:tcW w:w="850" w:type="dxa"/>
            <w:noWrap w:val="0"/>
            <w:vAlign w:val="center"/>
          </w:tcPr>
          <w:p w14:paraId="7DDC1A0F">
            <w:pPr>
              <w:spacing w:line="560" w:lineRule="exact"/>
              <w:jc w:val="center"/>
              <w:rPr>
                <w:rFonts w:ascii="宋体" w:hAnsi="宋体"/>
                <w:color w:val="auto"/>
                <w:szCs w:val="21"/>
                <w:highlight w:val="none"/>
              </w:rPr>
            </w:pPr>
          </w:p>
        </w:tc>
      </w:tr>
      <w:tr w14:paraId="3B98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7264A705">
            <w:pPr>
              <w:spacing w:line="560" w:lineRule="exact"/>
              <w:jc w:val="center"/>
              <w:rPr>
                <w:rFonts w:ascii="宋体" w:hAnsi="宋体"/>
                <w:color w:val="auto"/>
                <w:szCs w:val="21"/>
                <w:highlight w:val="none"/>
              </w:rPr>
            </w:pPr>
          </w:p>
        </w:tc>
        <w:tc>
          <w:tcPr>
            <w:tcW w:w="1701" w:type="dxa"/>
            <w:noWrap w:val="0"/>
            <w:vAlign w:val="center"/>
          </w:tcPr>
          <w:p w14:paraId="05AA3C08">
            <w:pPr>
              <w:spacing w:line="560" w:lineRule="exact"/>
              <w:jc w:val="center"/>
              <w:rPr>
                <w:rFonts w:ascii="宋体" w:hAnsi="宋体"/>
                <w:color w:val="auto"/>
                <w:szCs w:val="21"/>
                <w:highlight w:val="none"/>
              </w:rPr>
            </w:pPr>
          </w:p>
        </w:tc>
        <w:tc>
          <w:tcPr>
            <w:tcW w:w="1110" w:type="dxa"/>
            <w:noWrap w:val="0"/>
            <w:vAlign w:val="center"/>
          </w:tcPr>
          <w:p w14:paraId="22CAEA27">
            <w:pPr>
              <w:spacing w:line="560" w:lineRule="exact"/>
              <w:jc w:val="center"/>
              <w:rPr>
                <w:rFonts w:ascii="宋体" w:hAnsi="宋体"/>
                <w:color w:val="auto"/>
                <w:szCs w:val="21"/>
                <w:highlight w:val="none"/>
              </w:rPr>
            </w:pPr>
          </w:p>
        </w:tc>
        <w:tc>
          <w:tcPr>
            <w:tcW w:w="1054" w:type="dxa"/>
            <w:noWrap w:val="0"/>
            <w:vAlign w:val="center"/>
          </w:tcPr>
          <w:p w14:paraId="5D49C6D3">
            <w:pPr>
              <w:spacing w:line="560" w:lineRule="exact"/>
              <w:jc w:val="center"/>
              <w:rPr>
                <w:rFonts w:ascii="宋体" w:hAnsi="宋体"/>
                <w:color w:val="auto"/>
                <w:szCs w:val="21"/>
                <w:highlight w:val="none"/>
              </w:rPr>
            </w:pPr>
          </w:p>
        </w:tc>
        <w:tc>
          <w:tcPr>
            <w:tcW w:w="1034" w:type="dxa"/>
            <w:noWrap w:val="0"/>
            <w:vAlign w:val="center"/>
          </w:tcPr>
          <w:p w14:paraId="1D4BA0B4">
            <w:pPr>
              <w:spacing w:line="560" w:lineRule="exact"/>
              <w:jc w:val="center"/>
              <w:rPr>
                <w:rFonts w:ascii="宋体" w:hAnsi="宋体"/>
                <w:color w:val="auto"/>
                <w:szCs w:val="21"/>
                <w:highlight w:val="none"/>
              </w:rPr>
            </w:pPr>
          </w:p>
        </w:tc>
        <w:tc>
          <w:tcPr>
            <w:tcW w:w="1160" w:type="dxa"/>
            <w:noWrap w:val="0"/>
            <w:vAlign w:val="center"/>
          </w:tcPr>
          <w:p w14:paraId="39135259">
            <w:pPr>
              <w:spacing w:line="560" w:lineRule="exact"/>
              <w:jc w:val="center"/>
              <w:rPr>
                <w:rFonts w:ascii="宋体" w:hAnsi="宋体"/>
                <w:color w:val="auto"/>
                <w:szCs w:val="21"/>
                <w:highlight w:val="none"/>
              </w:rPr>
            </w:pPr>
          </w:p>
        </w:tc>
        <w:tc>
          <w:tcPr>
            <w:tcW w:w="850" w:type="dxa"/>
            <w:noWrap w:val="0"/>
            <w:vAlign w:val="center"/>
          </w:tcPr>
          <w:p w14:paraId="1B80FCF8">
            <w:pPr>
              <w:spacing w:line="560" w:lineRule="exact"/>
              <w:jc w:val="center"/>
              <w:rPr>
                <w:rFonts w:ascii="宋体" w:hAnsi="宋体"/>
                <w:color w:val="auto"/>
                <w:szCs w:val="21"/>
                <w:highlight w:val="none"/>
              </w:rPr>
            </w:pPr>
          </w:p>
        </w:tc>
        <w:tc>
          <w:tcPr>
            <w:tcW w:w="850" w:type="dxa"/>
            <w:noWrap w:val="0"/>
            <w:vAlign w:val="center"/>
          </w:tcPr>
          <w:p w14:paraId="3EE5A6A8">
            <w:pPr>
              <w:spacing w:line="560" w:lineRule="exact"/>
              <w:jc w:val="center"/>
              <w:rPr>
                <w:rFonts w:ascii="宋体" w:hAnsi="宋体"/>
                <w:color w:val="auto"/>
                <w:szCs w:val="21"/>
                <w:highlight w:val="none"/>
              </w:rPr>
            </w:pPr>
          </w:p>
        </w:tc>
      </w:tr>
      <w:tr w14:paraId="60C0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33063EB4">
            <w:pPr>
              <w:spacing w:line="560" w:lineRule="exact"/>
              <w:jc w:val="center"/>
              <w:rPr>
                <w:rFonts w:ascii="宋体" w:hAnsi="宋体"/>
                <w:color w:val="auto"/>
                <w:szCs w:val="21"/>
                <w:highlight w:val="none"/>
              </w:rPr>
            </w:pPr>
          </w:p>
        </w:tc>
        <w:tc>
          <w:tcPr>
            <w:tcW w:w="1701" w:type="dxa"/>
            <w:noWrap w:val="0"/>
            <w:vAlign w:val="center"/>
          </w:tcPr>
          <w:p w14:paraId="42406882">
            <w:pPr>
              <w:spacing w:line="560" w:lineRule="exact"/>
              <w:jc w:val="center"/>
              <w:rPr>
                <w:rFonts w:ascii="宋体" w:hAnsi="宋体"/>
                <w:color w:val="auto"/>
                <w:szCs w:val="21"/>
                <w:highlight w:val="none"/>
              </w:rPr>
            </w:pPr>
          </w:p>
        </w:tc>
        <w:tc>
          <w:tcPr>
            <w:tcW w:w="1110" w:type="dxa"/>
            <w:noWrap w:val="0"/>
            <w:vAlign w:val="center"/>
          </w:tcPr>
          <w:p w14:paraId="7790D311">
            <w:pPr>
              <w:spacing w:line="560" w:lineRule="exact"/>
              <w:jc w:val="center"/>
              <w:rPr>
                <w:rFonts w:ascii="宋体" w:hAnsi="宋体"/>
                <w:color w:val="auto"/>
                <w:szCs w:val="21"/>
                <w:highlight w:val="none"/>
              </w:rPr>
            </w:pPr>
          </w:p>
        </w:tc>
        <w:tc>
          <w:tcPr>
            <w:tcW w:w="1054" w:type="dxa"/>
            <w:noWrap w:val="0"/>
            <w:vAlign w:val="center"/>
          </w:tcPr>
          <w:p w14:paraId="3257EA60">
            <w:pPr>
              <w:spacing w:line="560" w:lineRule="exact"/>
              <w:jc w:val="center"/>
              <w:rPr>
                <w:rFonts w:ascii="宋体" w:hAnsi="宋体"/>
                <w:color w:val="auto"/>
                <w:szCs w:val="21"/>
                <w:highlight w:val="none"/>
              </w:rPr>
            </w:pPr>
          </w:p>
        </w:tc>
        <w:tc>
          <w:tcPr>
            <w:tcW w:w="1034" w:type="dxa"/>
            <w:noWrap w:val="0"/>
            <w:vAlign w:val="center"/>
          </w:tcPr>
          <w:p w14:paraId="0C8599DA">
            <w:pPr>
              <w:spacing w:line="560" w:lineRule="exact"/>
              <w:jc w:val="center"/>
              <w:rPr>
                <w:rFonts w:ascii="宋体" w:hAnsi="宋体"/>
                <w:color w:val="auto"/>
                <w:szCs w:val="21"/>
                <w:highlight w:val="none"/>
              </w:rPr>
            </w:pPr>
          </w:p>
        </w:tc>
        <w:tc>
          <w:tcPr>
            <w:tcW w:w="1160" w:type="dxa"/>
            <w:noWrap w:val="0"/>
            <w:vAlign w:val="center"/>
          </w:tcPr>
          <w:p w14:paraId="23AF5B9A">
            <w:pPr>
              <w:spacing w:line="560" w:lineRule="exact"/>
              <w:jc w:val="center"/>
              <w:rPr>
                <w:rFonts w:ascii="宋体" w:hAnsi="宋体"/>
                <w:color w:val="auto"/>
                <w:szCs w:val="21"/>
                <w:highlight w:val="none"/>
              </w:rPr>
            </w:pPr>
          </w:p>
        </w:tc>
        <w:tc>
          <w:tcPr>
            <w:tcW w:w="850" w:type="dxa"/>
            <w:noWrap w:val="0"/>
            <w:vAlign w:val="center"/>
          </w:tcPr>
          <w:p w14:paraId="4E391230">
            <w:pPr>
              <w:spacing w:line="560" w:lineRule="exact"/>
              <w:jc w:val="center"/>
              <w:rPr>
                <w:rFonts w:ascii="宋体" w:hAnsi="宋体"/>
                <w:color w:val="auto"/>
                <w:szCs w:val="21"/>
                <w:highlight w:val="none"/>
              </w:rPr>
            </w:pPr>
          </w:p>
        </w:tc>
        <w:tc>
          <w:tcPr>
            <w:tcW w:w="850" w:type="dxa"/>
            <w:noWrap w:val="0"/>
            <w:vAlign w:val="center"/>
          </w:tcPr>
          <w:p w14:paraId="0435AC2C">
            <w:pPr>
              <w:spacing w:line="560" w:lineRule="exact"/>
              <w:jc w:val="center"/>
              <w:rPr>
                <w:rFonts w:ascii="宋体" w:hAnsi="宋体"/>
                <w:color w:val="auto"/>
                <w:szCs w:val="21"/>
                <w:highlight w:val="none"/>
              </w:rPr>
            </w:pPr>
          </w:p>
        </w:tc>
      </w:tr>
      <w:tr w14:paraId="019B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5733E7DC">
            <w:pPr>
              <w:spacing w:line="560" w:lineRule="exact"/>
              <w:jc w:val="center"/>
              <w:rPr>
                <w:rFonts w:ascii="宋体" w:hAnsi="宋体"/>
                <w:color w:val="auto"/>
                <w:szCs w:val="21"/>
                <w:highlight w:val="none"/>
              </w:rPr>
            </w:pPr>
          </w:p>
        </w:tc>
        <w:tc>
          <w:tcPr>
            <w:tcW w:w="1701" w:type="dxa"/>
            <w:noWrap w:val="0"/>
            <w:vAlign w:val="center"/>
          </w:tcPr>
          <w:p w14:paraId="67F582F7">
            <w:pPr>
              <w:spacing w:line="560" w:lineRule="exact"/>
              <w:jc w:val="center"/>
              <w:rPr>
                <w:rFonts w:ascii="宋体" w:hAnsi="宋体"/>
                <w:color w:val="auto"/>
                <w:szCs w:val="21"/>
                <w:highlight w:val="none"/>
              </w:rPr>
            </w:pPr>
          </w:p>
        </w:tc>
        <w:tc>
          <w:tcPr>
            <w:tcW w:w="1110" w:type="dxa"/>
            <w:noWrap w:val="0"/>
            <w:vAlign w:val="center"/>
          </w:tcPr>
          <w:p w14:paraId="072FD9A6">
            <w:pPr>
              <w:spacing w:line="560" w:lineRule="exact"/>
              <w:jc w:val="center"/>
              <w:rPr>
                <w:rFonts w:ascii="宋体" w:hAnsi="宋体"/>
                <w:color w:val="auto"/>
                <w:szCs w:val="21"/>
                <w:highlight w:val="none"/>
              </w:rPr>
            </w:pPr>
          </w:p>
        </w:tc>
        <w:tc>
          <w:tcPr>
            <w:tcW w:w="1054" w:type="dxa"/>
            <w:noWrap w:val="0"/>
            <w:vAlign w:val="center"/>
          </w:tcPr>
          <w:p w14:paraId="25B5F3FC">
            <w:pPr>
              <w:spacing w:line="560" w:lineRule="exact"/>
              <w:jc w:val="center"/>
              <w:rPr>
                <w:rFonts w:ascii="宋体" w:hAnsi="宋体"/>
                <w:color w:val="auto"/>
                <w:szCs w:val="21"/>
                <w:highlight w:val="none"/>
              </w:rPr>
            </w:pPr>
          </w:p>
        </w:tc>
        <w:tc>
          <w:tcPr>
            <w:tcW w:w="1034" w:type="dxa"/>
            <w:noWrap w:val="0"/>
            <w:vAlign w:val="center"/>
          </w:tcPr>
          <w:p w14:paraId="66DC9907">
            <w:pPr>
              <w:spacing w:line="560" w:lineRule="exact"/>
              <w:jc w:val="center"/>
              <w:rPr>
                <w:rFonts w:ascii="宋体" w:hAnsi="宋体"/>
                <w:color w:val="auto"/>
                <w:szCs w:val="21"/>
                <w:highlight w:val="none"/>
              </w:rPr>
            </w:pPr>
          </w:p>
        </w:tc>
        <w:tc>
          <w:tcPr>
            <w:tcW w:w="1160" w:type="dxa"/>
            <w:noWrap w:val="0"/>
            <w:vAlign w:val="center"/>
          </w:tcPr>
          <w:p w14:paraId="2FCBA4E2">
            <w:pPr>
              <w:spacing w:line="560" w:lineRule="exact"/>
              <w:jc w:val="center"/>
              <w:rPr>
                <w:rFonts w:ascii="宋体" w:hAnsi="宋体"/>
                <w:color w:val="auto"/>
                <w:szCs w:val="21"/>
                <w:highlight w:val="none"/>
              </w:rPr>
            </w:pPr>
          </w:p>
        </w:tc>
        <w:tc>
          <w:tcPr>
            <w:tcW w:w="850" w:type="dxa"/>
            <w:noWrap w:val="0"/>
            <w:vAlign w:val="center"/>
          </w:tcPr>
          <w:p w14:paraId="03E4E6E4">
            <w:pPr>
              <w:spacing w:line="560" w:lineRule="exact"/>
              <w:jc w:val="center"/>
              <w:rPr>
                <w:rFonts w:ascii="宋体" w:hAnsi="宋体"/>
                <w:color w:val="auto"/>
                <w:szCs w:val="21"/>
                <w:highlight w:val="none"/>
              </w:rPr>
            </w:pPr>
          </w:p>
        </w:tc>
        <w:tc>
          <w:tcPr>
            <w:tcW w:w="850" w:type="dxa"/>
            <w:noWrap w:val="0"/>
            <w:vAlign w:val="center"/>
          </w:tcPr>
          <w:p w14:paraId="04568F50">
            <w:pPr>
              <w:spacing w:line="560" w:lineRule="exact"/>
              <w:jc w:val="center"/>
              <w:rPr>
                <w:rFonts w:ascii="宋体" w:hAnsi="宋体"/>
                <w:color w:val="auto"/>
                <w:szCs w:val="21"/>
                <w:highlight w:val="none"/>
              </w:rPr>
            </w:pPr>
          </w:p>
        </w:tc>
      </w:tr>
      <w:tr w14:paraId="4CD7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30919C3D">
            <w:pPr>
              <w:spacing w:line="560" w:lineRule="exact"/>
              <w:jc w:val="center"/>
              <w:rPr>
                <w:rFonts w:ascii="宋体" w:hAnsi="宋体"/>
                <w:color w:val="auto"/>
                <w:szCs w:val="21"/>
                <w:highlight w:val="none"/>
              </w:rPr>
            </w:pPr>
          </w:p>
        </w:tc>
        <w:tc>
          <w:tcPr>
            <w:tcW w:w="1701" w:type="dxa"/>
            <w:noWrap w:val="0"/>
            <w:vAlign w:val="center"/>
          </w:tcPr>
          <w:p w14:paraId="66768942">
            <w:pPr>
              <w:spacing w:line="560" w:lineRule="exact"/>
              <w:jc w:val="center"/>
              <w:rPr>
                <w:rFonts w:ascii="宋体" w:hAnsi="宋体"/>
                <w:color w:val="auto"/>
                <w:szCs w:val="21"/>
                <w:highlight w:val="none"/>
              </w:rPr>
            </w:pPr>
          </w:p>
        </w:tc>
        <w:tc>
          <w:tcPr>
            <w:tcW w:w="1110" w:type="dxa"/>
            <w:noWrap w:val="0"/>
            <w:vAlign w:val="center"/>
          </w:tcPr>
          <w:p w14:paraId="6DD429E8">
            <w:pPr>
              <w:spacing w:line="560" w:lineRule="exact"/>
              <w:jc w:val="center"/>
              <w:rPr>
                <w:rFonts w:ascii="宋体" w:hAnsi="宋体"/>
                <w:color w:val="auto"/>
                <w:szCs w:val="21"/>
                <w:highlight w:val="none"/>
              </w:rPr>
            </w:pPr>
          </w:p>
        </w:tc>
        <w:tc>
          <w:tcPr>
            <w:tcW w:w="1054" w:type="dxa"/>
            <w:noWrap w:val="0"/>
            <w:vAlign w:val="center"/>
          </w:tcPr>
          <w:p w14:paraId="7252DFF0">
            <w:pPr>
              <w:spacing w:line="560" w:lineRule="exact"/>
              <w:jc w:val="center"/>
              <w:rPr>
                <w:rFonts w:ascii="宋体" w:hAnsi="宋体"/>
                <w:color w:val="auto"/>
                <w:szCs w:val="21"/>
                <w:highlight w:val="none"/>
              </w:rPr>
            </w:pPr>
          </w:p>
        </w:tc>
        <w:tc>
          <w:tcPr>
            <w:tcW w:w="1034" w:type="dxa"/>
            <w:noWrap w:val="0"/>
            <w:vAlign w:val="center"/>
          </w:tcPr>
          <w:p w14:paraId="1A910BFA">
            <w:pPr>
              <w:spacing w:line="560" w:lineRule="exact"/>
              <w:jc w:val="center"/>
              <w:rPr>
                <w:rFonts w:ascii="宋体" w:hAnsi="宋体"/>
                <w:color w:val="auto"/>
                <w:szCs w:val="21"/>
                <w:highlight w:val="none"/>
              </w:rPr>
            </w:pPr>
          </w:p>
        </w:tc>
        <w:tc>
          <w:tcPr>
            <w:tcW w:w="1160" w:type="dxa"/>
            <w:noWrap w:val="0"/>
            <w:vAlign w:val="center"/>
          </w:tcPr>
          <w:p w14:paraId="480BD9EF">
            <w:pPr>
              <w:spacing w:line="560" w:lineRule="exact"/>
              <w:jc w:val="center"/>
              <w:rPr>
                <w:rFonts w:ascii="宋体" w:hAnsi="宋体"/>
                <w:color w:val="auto"/>
                <w:szCs w:val="21"/>
                <w:highlight w:val="none"/>
              </w:rPr>
            </w:pPr>
          </w:p>
        </w:tc>
        <w:tc>
          <w:tcPr>
            <w:tcW w:w="850" w:type="dxa"/>
            <w:noWrap w:val="0"/>
            <w:vAlign w:val="center"/>
          </w:tcPr>
          <w:p w14:paraId="009F253E">
            <w:pPr>
              <w:spacing w:line="560" w:lineRule="exact"/>
              <w:jc w:val="center"/>
              <w:rPr>
                <w:rFonts w:ascii="宋体" w:hAnsi="宋体"/>
                <w:color w:val="auto"/>
                <w:szCs w:val="21"/>
                <w:highlight w:val="none"/>
              </w:rPr>
            </w:pPr>
          </w:p>
        </w:tc>
        <w:tc>
          <w:tcPr>
            <w:tcW w:w="850" w:type="dxa"/>
            <w:noWrap w:val="0"/>
            <w:vAlign w:val="center"/>
          </w:tcPr>
          <w:p w14:paraId="59140EE1">
            <w:pPr>
              <w:spacing w:line="560" w:lineRule="exact"/>
              <w:jc w:val="center"/>
              <w:rPr>
                <w:rFonts w:ascii="宋体" w:hAnsi="宋体"/>
                <w:color w:val="auto"/>
                <w:szCs w:val="21"/>
                <w:highlight w:val="none"/>
              </w:rPr>
            </w:pPr>
          </w:p>
        </w:tc>
      </w:tr>
      <w:tr w14:paraId="4DEA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3A52961B">
            <w:pPr>
              <w:spacing w:line="560" w:lineRule="exact"/>
              <w:jc w:val="center"/>
              <w:rPr>
                <w:rFonts w:ascii="宋体" w:hAnsi="宋体"/>
                <w:color w:val="auto"/>
                <w:szCs w:val="21"/>
                <w:highlight w:val="none"/>
              </w:rPr>
            </w:pPr>
          </w:p>
        </w:tc>
        <w:tc>
          <w:tcPr>
            <w:tcW w:w="1701" w:type="dxa"/>
            <w:noWrap w:val="0"/>
            <w:vAlign w:val="center"/>
          </w:tcPr>
          <w:p w14:paraId="59321DA6">
            <w:pPr>
              <w:spacing w:line="560" w:lineRule="exact"/>
              <w:jc w:val="center"/>
              <w:rPr>
                <w:rFonts w:ascii="宋体" w:hAnsi="宋体"/>
                <w:color w:val="auto"/>
                <w:szCs w:val="21"/>
                <w:highlight w:val="none"/>
              </w:rPr>
            </w:pPr>
          </w:p>
        </w:tc>
        <w:tc>
          <w:tcPr>
            <w:tcW w:w="1110" w:type="dxa"/>
            <w:noWrap w:val="0"/>
            <w:vAlign w:val="center"/>
          </w:tcPr>
          <w:p w14:paraId="6F1BA4DF">
            <w:pPr>
              <w:spacing w:line="560" w:lineRule="exact"/>
              <w:jc w:val="center"/>
              <w:rPr>
                <w:rFonts w:ascii="宋体" w:hAnsi="宋体"/>
                <w:color w:val="auto"/>
                <w:szCs w:val="21"/>
                <w:highlight w:val="none"/>
              </w:rPr>
            </w:pPr>
          </w:p>
        </w:tc>
        <w:tc>
          <w:tcPr>
            <w:tcW w:w="1054" w:type="dxa"/>
            <w:noWrap w:val="0"/>
            <w:vAlign w:val="center"/>
          </w:tcPr>
          <w:p w14:paraId="680E1C91">
            <w:pPr>
              <w:spacing w:line="560" w:lineRule="exact"/>
              <w:jc w:val="center"/>
              <w:rPr>
                <w:rFonts w:ascii="宋体" w:hAnsi="宋体"/>
                <w:color w:val="auto"/>
                <w:szCs w:val="21"/>
                <w:highlight w:val="none"/>
              </w:rPr>
            </w:pPr>
          </w:p>
        </w:tc>
        <w:tc>
          <w:tcPr>
            <w:tcW w:w="1034" w:type="dxa"/>
            <w:noWrap w:val="0"/>
            <w:vAlign w:val="center"/>
          </w:tcPr>
          <w:p w14:paraId="29475272">
            <w:pPr>
              <w:spacing w:line="560" w:lineRule="exact"/>
              <w:jc w:val="center"/>
              <w:rPr>
                <w:rFonts w:ascii="宋体" w:hAnsi="宋体"/>
                <w:color w:val="auto"/>
                <w:szCs w:val="21"/>
                <w:highlight w:val="none"/>
              </w:rPr>
            </w:pPr>
          </w:p>
        </w:tc>
        <w:tc>
          <w:tcPr>
            <w:tcW w:w="1160" w:type="dxa"/>
            <w:noWrap w:val="0"/>
            <w:vAlign w:val="center"/>
          </w:tcPr>
          <w:p w14:paraId="42CAD74C">
            <w:pPr>
              <w:spacing w:line="560" w:lineRule="exact"/>
              <w:jc w:val="center"/>
              <w:rPr>
                <w:rFonts w:ascii="宋体" w:hAnsi="宋体"/>
                <w:color w:val="auto"/>
                <w:szCs w:val="21"/>
                <w:highlight w:val="none"/>
              </w:rPr>
            </w:pPr>
          </w:p>
        </w:tc>
        <w:tc>
          <w:tcPr>
            <w:tcW w:w="850" w:type="dxa"/>
            <w:noWrap w:val="0"/>
            <w:vAlign w:val="center"/>
          </w:tcPr>
          <w:p w14:paraId="6A049CAE">
            <w:pPr>
              <w:spacing w:line="560" w:lineRule="exact"/>
              <w:jc w:val="center"/>
              <w:rPr>
                <w:rFonts w:ascii="宋体" w:hAnsi="宋体"/>
                <w:color w:val="auto"/>
                <w:szCs w:val="21"/>
                <w:highlight w:val="none"/>
              </w:rPr>
            </w:pPr>
          </w:p>
        </w:tc>
        <w:tc>
          <w:tcPr>
            <w:tcW w:w="850" w:type="dxa"/>
            <w:noWrap w:val="0"/>
            <w:vAlign w:val="center"/>
          </w:tcPr>
          <w:p w14:paraId="1245D3A8">
            <w:pPr>
              <w:spacing w:line="560" w:lineRule="exact"/>
              <w:jc w:val="center"/>
              <w:rPr>
                <w:rFonts w:ascii="宋体" w:hAnsi="宋体"/>
                <w:color w:val="auto"/>
                <w:szCs w:val="21"/>
                <w:highlight w:val="none"/>
              </w:rPr>
            </w:pPr>
          </w:p>
        </w:tc>
      </w:tr>
      <w:tr w14:paraId="1905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481E4FFE">
            <w:pPr>
              <w:spacing w:line="560" w:lineRule="exact"/>
              <w:jc w:val="center"/>
              <w:rPr>
                <w:rFonts w:ascii="宋体" w:hAnsi="宋体"/>
                <w:color w:val="auto"/>
                <w:szCs w:val="21"/>
                <w:highlight w:val="none"/>
              </w:rPr>
            </w:pPr>
          </w:p>
        </w:tc>
        <w:tc>
          <w:tcPr>
            <w:tcW w:w="1701" w:type="dxa"/>
            <w:noWrap w:val="0"/>
            <w:vAlign w:val="center"/>
          </w:tcPr>
          <w:p w14:paraId="22191502">
            <w:pPr>
              <w:spacing w:line="560" w:lineRule="exact"/>
              <w:jc w:val="center"/>
              <w:rPr>
                <w:rFonts w:ascii="宋体" w:hAnsi="宋体"/>
                <w:color w:val="auto"/>
                <w:szCs w:val="21"/>
                <w:highlight w:val="none"/>
              </w:rPr>
            </w:pPr>
          </w:p>
        </w:tc>
        <w:tc>
          <w:tcPr>
            <w:tcW w:w="1110" w:type="dxa"/>
            <w:noWrap w:val="0"/>
            <w:vAlign w:val="center"/>
          </w:tcPr>
          <w:p w14:paraId="48ABA379">
            <w:pPr>
              <w:spacing w:line="560" w:lineRule="exact"/>
              <w:jc w:val="center"/>
              <w:rPr>
                <w:rFonts w:ascii="宋体" w:hAnsi="宋体"/>
                <w:color w:val="auto"/>
                <w:szCs w:val="21"/>
                <w:highlight w:val="none"/>
              </w:rPr>
            </w:pPr>
          </w:p>
        </w:tc>
        <w:tc>
          <w:tcPr>
            <w:tcW w:w="1054" w:type="dxa"/>
            <w:noWrap w:val="0"/>
            <w:vAlign w:val="center"/>
          </w:tcPr>
          <w:p w14:paraId="3709D2BC">
            <w:pPr>
              <w:spacing w:line="560" w:lineRule="exact"/>
              <w:jc w:val="center"/>
              <w:rPr>
                <w:rFonts w:ascii="宋体" w:hAnsi="宋体"/>
                <w:color w:val="auto"/>
                <w:szCs w:val="21"/>
                <w:highlight w:val="none"/>
              </w:rPr>
            </w:pPr>
          </w:p>
        </w:tc>
        <w:tc>
          <w:tcPr>
            <w:tcW w:w="1034" w:type="dxa"/>
            <w:noWrap w:val="0"/>
            <w:vAlign w:val="center"/>
          </w:tcPr>
          <w:p w14:paraId="0296AF64">
            <w:pPr>
              <w:spacing w:line="560" w:lineRule="exact"/>
              <w:jc w:val="center"/>
              <w:rPr>
                <w:rFonts w:ascii="宋体" w:hAnsi="宋体"/>
                <w:color w:val="auto"/>
                <w:szCs w:val="21"/>
                <w:highlight w:val="none"/>
              </w:rPr>
            </w:pPr>
          </w:p>
        </w:tc>
        <w:tc>
          <w:tcPr>
            <w:tcW w:w="1160" w:type="dxa"/>
            <w:noWrap w:val="0"/>
            <w:vAlign w:val="center"/>
          </w:tcPr>
          <w:p w14:paraId="43D96AF2">
            <w:pPr>
              <w:spacing w:line="560" w:lineRule="exact"/>
              <w:jc w:val="center"/>
              <w:rPr>
                <w:rFonts w:ascii="宋体" w:hAnsi="宋体"/>
                <w:color w:val="auto"/>
                <w:szCs w:val="21"/>
                <w:highlight w:val="none"/>
              </w:rPr>
            </w:pPr>
          </w:p>
        </w:tc>
        <w:tc>
          <w:tcPr>
            <w:tcW w:w="850" w:type="dxa"/>
            <w:noWrap w:val="0"/>
            <w:vAlign w:val="center"/>
          </w:tcPr>
          <w:p w14:paraId="4376D8DF">
            <w:pPr>
              <w:spacing w:line="560" w:lineRule="exact"/>
              <w:jc w:val="center"/>
              <w:rPr>
                <w:rFonts w:ascii="宋体" w:hAnsi="宋体"/>
                <w:color w:val="auto"/>
                <w:szCs w:val="21"/>
                <w:highlight w:val="none"/>
              </w:rPr>
            </w:pPr>
          </w:p>
        </w:tc>
        <w:tc>
          <w:tcPr>
            <w:tcW w:w="850" w:type="dxa"/>
            <w:noWrap w:val="0"/>
            <w:vAlign w:val="center"/>
          </w:tcPr>
          <w:p w14:paraId="4CCF9FB3">
            <w:pPr>
              <w:spacing w:line="560" w:lineRule="exact"/>
              <w:jc w:val="center"/>
              <w:rPr>
                <w:rFonts w:ascii="宋体" w:hAnsi="宋体"/>
                <w:color w:val="auto"/>
                <w:szCs w:val="21"/>
                <w:highlight w:val="none"/>
              </w:rPr>
            </w:pPr>
          </w:p>
        </w:tc>
      </w:tr>
      <w:tr w14:paraId="3FD70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2DBB8D80">
            <w:pPr>
              <w:spacing w:line="560" w:lineRule="exact"/>
              <w:jc w:val="center"/>
              <w:rPr>
                <w:rFonts w:ascii="宋体" w:hAnsi="宋体"/>
                <w:color w:val="auto"/>
                <w:szCs w:val="21"/>
                <w:highlight w:val="none"/>
              </w:rPr>
            </w:pPr>
          </w:p>
        </w:tc>
        <w:tc>
          <w:tcPr>
            <w:tcW w:w="1701" w:type="dxa"/>
            <w:noWrap w:val="0"/>
            <w:vAlign w:val="center"/>
          </w:tcPr>
          <w:p w14:paraId="028FE5C7">
            <w:pPr>
              <w:spacing w:line="560" w:lineRule="exact"/>
              <w:jc w:val="center"/>
              <w:rPr>
                <w:rFonts w:ascii="宋体" w:hAnsi="宋体"/>
                <w:color w:val="auto"/>
                <w:szCs w:val="21"/>
                <w:highlight w:val="none"/>
              </w:rPr>
            </w:pPr>
          </w:p>
        </w:tc>
        <w:tc>
          <w:tcPr>
            <w:tcW w:w="1110" w:type="dxa"/>
            <w:noWrap w:val="0"/>
            <w:vAlign w:val="center"/>
          </w:tcPr>
          <w:p w14:paraId="204D1AD6">
            <w:pPr>
              <w:spacing w:line="560" w:lineRule="exact"/>
              <w:jc w:val="center"/>
              <w:rPr>
                <w:rFonts w:ascii="宋体" w:hAnsi="宋体"/>
                <w:color w:val="auto"/>
                <w:szCs w:val="21"/>
                <w:highlight w:val="none"/>
              </w:rPr>
            </w:pPr>
          </w:p>
        </w:tc>
        <w:tc>
          <w:tcPr>
            <w:tcW w:w="1054" w:type="dxa"/>
            <w:noWrap w:val="0"/>
            <w:vAlign w:val="center"/>
          </w:tcPr>
          <w:p w14:paraId="6C235D51">
            <w:pPr>
              <w:spacing w:line="560" w:lineRule="exact"/>
              <w:jc w:val="center"/>
              <w:rPr>
                <w:rFonts w:ascii="宋体" w:hAnsi="宋体"/>
                <w:color w:val="auto"/>
                <w:szCs w:val="21"/>
                <w:highlight w:val="none"/>
              </w:rPr>
            </w:pPr>
          </w:p>
        </w:tc>
        <w:tc>
          <w:tcPr>
            <w:tcW w:w="1034" w:type="dxa"/>
            <w:noWrap w:val="0"/>
            <w:vAlign w:val="center"/>
          </w:tcPr>
          <w:p w14:paraId="5BBE71A7">
            <w:pPr>
              <w:spacing w:line="560" w:lineRule="exact"/>
              <w:jc w:val="center"/>
              <w:rPr>
                <w:rFonts w:ascii="宋体" w:hAnsi="宋体"/>
                <w:color w:val="auto"/>
                <w:szCs w:val="21"/>
                <w:highlight w:val="none"/>
              </w:rPr>
            </w:pPr>
          </w:p>
        </w:tc>
        <w:tc>
          <w:tcPr>
            <w:tcW w:w="1160" w:type="dxa"/>
            <w:noWrap w:val="0"/>
            <w:vAlign w:val="center"/>
          </w:tcPr>
          <w:p w14:paraId="62BAA729">
            <w:pPr>
              <w:spacing w:line="560" w:lineRule="exact"/>
              <w:jc w:val="center"/>
              <w:rPr>
                <w:rFonts w:ascii="宋体" w:hAnsi="宋体"/>
                <w:color w:val="auto"/>
                <w:szCs w:val="21"/>
                <w:highlight w:val="none"/>
              </w:rPr>
            </w:pPr>
          </w:p>
        </w:tc>
        <w:tc>
          <w:tcPr>
            <w:tcW w:w="850" w:type="dxa"/>
            <w:noWrap w:val="0"/>
            <w:vAlign w:val="center"/>
          </w:tcPr>
          <w:p w14:paraId="1EF46C52">
            <w:pPr>
              <w:spacing w:line="560" w:lineRule="exact"/>
              <w:jc w:val="center"/>
              <w:rPr>
                <w:rFonts w:ascii="宋体" w:hAnsi="宋体"/>
                <w:color w:val="auto"/>
                <w:szCs w:val="21"/>
                <w:highlight w:val="none"/>
              </w:rPr>
            </w:pPr>
          </w:p>
        </w:tc>
        <w:tc>
          <w:tcPr>
            <w:tcW w:w="850" w:type="dxa"/>
            <w:noWrap w:val="0"/>
            <w:vAlign w:val="center"/>
          </w:tcPr>
          <w:p w14:paraId="296A0EAB">
            <w:pPr>
              <w:spacing w:line="560" w:lineRule="exact"/>
              <w:jc w:val="center"/>
              <w:rPr>
                <w:rFonts w:ascii="宋体" w:hAnsi="宋体"/>
                <w:color w:val="auto"/>
                <w:szCs w:val="21"/>
                <w:highlight w:val="none"/>
              </w:rPr>
            </w:pPr>
          </w:p>
        </w:tc>
      </w:tr>
      <w:tr w14:paraId="2954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6F70D45E">
            <w:pPr>
              <w:spacing w:line="560" w:lineRule="exact"/>
              <w:jc w:val="center"/>
              <w:rPr>
                <w:rFonts w:ascii="宋体" w:hAnsi="宋体"/>
                <w:color w:val="auto"/>
                <w:szCs w:val="21"/>
                <w:highlight w:val="none"/>
              </w:rPr>
            </w:pPr>
          </w:p>
        </w:tc>
        <w:tc>
          <w:tcPr>
            <w:tcW w:w="1701" w:type="dxa"/>
            <w:noWrap w:val="0"/>
            <w:vAlign w:val="center"/>
          </w:tcPr>
          <w:p w14:paraId="107A55D8">
            <w:pPr>
              <w:spacing w:line="560" w:lineRule="exact"/>
              <w:jc w:val="center"/>
              <w:rPr>
                <w:rFonts w:ascii="宋体" w:hAnsi="宋体"/>
                <w:color w:val="auto"/>
                <w:szCs w:val="21"/>
                <w:highlight w:val="none"/>
              </w:rPr>
            </w:pPr>
          </w:p>
        </w:tc>
        <w:tc>
          <w:tcPr>
            <w:tcW w:w="1110" w:type="dxa"/>
            <w:noWrap w:val="0"/>
            <w:vAlign w:val="center"/>
          </w:tcPr>
          <w:p w14:paraId="2F15B63F">
            <w:pPr>
              <w:spacing w:line="560" w:lineRule="exact"/>
              <w:jc w:val="center"/>
              <w:rPr>
                <w:rFonts w:ascii="宋体" w:hAnsi="宋体"/>
                <w:color w:val="auto"/>
                <w:szCs w:val="21"/>
                <w:highlight w:val="none"/>
              </w:rPr>
            </w:pPr>
          </w:p>
        </w:tc>
        <w:tc>
          <w:tcPr>
            <w:tcW w:w="1054" w:type="dxa"/>
            <w:noWrap w:val="0"/>
            <w:vAlign w:val="center"/>
          </w:tcPr>
          <w:p w14:paraId="720A3FAA">
            <w:pPr>
              <w:spacing w:line="560" w:lineRule="exact"/>
              <w:jc w:val="center"/>
              <w:rPr>
                <w:rFonts w:ascii="宋体" w:hAnsi="宋体"/>
                <w:color w:val="auto"/>
                <w:szCs w:val="21"/>
                <w:highlight w:val="none"/>
              </w:rPr>
            </w:pPr>
          </w:p>
        </w:tc>
        <w:tc>
          <w:tcPr>
            <w:tcW w:w="1034" w:type="dxa"/>
            <w:noWrap w:val="0"/>
            <w:vAlign w:val="center"/>
          </w:tcPr>
          <w:p w14:paraId="7CA8A0B1">
            <w:pPr>
              <w:spacing w:line="560" w:lineRule="exact"/>
              <w:jc w:val="center"/>
              <w:rPr>
                <w:rFonts w:ascii="宋体" w:hAnsi="宋体"/>
                <w:color w:val="auto"/>
                <w:szCs w:val="21"/>
                <w:highlight w:val="none"/>
              </w:rPr>
            </w:pPr>
          </w:p>
        </w:tc>
        <w:tc>
          <w:tcPr>
            <w:tcW w:w="1160" w:type="dxa"/>
            <w:noWrap w:val="0"/>
            <w:vAlign w:val="center"/>
          </w:tcPr>
          <w:p w14:paraId="20CC0864">
            <w:pPr>
              <w:spacing w:line="560" w:lineRule="exact"/>
              <w:jc w:val="center"/>
              <w:rPr>
                <w:rFonts w:ascii="宋体" w:hAnsi="宋体"/>
                <w:color w:val="auto"/>
                <w:szCs w:val="21"/>
                <w:highlight w:val="none"/>
              </w:rPr>
            </w:pPr>
          </w:p>
        </w:tc>
        <w:tc>
          <w:tcPr>
            <w:tcW w:w="850" w:type="dxa"/>
            <w:noWrap w:val="0"/>
            <w:vAlign w:val="center"/>
          </w:tcPr>
          <w:p w14:paraId="3567C305">
            <w:pPr>
              <w:spacing w:line="560" w:lineRule="exact"/>
              <w:jc w:val="center"/>
              <w:rPr>
                <w:rFonts w:ascii="宋体" w:hAnsi="宋体"/>
                <w:color w:val="auto"/>
                <w:szCs w:val="21"/>
                <w:highlight w:val="none"/>
              </w:rPr>
            </w:pPr>
          </w:p>
        </w:tc>
        <w:tc>
          <w:tcPr>
            <w:tcW w:w="850" w:type="dxa"/>
            <w:noWrap w:val="0"/>
            <w:vAlign w:val="center"/>
          </w:tcPr>
          <w:p w14:paraId="47731241">
            <w:pPr>
              <w:spacing w:line="560" w:lineRule="exact"/>
              <w:jc w:val="center"/>
              <w:rPr>
                <w:rFonts w:ascii="宋体" w:hAnsi="宋体"/>
                <w:color w:val="auto"/>
                <w:szCs w:val="21"/>
                <w:highlight w:val="none"/>
              </w:rPr>
            </w:pPr>
          </w:p>
        </w:tc>
      </w:tr>
      <w:tr w14:paraId="556B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14D38B42">
            <w:pPr>
              <w:spacing w:line="560" w:lineRule="exact"/>
              <w:jc w:val="center"/>
              <w:rPr>
                <w:rFonts w:ascii="宋体" w:hAnsi="宋体"/>
                <w:color w:val="auto"/>
                <w:szCs w:val="21"/>
                <w:highlight w:val="none"/>
              </w:rPr>
            </w:pPr>
          </w:p>
        </w:tc>
        <w:tc>
          <w:tcPr>
            <w:tcW w:w="1701" w:type="dxa"/>
            <w:noWrap w:val="0"/>
            <w:vAlign w:val="center"/>
          </w:tcPr>
          <w:p w14:paraId="1F3FE754">
            <w:pPr>
              <w:spacing w:line="560" w:lineRule="exact"/>
              <w:jc w:val="center"/>
              <w:rPr>
                <w:rFonts w:ascii="宋体" w:hAnsi="宋体"/>
                <w:color w:val="auto"/>
                <w:szCs w:val="21"/>
                <w:highlight w:val="none"/>
              </w:rPr>
            </w:pPr>
          </w:p>
        </w:tc>
        <w:tc>
          <w:tcPr>
            <w:tcW w:w="1110" w:type="dxa"/>
            <w:noWrap w:val="0"/>
            <w:vAlign w:val="center"/>
          </w:tcPr>
          <w:p w14:paraId="7B61FB7F">
            <w:pPr>
              <w:spacing w:line="560" w:lineRule="exact"/>
              <w:jc w:val="center"/>
              <w:rPr>
                <w:rFonts w:ascii="宋体" w:hAnsi="宋体"/>
                <w:color w:val="auto"/>
                <w:szCs w:val="21"/>
                <w:highlight w:val="none"/>
              </w:rPr>
            </w:pPr>
          </w:p>
        </w:tc>
        <w:tc>
          <w:tcPr>
            <w:tcW w:w="1054" w:type="dxa"/>
            <w:noWrap w:val="0"/>
            <w:vAlign w:val="center"/>
          </w:tcPr>
          <w:p w14:paraId="18350956">
            <w:pPr>
              <w:spacing w:line="560" w:lineRule="exact"/>
              <w:jc w:val="center"/>
              <w:rPr>
                <w:rFonts w:ascii="宋体" w:hAnsi="宋体"/>
                <w:color w:val="auto"/>
                <w:szCs w:val="21"/>
                <w:highlight w:val="none"/>
              </w:rPr>
            </w:pPr>
          </w:p>
        </w:tc>
        <w:tc>
          <w:tcPr>
            <w:tcW w:w="1034" w:type="dxa"/>
            <w:noWrap w:val="0"/>
            <w:vAlign w:val="center"/>
          </w:tcPr>
          <w:p w14:paraId="6673660E">
            <w:pPr>
              <w:spacing w:line="560" w:lineRule="exact"/>
              <w:jc w:val="center"/>
              <w:rPr>
                <w:rFonts w:ascii="宋体" w:hAnsi="宋体"/>
                <w:color w:val="auto"/>
                <w:szCs w:val="21"/>
                <w:highlight w:val="none"/>
              </w:rPr>
            </w:pPr>
          </w:p>
        </w:tc>
        <w:tc>
          <w:tcPr>
            <w:tcW w:w="1160" w:type="dxa"/>
            <w:noWrap w:val="0"/>
            <w:vAlign w:val="center"/>
          </w:tcPr>
          <w:p w14:paraId="6B57D8DE">
            <w:pPr>
              <w:spacing w:line="560" w:lineRule="exact"/>
              <w:jc w:val="center"/>
              <w:rPr>
                <w:rFonts w:ascii="宋体" w:hAnsi="宋体"/>
                <w:color w:val="auto"/>
                <w:szCs w:val="21"/>
                <w:highlight w:val="none"/>
              </w:rPr>
            </w:pPr>
          </w:p>
        </w:tc>
        <w:tc>
          <w:tcPr>
            <w:tcW w:w="850" w:type="dxa"/>
            <w:noWrap w:val="0"/>
            <w:vAlign w:val="center"/>
          </w:tcPr>
          <w:p w14:paraId="254CC924">
            <w:pPr>
              <w:spacing w:line="560" w:lineRule="exact"/>
              <w:jc w:val="center"/>
              <w:rPr>
                <w:rFonts w:ascii="宋体" w:hAnsi="宋体"/>
                <w:color w:val="auto"/>
                <w:szCs w:val="21"/>
                <w:highlight w:val="none"/>
              </w:rPr>
            </w:pPr>
          </w:p>
        </w:tc>
        <w:tc>
          <w:tcPr>
            <w:tcW w:w="850" w:type="dxa"/>
            <w:noWrap w:val="0"/>
            <w:vAlign w:val="center"/>
          </w:tcPr>
          <w:p w14:paraId="698D3133">
            <w:pPr>
              <w:spacing w:line="560" w:lineRule="exact"/>
              <w:jc w:val="center"/>
              <w:rPr>
                <w:rFonts w:ascii="宋体" w:hAnsi="宋体"/>
                <w:color w:val="auto"/>
                <w:szCs w:val="21"/>
                <w:highlight w:val="none"/>
              </w:rPr>
            </w:pPr>
          </w:p>
        </w:tc>
      </w:tr>
      <w:tr w14:paraId="7FC6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08549A68">
            <w:pPr>
              <w:spacing w:line="560" w:lineRule="exact"/>
              <w:jc w:val="center"/>
              <w:rPr>
                <w:rFonts w:ascii="宋体" w:hAnsi="宋体"/>
                <w:color w:val="auto"/>
                <w:szCs w:val="21"/>
                <w:highlight w:val="none"/>
              </w:rPr>
            </w:pPr>
          </w:p>
        </w:tc>
        <w:tc>
          <w:tcPr>
            <w:tcW w:w="1701" w:type="dxa"/>
            <w:noWrap w:val="0"/>
            <w:vAlign w:val="center"/>
          </w:tcPr>
          <w:p w14:paraId="3ADE73FB">
            <w:pPr>
              <w:spacing w:line="560" w:lineRule="exact"/>
              <w:jc w:val="center"/>
              <w:rPr>
                <w:rFonts w:ascii="宋体" w:hAnsi="宋体"/>
                <w:color w:val="auto"/>
                <w:szCs w:val="21"/>
                <w:highlight w:val="none"/>
              </w:rPr>
            </w:pPr>
          </w:p>
        </w:tc>
        <w:tc>
          <w:tcPr>
            <w:tcW w:w="1110" w:type="dxa"/>
            <w:noWrap w:val="0"/>
            <w:vAlign w:val="center"/>
          </w:tcPr>
          <w:p w14:paraId="0FC9EDA3">
            <w:pPr>
              <w:spacing w:line="560" w:lineRule="exact"/>
              <w:jc w:val="center"/>
              <w:rPr>
                <w:rFonts w:ascii="宋体" w:hAnsi="宋体"/>
                <w:color w:val="auto"/>
                <w:szCs w:val="21"/>
                <w:highlight w:val="none"/>
              </w:rPr>
            </w:pPr>
          </w:p>
        </w:tc>
        <w:tc>
          <w:tcPr>
            <w:tcW w:w="1054" w:type="dxa"/>
            <w:noWrap w:val="0"/>
            <w:vAlign w:val="center"/>
          </w:tcPr>
          <w:p w14:paraId="65046104">
            <w:pPr>
              <w:spacing w:line="560" w:lineRule="exact"/>
              <w:jc w:val="center"/>
              <w:rPr>
                <w:rFonts w:ascii="宋体" w:hAnsi="宋体"/>
                <w:color w:val="auto"/>
                <w:szCs w:val="21"/>
                <w:highlight w:val="none"/>
              </w:rPr>
            </w:pPr>
          </w:p>
        </w:tc>
        <w:tc>
          <w:tcPr>
            <w:tcW w:w="1034" w:type="dxa"/>
            <w:noWrap w:val="0"/>
            <w:vAlign w:val="center"/>
          </w:tcPr>
          <w:p w14:paraId="7C79C117">
            <w:pPr>
              <w:spacing w:line="560" w:lineRule="exact"/>
              <w:jc w:val="center"/>
              <w:rPr>
                <w:rFonts w:ascii="宋体" w:hAnsi="宋体"/>
                <w:color w:val="auto"/>
                <w:szCs w:val="21"/>
                <w:highlight w:val="none"/>
              </w:rPr>
            </w:pPr>
          </w:p>
        </w:tc>
        <w:tc>
          <w:tcPr>
            <w:tcW w:w="1160" w:type="dxa"/>
            <w:noWrap w:val="0"/>
            <w:vAlign w:val="center"/>
          </w:tcPr>
          <w:p w14:paraId="64574425">
            <w:pPr>
              <w:spacing w:line="560" w:lineRule="exact"/>
              <w:jc w:val="center"/>
              <w:rPr>
                <w:rFonts w:ascii="宋体" w:hAnsi="宋体"/>
                <w:color w:val="auto"/>
                <w:szCs w:val="21"/>
                <w:highlight w:val="none"/>
              </w:rPr>
            </w:pPr>
          </w:p>
        </w:tc>
        <w:tc>
          <w:tcPr>
            <w:tcW w:w="850" w:type="dxa"/>
            <w:noWrap w:val="0"/>
            <w:vAlign w:val="center"/>
          </w:tcPr>
          <w:p w14:paraId="4F2E30F1">
            <w:pPr>
              <w:spacing w:line="560" w:lineRule="exact"/>
              <w:jc w:val="center"/>
              <w:rPr>
                <w:rFonts w:ascii="宋体" w:hAnsi="宋体"/>
                <w:color w:val="auto"/>
                <w:szCs w:val="21"/>
                <w:highlight w:val="none"/>
              </w:rPr>
            </w:pPr>
          </w:p>
        </w:tc>
        <w:tc>
          <w:tcPr>
            <w:tcW w:w="850" w:type="dxa"/>
            <w:noWrap w:val="0"/>
            <w:vAlign w:val="center"/>
          </w:tcPr>
          <w:p w14:paraId="6F463B21">
            <w:pPr>
              <w:spacing w:line="560" w:lineRule="exact"/>
              <w:jc w:val="center"/>
              <w:rPr>
                <w:rFonts w:ascii="宋体" w:hAnsi="宋体"/>
                <w:color w:val="auto"/>
                <w:szCs w:val="21"/>
                <w:highlight w:val="none"/>
              </w:rPr>
            </w:pPr>
          </w:p>
        </w:tc>
      </w:tr>
      <w:tr w14:paraId="1D94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50" w:type="dxa"/>
            <w:noWrap w:val="0"/>
            <w:vAlign w:val="center"/>
          </w:tcPr>
          <w:p w14:paraId="313C78A7">
            <w:pPr>
              <w:spacing w:line="560" w:lineRule="exact"/>
              <w:jc w:val="center"/>
              <w:rPr>
                <w:rFonts w:ascii="宋体" w:hAnsi="宋体"/>
                <w:color w:val="auto"/>
                <w:szCs w:val="21"/>
                <w:highlight w:val="none"/>
              </w:rPr>
            </w:pPr>
          </w:p>
        </w:tc>
        <w:tc>
          <w:tcPr>
            <w:tcW w:w="1701" w:type="dxa"/>
            <w:noWrap w:val="0"/>
            <w:vAlign w:val="center"/>
          </w:tcPr>
          <w:p w14:paraId="39F16D9E">
            <w:pPr>
              <w:spacing w:line="560" w:lineRule="exact"/>
              <w:jc w:val="center"/>
              <w:rPr>
                <w:rFonts w:ascii="宋体" w:hAnsi="宋体"/>
                <w:color w:val="auto"/>
                <w:szCs w:val="21"/>
                <w:highlight w:val="none"/>
              </w:rPr>
            </w:pPr>
          </w:p>
        </w:tc>
        <w:tc>
          <w:tcPr>
            <w:tcW w:w="1110" w:type="dxa"/>
            <w:noWrap w:val="0"/>
            <w:vAlign w:val="center"/>
          </w:tcPr>
          <w:p w14:paraId="1EE55BB3">
            <w:pPr>
              <w:spacing w:line="560" w:lineRule="exact"/>
              <w:jc w:val="center"/>
              <w:rPr>
                <w:rFonts w:ascii="宋体" w:hAnsi="宋体"/>
                <w:color w:val="auto"/>
                <w:szCs w:val="21"/>
                <w:highlight w:val="none"/>
              </w:rPr>
            </w:pPr>
          </w:p>
        </w:tc>
        <w:tc>
          <w:tcPr>
            <w:tcW w:w="1054" w:type="dxa"/>
            <w:noWrap w:val="0"/>
            <w:vAlign w:val="center"/>
          </w:tcPr>
          <w:p w14:paraId="3FB93278">
            <w:pPr>
              <w:spacing w:line="560" w:lineRule="exact"/>
              <w:jc w:val="center"/>
              <w:rPr>
                <w:rFonts w:ascii="宋体" w:hAnsi="宋体"/>
                <w:color w:val="auto"/>
                <w:szCs w:val="21"/>
                <w:highlight w:val="none"/>
              </w:rPr>
            </w:pPr>
          </w:p>
        </w:tc>
        <w:tc>
          <w:tcPr>
            <w:tcW w:w="1034" w:type="dxa"/>
            <w:noWrap w:val="0"/>
            <w:vAlign w:val="center"/>
          </w:tcPr>
          <w:p w14:paraId="20BCD0BF">
            <w:pPr>
              <w:spacing w:line="560" w:lineRule="exact"/>
              <w:jc w:val="center"/>
              <w:rPr>
                <w:rFonts w:ascii="宋体" w:hAnsi="宋体"/>
                <w:color w:val="auto"/>
                <w:szCs w:val="21"/>
                <w:highlight w:val="none"/>
              </w:rPr>
            </w:pPr>
          </w:p>
        </w:tc>
        <w:tc>
          <w:tcPr>
            <w:tcW w:w="1160" w:type="dxa"/>
            <w:noWrap w:val="0"/>
            <w:vAlign w:val="center"/>
          </w:tcPr>
          <w:p w14:paraId="349278D8">
            <w:pPr>
              <w:spacing w:line="560" w:lineRule="exact"/>
              <w:jc w:val="center"/>
              <w:rPr>
                <w:rFonts w:ascii="宋体" w:hAnsi="宋体"/>
                <w:color w:val="auto"/>
                <w:szCs w:val="21"/>
                <w:highlight w:val="none"/>
              </w:rPr>
            </w:pPr>
          </w:p>
        </w:tc>
        <w:tc>
          <w:tcPr>
            <w:tcW w:w="850" w:type="dxa"/>
            <w:noWrap w:val="0"/>
            <w:vAlign w:val="center"/>
          </w:tcPr>
          <w:p w14:paraId="69EEA455">
            <w:pPr>
              <w:spacing w:line="560" w:lineRule="exact"/>
              <w:jc w:val="center"/>
              <w:rPr>
                <w:rFonts w:ascii="宋体" w:hAnsi="宋体"/>
                <w:color w:val="auto"/>
                <w:szCs w:val="21"/>
                <w:highlight w:val="none"/>
              </w:rPr>
            </w:pPr>
          </w:p>
        </w:tc>
        <w:tc>
          <w:tcPr>
            <w:tcW w:w="850" w:type="dxa"/>
            <w:noWrap w:val="0"/>
            <w:vAlign w:val="center"/>
          </w:tcPr>
          <w:p w14:paraId="6C94BB7C">
            <w:pPr>
              <w:spacing w:line="560" w:lineRule="exact"/>
              <w:jc w:val="center"/>
              <w:rPr>
                <w:rFonts w:ascii="宋体" w:hAnsi="宋体"/>
                <w:color w:val="auto"/>
                <w:szCs w:val="21"/>
                <w:highlight w:val="none"/>
              </w:rPr>
            </w:pPr>
          </w:p>
        </w:tc>
      </w:tr>
    </w:tbl>
    <w:p w14:paraId="5B9FBE64">
      <w:pPr>
        <w:rPr>
          <w:rFonts w:ascii="宋体" w:hAnsi="宋体"/>
          <w:color w:val="auto"/>
          <w:szCs w:val="21"/>
          <w:highlight w:val="none"/>
        </w:rPr>
      </w:pPr>
      <w:r>
        <w:rPr>
          <w:rFonts w:hint="eastAsia" w:ascii="宋体" w:hAnsi="宋体"/>
          <w:color w:val="auto"/>
          <w:szCs w:val="21"/>
          <w:highlight w:val="none"/>
        </w:rPr>
        <w:t>注：1.本表用于确定综合评估得分及排序，适用于综合评标法。</w:t>
      </w:r>
    </w:p>
    <w:p w14:paraId="033E886D">
      <w:pPr>
        <w:ind w:firstLine="420" w:firstLineChars="200"/>
        <w:rPr>
          <w:rFonts w:ascii="宋体" w:hAnsi="宋体"/>
          <w:color w:val="auto"/>
          <w:szCs w:val="21"/>
          <w:highlight w:val="none"/>
        </w:rPr>
      </w:pPr>
      <w:r>
        <w:rPr>
          <w:rFonts w:hint="eastAsia" w:ascii="宋体" w:hAnsi="宋体"/>
          <w:color w:val="auto"/>
          <w:szCs w:val="21"/>
          <w:highlight w:val="none"/>
        </w:rPr>
        <w:t>2.未能通过初步评审的投标人不得在本表中列出。</w:t>
      </w:r>
    </w:p>
    <w:p w14:paraId="253F5F10">
      <w:pPr>
        <w:ind w:firstLine="420" w:firstLineChars="200"/>
        <w:rPr>
          <w:rFonts w:ascii="宋体" w:hAnsi="宋体"/>
          <w:color w:val="auto"/>
          <w:szCs w:val="21"/>
          <w:highlight w:val="none"/>
        </w:rPr>
      </w:pPr>
      <w:r>
        <w:rPr>
          <w:rFonts w:hint="eastAsia" w:ascii="宋体" w:hAnsi="宋体"/>
          <w:color w:val="auto"/>
          <w:szCs w:val="21"/>
          <w:highlight w:val="none"/>
        </w:rPr>
        <w:t>3. 投标人在本表中的排列次序：按照“总得分”高低次序排列。</w:t>
      </w:r>
    </w:p>
    <w:p w14:paraId="3B2E73C5">
      <w:pPr>
        <w:ind w:firstLine="420" w:firstLineChars="200"/>
        <w:rPr>
          <w:rFonts w:ascii="宋体" w:hAnsi="宋体"/>
          <w:color w:val="auto"/>
          <w:szCs w:val="21"/>
          <w:highlight w:val="none"/>
        </w:rPr>
      </w:pPr>
      <w:r>
        <w:rPr>
          <w:rFonts w:hint="eastAsia" w:ascii="宋体" w:hAnsi="宋体"/>
          <w:color w:val="auto"/>
          <w:szCs w:val="21"/>
          <w:highlight w:val="none"/>
        </w:rPr>
        <w:t>4. 本表中的得分排序：按照本表“总得分”由高到低的原则编号，即本表总得分最高的“得分排序”为 “1”。</w:t>
      </w:r>
    </w:p>
    <w:p w14:paraId="3B7E3BB4">
      <w:pPr>
        <w:rPr>
          <w:rFonts w:ascii="宋体" w:hAnsi="宋体"/>
          <w:color w:val="auto"/>
          <w:szCs w:val="21"/>
          <w:highlight w:val="none"/>
        </w:rPr>
      </w:pPr>
    </w:p>
    <w:p w14:paraId="36EDBD96">
      <w:pPr>
        <w:rPr>
          <w:rFonts w:ascii="宋体" w:hAnsi="宋体"/>
          <w:color w:val="auto"/>
          <w:kern w:val="0"/>
          <w:highlight w:val="none"/>
        </w:rPr>
      </w:pPr>
      <w:r>
        <w:rPr>
          <w:rFonts w:hint="eastAsia" w:ascii="宋体" w:hAnsi="宋体"/>
          <w:color w:val="auto"/>
          <w:szCs w:val="21"/>
          <w:highlight w:val="none"/>
        </w:rPr>
        <w:t xml:space="preserve">评标委员会全体评委签名：                              </w:t>
      </w:r>
      <w:r>
        <w:rPr>
          <w:rFonts w:hint="eastAsia" w:ascii="宋体" w:hAnsi="宋体"/>
          <w:color w:val="auto"/>
          <w:kern w:val="0"/>
          <w:highlight w:val="none"/>
        </w:rPr>
        <w:t>日期：   年   月  日</w:t>
      </w:r>
    </w:p>
    <w:p w14:paraId="1E9C4458">
      <w:pPr>
        <w:pStyle w:val="2"/>
        <w:jc w:val="center"/>
        <w:rPr>
          <w:color w:val="auto"/>
          <w:highlight w:val="none"/>
        </w:rPr>
      </w:pPr>
      <w:r>
        <w:rPr>
          <w:rFonts w:ascii="宋体" w:hAnsi="宋体"/>
          <w:color w:val="auto"/>
          <w:kern w:val="0"/>
          <w:highlight w:val="none"/>
        </w:rPr>
        <w:br w:type="page"/>
      </w:r>
      <w:bookmarkStart w:id="269" w:name="_Toc21787745"/>
      <w:bookmarkStart w:id="270" w:name="_Toc180758577"/>
      <w:r>
        <w:rPr>
          <w:rFonts w:hint="eastAsia"/>
          <w:color w:val="auto"/>
          <w:highlight w:val="none"/>
        </w:rPr>
        <w:t>第四章 合同条款</w:t>
      </w:r>
      <w:bookmarkEnd w:id="269"/>
      <w:bookmarkEnd w:id="270"/>
    </w:p>
    <w:p w14:paraId="047B38A5">
      <w:pPr>
        <w:rPr>
          <w:rFonts w:ascii="宋体" w:hAnsi="宋体" w:cs="宋体"/>
          <w:color w:val="auto"/>
          <w:highlight w:val="none"/>
        </w:rPr>
      </w:pPr>
    </w:p>
    <w:p w14:paraId="2175FA86">
      <w:pPr>
        <w:rPr>
          <w:rFonts w:ascii="宋体" w:hAnsi="宋体"/>
          <w:color w:val="auto"/>
          <w:highlight w:val="none"/>
        </w:rPr>
      </w:pPr>
    </w:p>
    <w:p w14:paraId="1B671D10">
      <w:pPr>
        <w:ind w:firstLine="420" w:firstLineChars="200"/>
        <w:rPr>
          <w:rFonts w:ascii="宋体" w:hAnsi="宋体"/>
          <w:color w:val="auto"/>
          <w:highlight w:val="none"/>
        </w:rPr>
      </w:pPr>
    </w:p>
    <w:p w14:paraId="5FCF0B79">
      <w:pPr>
        <w:rPr>
          <w:rFonts w:ascii="宋体" w:hAnsi="宋体"/>
          <w:color w:val="auto"/>
          <w:highlight w:val="none"/>
        </w:rPr>
      </w:pPr>
    </w:p>
    <w:p w14:paraId="300FA64E">
      <w:pPr>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szCs w:val="21"/>
          <w:highlight w:val="none"/>
        </w:rPr>
        <w:t xml:space="preserve">     合同编号：</w:t>
      </w:r>
      <w:r>
        <w:rPr>
          <w:rFonts w:ascii="宋体" w:hAnsi="宋体"/>
          <w:color w:val="auto"/>
          <w:highlight w:val="none"/>
        </w:rPr>
        <w:t xml:space="preserve"> </w:t>
      </w:r>
    </w:p>
    <w:p w14:paraId="7FE8E5CA">
      <w:pPr>
        <w:rPr>
          <w:rFonts w:ascii="宋体" w:hAnsi="宋体"/>
          <w:color w:val="auto"/>
          <w:highlight w:val="none"/>
        </w:rPr>
      </w:pPr>
    </w:p>
    <w:p w14:paraId="5123EC0A">
      <w:pPr>
        <w:rPr>
          <w:rFonts w:ascii="宋体" w:hAnsi="宋体"/>
          <w:color w:val="auto"/>
          <w:highlight w:val="none"/>
        </w:rPr>
      </w:pPr>
    </w:p>
    <w:p w14:paraId="38785655">
      <w:pPr>
        <w:rPr>
          <w:rFonts w:ascii="宋体" w:hAnsi="宋体"/>
          <w:color w:val="auto"/>
          <w:highlight w:val="none"/>
        </w:rPr>
      </w:pPr>
    </w:p>
    <w:p w14:paraId="26A9029C">
      <w:pPr>
        <w:rPr>
          <w:rFonts w:ascii="宋体" w:hAnsi="宋体"/>
          <w:color w:val="auto"/>
          <w:highlight w:val="none"/>
        </w:rPr>
      </w:pPr>
    </w:p>
    <w:p w14:paraId="2C814FB7">
      <w:pPr>
        <w:rPr>
          <w:rFonts w:ascii="宋体" w:hAnsi="宋体"/>
          <w:color w:val="auto"/>
          <w:highlight w:val="none"/>
        </w:rPr>
      </w:pPr>
    </w:p>
    <w:p w14:paraId="6DD0F8EB">
      <w:pPr>
        <w:rPr>
          <w:rFonts w:ascii="宋体" w:hAnsi="宋体"/>
          <w:color w:val="auto"/>
          <w:highlight w:val="none"/>
        </w:rPr>
      </w:pPr>
    </w:p>
    <w:p w14:paraId="07303182">
      <w:pPr>
        <w:jc w:val="center"/>
        <w:rPr>
          <w:rFonts w:ascii="宋体" w:hAnsi="宋体"/>
          <w:b/>
          <w:color w:val="auto"/>
          <w:sz w:val="84"/>
          <w:szCs w:val="84"/>
          <w:highlight w:val="none"/>
        </w:rPr>
      </w:pPr>
      <w:r>
        <w:rPr>
          <w:rFonts w:hint="eastAsia" w:ascii="宋体" w:hAnsi="宋体"/>
          <w:b/>
          <w:color w:val="auto"/>
          <w:sz w:val="84"/>
          <w:szCs w:val="84"/>
          <w:highlight w:val="none"/>
        </w:rPr>
        <w:t>建设工程施工合同</w:t>
      </w:r>
    </w:p>
    <w:p w14:paraId="5B000BC0">
      <w:pPr>
        <w:rPr>
          <w:rFonts w:ascii="宋体" w:hAnsi="宋体"/>
          <w:color w:val="auto"/>
          <w:highlight w:val="none"/>
        </w:rPr>
      </w:pPr>
    </w:p>
    <w:p w14:paraId="3AEE5249">
      <w:pPr>
        <w:spacing w:line="480" w:lineRule="exact"/>
        <w:rPr>
          <w:rFonts w:ascii="宋体" w:hAnsi="宋体"/>
          <w:color w:val="auto"/>
          <w:sz w:val="28"/>
          <w:szCs w:val="28"/>
          <w:highlight w:val="none"/>
        </w:rPr>
      </w:pPr>
      <w:r>
        <w:rPr>
          <w:rFonts w:hint="eastAsia" w:ascii="宋体" w:hAnsi="宋体"/>
          <w:color w:val="auto"/>
          <w:sz w:val="28"/>
          <w:szCs w:val="28"/>
          <w:highlight w:val="none"/>
        </w:rPr>
        <w:t xml:space="preserve">         </w:t>
      </w:r>
    </w:p>
    <w:p w14:paraId="1048364C">
      <w:pPr>
        <w:snapToGrid w:val="0"/>
        <w:spacing w:line="500" w:lineRule="atLeast"/>
        <w:jc w:val="center"/>
        <w:rPr>
          <w:rFonts w:ascii="宋体" w:hAnsi="宋体"/>
          <w:color w:val="auto"/>
          <w:sz w:val="28"/>
          <w:highlight w:val="none"/>
        </w:rPr>
      </w:pPr>
      <w:r>
        <w:rPr>
          <w:rFonts w:hint="eastAsia" w:ascii="宋体" w:hAnsi="宋体"/>
          <w:color w:val="auto"/>
          <w:sz w:val="28"/>
          <w:highlight w:val="none"/>
        </w:rPr>
        <w:t>（适用于水利综合评标类工程）</w:t>
      </w:r>
    </w:p>
    <w:p w14:paraId="3C1F2C62">
      <w:pPr>
        <w:spacing w:line="480" w:lineRule="exact"/>
        <w:rPr>
          <w:rFonts w:ascii="宋体" w:hAnsi="宋体"/>
          <w:color w:val="auto"/>
          <w:sz w:val="28"/>
          <w:szCs w:val="28"/>
          <w:highlight w:val="none"/>
        </w:rPr>
      </w:pPr>
    </w:p>
    <w:p w14:paraId="3EA6540D">
      <w:pPr>
        <w:spacing w:line="480" w:lineRule="exact"/>
        <w:rPr>
          <w:rFonts w:ascii="宋体" w:hAnsi="宋体"/>
          <w:color w:val="auto"/>
          <w:sz w:val="28"/>
          <w:szCs w:val="28"/>
          <w:highlight w:val="none"/>
        </w:rPr>
      </w:pPr>
    </w:p>
    <w:p w14:paraId="2AECA9BD">
      <w:pPr>
        <w:spacing w:line="480" w:lineRule="exact"/>
        <w:ind w:firstLine="1400" w:firstLineChars="500"/>
        <w:rPr>
          <w:rFonts w:ascii="宋体" w:hAnsi="宋体"/>
          <w:color w:val="auto"/>
          <w:sz w:val="28"/>
          <w:szCs w:val="28"/>
          <w:highlight w:val="none"/>
          <w:u w:val="single"/>
        </w:rPr>
      </w:pPr>
      <w:r>
        <w:rPr>
          <w:rFonts w:hint="eastAsia" w:ascii="宋体" w:hAnsi="宋体"/>
          <w:color w:val="auto"/>
          <w:sz w:val="28"/>
          <w:szCs w:val="28"/>
          <w:highlight w:val="none"/>
        </w:rPr>
        <w:t>项目名称：</w:t>
      </w:r>
      <w:r>
        <w:rPr>
          <w:rFonts w:hint="eastAsia" w:ascii="宋体" w:hAnsi="宋体"/>
          <w:color w:val="auto"/>
          <w:sz w:val="28"/>
          <w:szCs w:val="28"/>
          <w:highlight w:val="none"/>
          <w:u w:val="single"/>
        </w:rPr>
        <w:t xml:space="preserve">                                       </w:t>
      </w:r>
    </w:p>
    <w:p w14:paraId="116AC734">
      <w:pPr>
        <w:spacing w:line="480" w:lineRule="exact"/>
        <w:rPr>
          <w:rFonts w:ascii="宋体" w:hAnsi="宋体"/>
          <w:color w:val="auto"/>
          <w:sz w:val="28"/>
          <w:szCs w:val="28"/>
          <w:highlight w:val="none"/>
          <w:u w:val="single"/>
        </w:rPr>
      </w:pPr>
      <w:r>
        <w:rPr>
          <w:rFonts w:hint="eastAsia" w:ascii="宋体" w:hAnsi="宋体"/>
          <w:color w:val="auto"/>
          <w:sz w:val="28"/>
          <w:szCs w:val="28"/>
          <w:highlight w:val="none"/>
        </w:rPr>
        <w:t xml:space="preserve">          发包人：</w:t>
      </w:r>
      <w:r>
        <w:rPr>
          <w:rFonts w:hint="eastAsia" w:ascii="宋体" w:hAnsi="宋体"/>
          <w:color w:val="auto"/>
          <w:sz w:val="28"/>
          <w:szCs w:val="28"/>
          <w:highlight w:val="none"/>
          <w:u w:val="single"/>
        </w:rPr>
        <w:t xml:space="preserve">                                       </w:t>
      </w:r>
    </w:p>
    <w:p w14:paraId="448138F9">
      <w:pPr>
        <w:snapToGrid w:val="0"/>
        <w:spacing w:line="440" w:lineRule="exact"/>
        <w:rPr>
          <w:rFonts w:ascii="宋体" w:hAnsi="宋体"/>
          <w:color w:val="auto"/>
          <w:sz w:val="28"/>
          <w:szCs w:val="28"/>
          <w:highlight w:val="none"/>
          <w:u w:val="single"/>
        </w:rPr>
      </w:pPr>
      <w:r>
        <w:rPr>
          <w:rFonts w:hint="eastAsia" w:ascii="宋体" w:hAnsi="宋体"/>
          <w:color w:val="auto"/>
          <w:sz w:val="28"/>
          <w:szCs w:val="28"/>
          <w:highlight w:val="none"/>
        </w:rPr>
        <w:t xml:space="preserve">          承包人：</w:t>
      </w:r>
      <w:r>
        <w:rPr>
          <w:rFonts w:hint="eastAsia" w:ascii="宋体" w:hAnsi="宋体"/>
          <w:color w:val="auto"/>
          <w:sz w:val="28"/>
          <w:szCs w:val="28"/>
          <w:highlight w:val="none"/>
          <w:u w:val="single"/>
        </w:rPr>
        <w:t xml:space="preserve">                                         </w:t>
      </w:r>
    </w:p>
    <w:p w14:paraId="6E7A1CA2">
      <w:pPr>
        <w:spacing w:line="480" w:lineRule="exact"/>
        <w:rPr>
          <w:rFonts w:ascii="宋体" w:hAnsi="宋体"/>
          <w:color w:val="auto"/>
          <w:sz w:val="28"/>
          <w:szCs w:val="28"/>
          <w:highlight w:val="none"/>
          <w:u w:val="single"/>
        </w:rPr>
      </w:pPr>
      <w:r>
        <w:rPr>
          <w:rFonts w:hint="eastAsia" w:ascii="宋体" w:hAnsi="宋体"/>
          <w:color w:val="auto"/>
          <w:sz w:val="28"/>
          <w:szCs w:val="28"/>
          <w:highlight w:val="none"/>
        </w:rPr>
        <w:t xml:space="preserve">          合同签订日期：</w:t>
      </w:r>
      <w:r>
        <w:rPr>
          <w:rFonts w:hint="eastAsia" w:ascii="宋体" w:hAnsi="宋体"/>
          <w:color w:val="auto"/>
          <w:sz w:val="28"/>
          <w:szCs w:val="28"/>
          <w:highlight w:val="none"/>
          <w:u w:val="single"/>
        </w:rPr>
        <w:t xml:space="preserve">       年  月    日         </w:t>
      </w:r>
    </w:p>
    <w:p w14:paraId="70B2C3F0">
      <w:pPr>
        <w:spacing w:line="480" w:lineRule="exact"/>
        <w:rPr>
          <w:rFonts w:ascii="宋体" w:hAnsi="宋体"/>
          <w:color w:val="auto"/>
          <w:sz w:val="28"/>
          <w:szCs w:val="28"/>
          <w:highlight w:val="none"/>
          <w:u w:val="single"/>
        </w:rPr>
      </w:pPr>
      <w:r>
        <w:rPr>
          <w:rFonts w:hint="eastAsia" w:ascii="宋体" w:hAnsi="宋体"/>
          <w:color w:val="auto"/>
          <w:sz w:val="28"/>
          <w:szCs w:val="28"/>
          <w:highlight w:val="none"/>
        </w:rPr>
        <w:t xml:space="preserve">          签订地点：</w:t>
      </w:r>
      <w:r>
        <w:rPr>
          <w:rFonts w:hint="eastAsia" w:ascii="宋体" w:hAnsi="宋体"/>
          <w:color w:val="auto"/>
          <w:sz w:val="28"/>
          <w:szCs w:val="28"/>
          <w:highlight w:val="none"/>
          <w:u w:val="single"/>
        </w:rPr>
        <w:t xml:space="preserve">           广州市增城区           </w:t>
      </w:r>
    </w:p>
    <w:p w14:paraId="2B75B9CF">
      <w:pPr>
        <w:rPr>
          <w:rFonts w:ascii="宋体" w:hAnsi="宋体"/>
          <w:color w:val="auto"/>
          <w:highlight w:val="none"/>
        </w:rPr>
      </w:pPr>
    </w:p>
    <w:p w14:paraId="2D73168A">
      <w:pPr>
        <w:rPr>
          <w:rFonts w:ascii="宋体" w:hAnsi="宋体"/>
          <w:color w:val="auto"/>
          <w:highlight w:val="none"/>
        </w:rPr>
        <w:sectPr>
          <w:pgSz w:w="11906" w:h="16838"/>
          <w:pgMar w:top="1440" w:right="1800" w:bottom="1440" w:left="1800" w:header="851" w:footer="992" w:gutter="0"/>
          <w:cols w:space="720" w:num="1"/>
          <w:docGrid w:type="lines" w:linePitch="312" w:charSpace="0"/>
        </w:sectPr>
      </w:pPr>
    </w:p>
    <w:p w14:paraId="25604DDC">
      <w:pPr>
        <w:spacing w:before="260" w:after="260" w:line="400" w:lineRule="exact"/>
        <w:ind w:firstLine="2982" w:firstLineChars="1100"/>
        <w:outlineLvl w:val="1"/>
        <w:rPr>
          <w:rFonts w:ascii="宋体" w:hAnsi="宋体" w:eastAsia="黑体" w:cs="宋体"/>
          <w:b/>
          <w:bCs/>
          <w:color w:val="auto"/>
          <w:kern w:val="44"/>
          <w:sz w:val="27"/>
          <w:szCs w:val="27"/>
          <w:highlight w:val="none"/>
        </w:rPr>
      </w:pPr>
      <w:bookmarkStart w:id="271" w:name="_Toc222031003"/>
      <w:bookmarkStart w:id="272" w:name="_Toc229305361"/>
      <w:bookmarkStart w:id="273" w:name="_Toc221950661"/>
      <w:bookmarkStart w:id="274" w:name="_Toc222032670"/>
      <w:bookmarkStart w:id="275" w:name="_Toc259524348"/>
      <w:bookmarkStart w:id="276" w:name="_Toc221948339"/>
      <w:bookmarkStart w:id="277" w:name="_Toc483383000"/>
      <w:bookmarkStart w:id="278" w:name="_Toc222033852"/>
      <w:bookmarkStart w:id="279" w:name="_Toc222029501"/>
      <w:bookmarkStart w:id="280" w:name="_Toc115179793"/>
      <w:r>
        <w:rPr>
          <w:rFonts w:hint="eastAsia" w:ascii="宋体" w:hAnsi="宋体" w:eastAsia="黑体" w:cs="宋体"/>
          <w:b/>
          <w:bCs/>
          <w:color w:val="auto"/>
          <w:kern w:val="44"/>
          <w:sz w:val="27"/>
          <w:szCs w:val="27"/>
          <w:highlight w:val="none"/>
        </w:rPr>
        <w:t>第一节  通用合同条款</w:t>
      </w:r>
      <w:bookmarkEnd w:id="271"/>
      <w:bookmarkEnd w:id="272"/>
      <w:bookmarkEnd w:id="273"/>
      <w:bookmarkEnd w:id="274"/>
      <w:bookmarkEnd w:id="275"/>
      <w:bookmarkEnd w:id="276"/>
      <w:bookmarkEnd w:id="277"/>
      <w:bookmarkEnd w:id="278"/>
      <w:bookmarkEnd w:id="279"/>
      <w:bookmarkEnd w:id="280"/>
    </w:p>
    <w:p w14:paraId="1B5B8425">
      <w:pPr>
        <w:spacing w:before="260" w:after="260" w:line="400" w:lineRule="exact"/>
        <w:outlineLvl w:val="1"/>
        <w:rPr>
          <w:rFonts w:ascii="宋体" w:hAnsi="宋体" w:eastAsia="黑体"/>
          <w:color w:val="auto"/>
          <w:kern w:val="44"/>
          <w:sz w:val="27"/>
          <w:szCs w:val="27"/>
          <w:highlight w:val="none"/>
        </w:rPr>
      </w:pPr>
      <w:bookmarkStart w:id="281" w:name="_Toc221950662"/>
      <w:bookmarkStart w:id="282" w:name="_Toc115179794"/>
      <w:bookmarkStart w:id="283" w:name="_Toc222029502"/>
      <w:bookmarkStart w:id="284" w:name="_Toc483383001"/>
      <w:bookmarkStart w:id="285" w:name="_Toc229305362"/>
      <w:bookmarkStart w:id="286" w:name="_Toc30120"/>
      <w:bookmarkStart w:id="287" w:name="_Toc259524349"/>
      <w:bookmarkStart w:id="288" w:name="_Toc222031004"/>
      <w:bookmarkStart w:id="289" w:name="_Toc222032671"/>
      <w:bookmarkStart w:id="290" w:name="_Toc222033853"/>
      <w:r>
        <w:rPr>
          <w:rFonts w:ascii="宋体" w:hAnsi="宋体" w:eastAsia="黑体"/>
          <w:color w:val="auto"/>
          <w:kern w:val="44"/>
          <w:sz w:val="27"/>
          <w:szCs w:val="27"/>
          <w:highlight w:val="none"/>
        </w:rPr>
        <w:t xml:space="preserve">1. </w:t>
      </w:r>
      <w:r>
        <w:rPr>
          <w:rFonts w:hint="eastAsia" w:ascii="宋体" w:hAnsi="宋体" w:eastAsia="黑体"/>
          <w:color w:val="auto"/>
          <w:kern w:val="44"/>
          <w:sz w:val="27"/>
          <w:szCs w:val="27"/>
          <w:highlight w:val="none"/>
        </w:rPr>
        <w:t>一般约定</w:t>
      </w:r>
      <w:bookmarkEnd w:id="281"/>
      <w:bookmarkEnd w:id="282"/>
      <w:bookmarkEnd w:id="283"/>
      <w:bookmarkEnd w:id="284"/>
      <w:bookmarkEnd w:id="285"/>
      <w:bookmarkEnd w:id="286"/>
      <w:bookmarkEnd w:id="287"/>
      <w:bookmarkEnd w:id="288"/>
      <w:bookmarkEnd w:id="289"/>
      <w:bookmarkEnd w:id="290"/>
    </w:p>
    <w:p w14:paraId="417C7E92">
      <w:pPr>
        <w:keepNext/>
        <w:keepLines/>
        <w:spacing w:before="260" w:after="260" w:line="416" w:lineRule="auto"/>
        <w:outlineLvl w:val="2"/>
        <w:rPr>
          <w:rFonts w:ascii="宋体" w:hAnsi="宋体"/>
          <w:b/>
          <w:bCs/>
          <w:color w:val="auto"/>
          <w:kern w:val="0"/>
          <w:sz w:val="32"/>
          <w:szCs w:val="32"/>
          <w:highlight w:val="none"/>
        </w:rPr>
      </w:pPr>
      <w:bookmarkStart w:id="291" w:name="_Toc115179795"/>
      <w:bookmarkStart w:id="292" w:name="_Toc221950667"/>
      <w:r>
        <w:rPr>
          <w:rFonts w:hint="eastAsia" w:ascii="宋体" w:hAnsi="宋体"/>
          <w:b/>
          <w:bCs/>
          <w:color w:val="auto"/>
          <w:kern w:val="0"/>
          <w:sz w:val="32"/>
          <w:szCs w:val="32"/>
          <w:highlight w:val="none"/>
        </w:rPr>
        <w:t>1.1 词语定义</w:t>
      </w:r>
      <w:bookmarkEnd w:id="291"/>
    </w:p>
    <w:p w14:paraId="1A2B00F7">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1.1.1  合同</w:t>
      </w:r>
    </w:p>
    <w:p w14:paraId="168287E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1.1.1.1 合同文件（或称合同）：指合同协议书、中标通知书、投标函及投标函附录、专用合同条款、通用合同条款、技术标准和要求、图纸、已标价工程量清单，以及其他合同文件。</w:t>
      </w:r>
    </w:p>
    <w:p w14:paraId="545D4E4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1.1.1.2 合同协议书：指第1.5 款所指的合同协议书。</w:t>
      </w:r>
    </w:p>
    <w:p w14:paraId="5507E57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1.1.1.3 中标通知书：指发包人通知承包人中标的函件。</w:t>
      </w:r>
    </w:p>
    <w:p w14:paraId="6A92D32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1.1.1.4 投标函：指构成合同文件组成部分的由承包人填写并签署的投标函。</w:t>
      </w:r>
    </w:p>
    <w:p w14:paraId="14A9394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1.1.1.5 投标函附录：指附在投标函后构成合同文件的投标函附录。</w:t>
      </w:r>
    </w:p>
    <w:p w14:paraId="7330FF76">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 xml:space="preserve">1.1.1.6  </w:t>
      </w:r>
      <w:bookmarkEnd w:id="292"/>
      <w:r>
        <w:rPr>
          <w:rFonts w:hint="eastAsia" w:ascii="宋体" w:hAnsi="宋体"/>
          <w:color w:val="auto"/>
          <w:szCs w:val="21"/>
          <w:highlight w:val="none"/>
        </w:rPr>
        <w:t>技术标准和要求：是指构成合同文件组成部分的名为技术标准和要求（合同技术条款）的文件，包括合同双方当事人约定对其所作的修改或补充。</w:t>
      </w:r>
    </w:p>
    <w:p w14:paraId="5C6A97D6">
      <w:pPr>
        <w:spacing w:line="400" w:lineRule="exact"/>
        <w:ind w:right="248" w:firstLine="420" w:firstLineChars="200"/>
        <w:rPr>
          <w:rFonts w:ascii="宋体" w:hAnsi="宋体"/>
          <w:color w:val="auto"/>
          <w:szCs w:val="21"/>
          <w:highlight w:val="none"/>
        </w:rPr>
      </w:pPr>
      <w:bookmarkStart w:id="293" w:name="_Toc221950668"/>
      <w:r>
        <w:rPr>
          <w:rFonts w:hint="eastAsia" w:ascii="宋体" w:hAnsi="宋体"/>
          <w:color w:val="auto"/>
          <w:szCs w:val="21"/>
          <w:highlight w:val="none"/>
        </w:rPr>
        <w:t>1.1.1.7  图纸：指列入合同的招标图纸、投标图纸和发包人按合同约定向承包人提供的施工图纸和其他图纸</w:t>
      </w:r>
      <w:r>
        <w:rPr>
          <w:rFonts w:ascii="宋体" w:hAnsi="宋体"/>
          <w:color w:val="auto"/>
          <w:szCs w:val="21"/>
          <w:highlight w:val="none"/>
        </w:rPr>
        <w:t>(</w:t>
      </w:r>
      <w:r>
        <w:rPr>
          <w:rFonts w:hint="eastAsia" w:ascii="宋体" w:hAnsi="宋体"/>
          <w:color w:val="auto"/>
          <w:szCs w:val="21"/>
          <w:highlight w:val="none"/>
        </w:rPr>
        <w:t>包括配套说明和有关资料</w:t>
      </w:r>
      <w:r>
        <w:rPr>
          <w:rFonts w:ascii="宋体" w:hAnsi="宋体"/>
          <w:color w:val="auto"/>
          <w:szCs w:val="21"/>
          <w:highlight w:val="none"/>
        </w:rPr>
        <w:t>)</w:t>
      </w:r>
      <w:r>
        <w:rPr>
          <w:rFonts w:hint="eastAsia" w:ascii="宋体" w:hAnsi="宋体"/>
          <w:color w:val="auto"/>
          <w:szCs w:val="21"/>
          <w:highlight w:val="none"/>
        </w:rPr>
        <w:t>。</w:t>
      </w:r>
      <w:bookmarkEnd w:id="293"/>
      <w:r>
        <w:rPr>
          <w:rFonts w:hint="eastAsia" w:ascii="宋体" w:hAnsi="宋体"/>
          <w:color w:val="auto"/>
          <w:szCs w:val="21"/>
          <w:highlight w:val="none"/>
        </w:rPr>
        <w:t>列入合同的招标图纸已成为合同文件的一部分，具有合同效力，主要用于在履行合同过程中作为衡量变更的依据，但不能直接用于施工。经发包人确认进入合同的投标图纸亦成为合同文件的一部分，用于在履行合同中检验承包人是否按其投标时承诺的条件进行施工的依据，亦不能直接用于施工。</w:t>
      </w:r>
    </w:p>
    <w:p w14:paraId="080CA3F8">
      <w:pPr>
        <w:spacing w:line="360" w:lineRule="auto"/>
        <w:ind w:firstLine="420" w:firstLineChars="200"/>
        <w:rPr>
          <w:rFonts w:ascii="宋体" w:hAnsi="宋体"/>
          <w:color w:val="auto"/>
          <w:szCs w:val="21"/>
          <w:highlight w:val="none"/>
        </w:rPr>
      </w:pPr>
      <w:bookmarkStart w:id="294" w:name="_Toc221950669"/>
      <w:r>
        <w:rPr>
          <w:rFonts w:hint="eastAsia" w:ascii="宋体" w:hAnsi="宋体"/>
          <w:color w:val="auto"/>
          <w:szCs w:val="21"/>
          <w:highlight w:val="none"/>
        </w:rPr>
        <w:t>1.1.1.8 已标价工程量清单：指构成合同文件组成部分的由承包人按照规定的格式和要求填写并标明价格的工程量清单。</w:t>
      </w:r>
    </w:p>
    <w:p w14:paraId="7C7303A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1.1.1.9 其他合同文件：指经合同双方当事人确认构成合同文件的其他文件。</w:t>
      </w:r>
    </w:p>
    <w:p w14:paraId="17FB1963">
      <w:pPr>
        <w:spacing w:line="400" w:lineRule="exact"/>
        <w:ind w:right="248" w:firstLine="420" w:firstLineChars="200"/>
        <w:rPr>
          <w:rFonts w:ascii="宋体" w:hAnsi="宋体"/>
          <w:color w:val="auto"/>
          <w:szCs w:val="21"/>
          <w:highlight w:val="none"/>
        </w:rPr>
      </w:pPr>
      <w:r>
        <w:rPr>
          <w:rFonts w:ascii="宋体" w:hAnsi="宋体"/>
          <w:color w:val="auto"/>
          <w:szCs w:val="21"/>
          <w:highlight w:val="none"/>
        </w:rPr>
        <w:t>1.1.2</w:t>
      </w:r>
      <w:bookmarkEnd w:id="294"/>
      <w:r>
        <w:rPr>
          <w:rFonts w:hint="eastAsia" w:ascii="宋体" w:hAnsi="宋体"/>
          <w:color w:val="auto"/>
          <w:szCs w:val="21"/>
          <w:highlight w:val="none"/>
        </w:rPr>
        <w:t xml:space="preserve"> 合同当事人和人员</w:t>
      </w:r>
    </w:p>
    <w:p w14:paraId="03D70D2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1.1.2.1 合同当事人：指发包人和（或）承包人。</w:t>
      </w:r>
    </w:p>
    <w:p w14:paraId="54BDA85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1.1.2.2 发包人：指专用合同条款中指明并与承包人在合同协议书中签字的当事人。</w:t>
      </w:r>
    </w:p>
    <w:p w14:paraId="2CEF4910">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1.1.2.3 承包人：指专业合同条款中指明并发包人在合同协议书中签字的当事人。</w:t>
      </w:r>
    </w:p>
    <w:p w14:paraId="3AAFDDA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1.1.2.4 承包人项目负责人：指承包人派驻施工场地的全权负责人。</w:t>
      </w:r>
    </w:p>
    <w:p w14:paraId="2DE0F4C3">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1.1.2.5 分包人：指专用合同条款中指明的，从承包人处分分包合同中某一部分工程，并与其签订分包合同的分包人。</w:t>
      </w:r>
    </w:p>
    <w:p w14:paraId="35ACFAC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1.1.2.6 监理人：指在专用合同条款中指明的，受发包人委托对合同履行实施管理的法人或其他组织。</w:t>
      </w:r>
    </w:p>
    <w:p w14:paraId="630A54C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1.1.2.7 总监理工程师（总监）：指由监理人委派常驻施工场地对合同履行实施管理的全权负责人。</w:t>
      </w:r>
    </w:p>
    <w:p w14:paraId="54B98143">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1.1.3 工程和设备</w:t>
      </w:r>
    </w:p>
    <w:p w14:paraId="7A3693B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1.1.3.1 工程：指永久工程和（或）临时工程。</w:t>
      </w:r>
    </w:p>
    <w:p w14:paraId="54CBED1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1.1.3.2 永久工程：指按合同约定建造并移交给发包人的工程，包括工程设备。</w:t>
      </w:r>
    </w:p>
    <w:p w14:paraId="0943239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1.1.3.3 临时工程：指为完成合同约定的永久工程所修建的各类临时性工程，不包括施工设备。</w:t>
      </w:r>
    </w:p>
    <w:p w14:paraId="7446A79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1.1.3.4 单位工程：指专用合同条款中指明特定范围的永久工程。</w:t>
      </w:r>
    </w:p>
    <w:p w14:paraId="02107B2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1.1.3.5 工程设备：指构成或计划构成永久工程一部分的机电设备、金属结构设备、仪器装置及其他类似的设备和装置。</w:t>
      </w:r>
    </w:p>
    <w:p w14:paraId="3C77394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1.1.3.6 施工设备：指为完成合同约定的各项工作所需的设备、器具和其他物品，不包括临时工程和材料。</w:t>
      </w:r>
    </w:p>
    <w:p w14:paraId="1437850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1.1.3.7 临时设施：指为完成合同约定的各项工作所服务的临时性生产和生活设施。</w:t>
      </w:r>
    </w:p>
    <w:p w14:paraId="25A98A2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1.1.3.8 承包人设备：指承包人自带的施工设备。</w:t>
      </w:r>
    </w:p>
    <w:p w14:paraId="102C41B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1.1.3.9 施工场地（或称工地、现场）：指用于合同工程施工的场所，以及在合同中指定作为施工场地组成部分的其他场所，包括永久占地和临时占地。</w:t>
      </w:r>
    </w:p>
    <w:p w14:paraId="6E92F87B">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1.1.3.10 永久占地：指发包人为建设本合同工程永久征用的场地。</w:t>
      </w:r>
    </w:p>
    <w:p w14:paraId="36894D41">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1.1.3.11 临时占地：指发包人为建设本合同工程临时征用，承包人在完工后须按合同要求退还的场地。</w:t>
      </w:r>
    </w:p>
    <w:p w14:paraId="7E12672F">
      <w:pPr>
        <w:spacing w:line="400" w:lineRule="exact"/>
        <w:ind w:right="248" w:firstLine="420" w:firstLineChars="200"/>
        <w:rPr>
          <w:rFonts w:ascii="宋体" w:hAnsi="宋体"/>
          <w:color w:val="auto"/>
          <w:szCs w:val="21"/>
          <w:highlight w:val="none"/>
        </w:rPr>
      </w:pPr>
      <w:bookmarkStart w:id="295" w:name="_Toc221950676"/>
      <w:r>
        <w:rPr>
          <w:rFonts w:ascii="宋体" w:hAnsi="宋体"/>
          <w:color w:val="auto"/>
          <w:szCs w:val="21"/>
          <w:highlight w:val="none"/>
        </w:rPr>
        <w:t xml:space="preserve">1.1.4 </w:t>
      </w:r>
      <w:bookmarkEnd w:id="295"/>
      <w:r>
        <w:rPr>
          <w:rFonts w:hint="eastAsia" w:ascii="宋体" w:hAnsi="宋体"/>
          <w:color w:val="auto"/>
          <w:szCs w:val="21"/>
          <w:highlight w:val="none"/>
        </w:rPr>
        <w:t>日期</w:t>
      </w:r>
    </w:p>
    <w:p w14:paraId="2CDA50F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1.1.4.1 开工通知：指监理人按第11.1 款通知承包人开工的函件。</w:t>
      </w:r>
    </w:p>
    <w:p w14:paraId="3F11940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1.1.4.2 开工日期：指监理人按第11 . 1 款发出的开工通知中写明的开工日期。</w:t>
      </w:r>
    </w:p>
    <w:p w14:paraId="60BE48B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1.1.4.3 工期：指承包人在投标函中承诺的完成合同工程所需的期限，包括按第11.3 款、第11.4 款和第11.6 款约定所作的变更。</w:t>
      </w:r>
    </w:p>
    <w:p w14:paraId="71904E0C">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1.1.4.4 竣工日期：即合同工程完工日期，指第1.1.4.3目约定工期届满时的日期。实际完工日期以合同工程完工证书中写明的日期为准。</w:t>
      </w:r>
    </w:p>
    <w:p w14:paraId="7D44D7E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1.1.4.5 缺陷责任期：即工程质量保修期，指履行第19.2款约定的缺陷责任的期限，包括根据第19.3款约定所作的延长，具体期限由专用合同条款约定。</w:t>
      </w:r>
    </w:p>
    <w:p w14:paraId="64B6301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1.1.4.6 基准日期：指投标截止时间前28 天的日期。</w:t>
      </w:r>
    </w:p>
    <w:p w14:paraId="7A4D215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1.1.4.7 天：除特别指明外，指日历天。合同中按天计算时间的，开始当天不计入，从次日开始计算。期限最后一天的截止时间为当天24:00。</w:t>
      </w:r>
    </w:p>
    <w:p w14:paraId="3F1F6B5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 合同价格和费用</w:t>
      </w:r>
    </w:p>
    <w:p w14:paraId="25F6E46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1.1.5.1 签约合同价：指签订合同时合同协议书中写明的，包括了暂列金额、暂估价的合同总金额。</w:t>
      </w:r>
    </w:p>
    <w:p w14:paraId="4AEC8B1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1.1.5.2 合同价格：指承包人按合同约定完成了包括缺陷责任期内的全部承包工作后，发包人应付给承包人的金额，包括在履行合同过程中按合同约定进行的变更和调整。</w:t>
      </w:r>
    </w:p>
    <w:p w14:paraId="57B6337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1.1.5.3 费用：指为履行合同所发生的或将要发生的所有合理开支，包括管理费和应分摊的其他费用，但不包括利润。</w:t>
      </w:r>
    </w:p>
    <w:p w14:paraId="069CFA7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1.1.5.4 暂列金额：指已标价工程量清单中所列的暂列金额，用于在签订协议书时尚未确定或不可预见变更的施工及其所需材料、工程设备、服务等的金额，包括以计日工方式支付的金额。</w:t>
      </w:r>
    </w:p>
    <w:p w14:paraId="47DA15C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1.1.5.5 暂估价：指发包人在工程量清单中给定的用于支付必然发生但暂时不能确定价格的材料、设备以及专业工程的金额。</w:t>
      </w:r>
    </w:p>
    <w:p w14:paraId="18A28AF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1.1.5.6 计日工：指对零星工作采取的一种计价方式，按合同中的计日工子项目及其单价计价付款。</w:t>
      </w:r>
    </w:p>
    <w:p w14:paraId="2D0AA25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1.1.5.7 质量保证金（或称保留金）：指按第17: 41项约定用于保证在缺陷责任期内履行缺陷修复义务的金额。</w:t>
      </w:r>
    </w:p>
    <w:p w14:paraId="54853F8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1.1.6 其他</w:t>
      </w:r>
    </w:p>
    <w:p w14:paraId="4D82AF7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1.1.6.1 书面形式：指合同文件、信函、电报、传真等可以有形地表现所载内容的形式。</w:t>
      </w:r>
    </w:p>
    <w:p w14:paraId="432845C6">
      <w:pPr>
        <w:keepNext/>
        <w:keepLines/>
        <w:spacing w:before="260" w:after="260" w:line="416" w:lineRule="auto"/>
        <w:outlineLvl w:val="2"/>
        <w:rPr>
          <w:rFonts w:ascii="宋体" w:hAnsi="宋体"/>
          <w:b/>
          <w:bCs/>
          <w:color w:val="auto"/>
          <w:kern w:val="0"/>
          <w:sz w:val="32"/>
          <w:szCs w:val="32"/>
          <w:highlight w:val="none"/>
        </w:rPr>
      </w:pPr>
      <w:bookmarkStart w:id="296" w:name="_Toc115179796"/>
      <w:r>
        <w:rPr>
          <w:rFonts w:hint="eastAsia" w:ascii="宋体" w:hAnsi="宋体"/>
          <w:b/>
          <w:bCs/>
          <w:color w:val="auto"/>
          <w:kern w:val="0"/>
          <w:sz w:val="32"/>
          <w:szCs w:val="32"/>
          <w:highlight w:val="none"/>
        </w:rPr>
        <w:t>1.2 语言文字</w:t>
      </w:r>
      <w:bookmarkEnd w:id="296"/>
    </w:p>
    <w:p w14:paraId="1D57611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除专用术语外，合同使用的语言文字为中文。必要时专用术语应附有中文注释。</w:t>
      </w:r>
    </w:p>
    <w:p w14:paraId="534E24AC">
      <w:pPr>
        <w:keepNext/>
        <w:keepLines/>
        <w:spacing w:before="260" w:after="260" w:line="416" w:lineRule="auto"/>
        <w:outlineLvl w:val="2"/>
        <w:rPr>
          <w:rFonts w:ascii="宋体" w:hAnsi="宋体"/>
          <w:b/>
          <w:bCs/>
          <w:color w:val="auto"/>
          <w:kern w:val="0"/>
          <w:sz w:val="32"/>
          <w:szCs w:val="32"/>
          <w:highlight w:val="none"/>
        </w:rPr>
      </w:pPr>
      <w:bookmarkStart w:id="297" w:name="_Toc115179797"/>
      <w:r>
        <w:rPr>
          <w:rFonts w:hint="eastAsia" w:ascii="宋体" w:hAnsi="宋体"/>
          <w:b/>
          <w:bCs/>
          <w:color w:val="auto"/>
          <w:kern w:val="0"/>
          <w:sz w:val="32"/>
          <w:szCs w:val="32"/>
          <w:highlight w:val="none"/>
        </w:rPr>
        <w:t>1.3 法律</w:t>
      </w:r>
      <w:bookmarkEnd w:id="297"/>
    </w:p>
    <w:p w14:paraId="5B068A5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适用于合同的法律包括中华人民共和国法律、行政法规、部门规章，以及工程所在地的地方性法规、自治条例、单行条例和地方政府规章。</w:t>
      </w:r>
    </w:p>
    <w:p w14:paraId="2F9B80AA">
      <w:pPr>
        <w:keepNext/>
        <w:keepLines/>
        <w:spacing w:before="260" w:after="260" w:line="416" w:lineRule="auto"/>
        <w:outlineLvl w:val="2"/>
        <w:rPr>
          <w:rFonts w:ascii="宋体" w:hAnsi="宋体"/>
          <w:b/>
          <w:bCs/>
          <w:color w:val="auto"/>
          <w:kern w:val="0"/>
          <w:sz w:val="32"/>
          <w:szCs w:val="32"/>
          <w:highlight w:val="none"/>
        </w:rPr>
      </w:pPr>
      <w:bookmarkStart w:id="298" w:name="_Toc115179798"/>
      <w:r>
        <w:rPr>
          <w:rFonts w:hint="eastAsia" w:ascii="宋体" w:hAnsi="宋体"/>
          <w:b/>
          <w:bCs/>
          <w:color w:val="auto"/>
          <w:kern w:val="0"/>
          <w:sz w:val="32"/>
          <w:szCs w:val="32"/>
          <w:highlight w:val="none"/>
        </w:rPr>
        <w:t>1.4 合同文件的优先顺序</w:t>
      </w:r>
      <w:bookmarkEnd w:id="298"/>
    </w:p>
    <w:p w14:paraId="14CD3CE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组成合同的各项文件应互相解释，互为说明。除专用合同条款另有约定外，解释合同文件的优先顺序如下：</w:t>
      </w:r>
    </w:p>
    <w:p w14:paraId="2031399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(l）合同协议书；</w:t>
      </w:r>
    </w:p>
    <w:p w14:paraId="332DC86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(2）中标通知书；</w:t>
      </w:r>
    </w:p>
    <w:p w14:paraId="50DA8C2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(3）投标函及投标函附录；</w:t>
      </w:r>
    </w:p>
    <w:p w14:paraId="22A3A84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(4）专用合同条款；</w:t>
      </w:r>
    </w:p>
    <w:p w14:paraId="00F419B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(5）通用合同条款；</w:t>
      </w:r>
    </w:p>
    <w:p w14:paraId="40B4E8D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(6）技术标准和要求；</w:t>
      </w:r>
    </w:p>
    <w:p w14:paraId="22327D9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(7）图纸；</w:t>
      </w:r>
    </w:p>
    <w:p w14:paraId="600256F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(8）已标价工程量清单；</w:t>
      </w:r>
    </w:p>
    <w:p w14:paraId="2285850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(9）其他合同文件。</w:t>
      </w:r>
    </w:p>
    <w:p w14:paraId="306EE0D4">
      <w:pPr>
        <w:keepNext/>
        <w:keepLines/>
        <w:spacing w:before="260" w:after="260" w:line="416" w:lineRule="auto"/>
        <w:outlineLvl w:val="2"/>
        <w:rPr>
          <w:rFonts w:ascii="宋体" w:hAnsi="宋体"/>
          <w:b/>
          <w:bCs/>
          <w:color w:val="auto"/>
          <w:kern w:val="0"/>
          <w:sz w:val="32"/>
          <w:szCs w:val="32"/>
          <w:highlight w:val="none"/>
        </w:rPr>
      </w:pPr>
      <w:bookmarkStart w:id="299" w:name="_Toc115179799"/>
      <w:r>
        <w:rPr>
          <w:rFonts w:hint="eastAsia" w:ascii="宋体" w:hAnsi="宋体"/>
          <w:b/>
          <w:bCs/>
          <w:color w:val="auto"/>
          <w:kern w:val="0"/>
          <w:sz w:val="32"/>
          <w:szCs w:val="32"/>
          <w:highlight w:val="none"/>
        </w:rPr>
        <w:t>1.5 合同协议书</w:t>
      </w:r>
      <w:bookmarkEnd w:id="299"/>
    </w:p>
    <w:p w14:paraId="03B8099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承包人按中标通知书规定的时间与发包人签订合同协议书。除法律另有规定或合同另有约定外，发包人和承包人的法定代表人或其委托代理人在合同协议书上签字并盖单位章后，合同生效。</w:t>
      </w:r>
    </w:p>
    <w:p w14:paraId="4A76A067">
      <w:pPr>
        <w:keepNext/>
        <w:keepLines/>
        <w:spacing w:before="260" w:after="260" w:line="416" w:lineRule="auto"/>
        <w:outlineLvl w:val="2"/>
        <w:rPr>
          <w:rFonts w:ascii="宋体" w:hAnsi="宋体"/>
          <w:b/>
          <w:bCs/>
          <w:color w:val="auto"/>
          <w:kern w:val="0"/>
          <w:sz w:val="32"/>
          <w:szCs w:val="32"/>
          <w:highlight w:val="none"/>
        </w:rPr>
      </w:pPr>
      <w:bookmarkStart w:id="300" w:name="_Toc115179800"/>
      <w:bookmarkStart w:id="301" w:name="_Toc221950693"/>
      <w:r>
        <w:rPr>
          <w:rFonts w:hint="eastAsia" w:ascii="宋体" w:hAnsi="宋体"/>
          <w:b/>
          <w:bCs/>
          <w:color w:val="auto"/>
          <w:kern w:val="0"/>
          <w:sz w:val="32"/>
          <w:szCs w:val="32"/>
          <w:highlight w:val="none"/>
        </w:rPr>
        <w:t>1.6 图纸和承包人文件</w:t>
      </w:r>
      <w:bookmarkEnd w:id="300"/>
    </w:p>
    <w:p w14:paraId="0158D0B5">
      <w:pPr>
        <w:spacing w:line="400" w:lineRule="exact"/>
        <w:ind w:right="248"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 xml:space="preserve">  </w:t>
      </w:r>
      <w:bookmarkEnd w:id="301"/>
      <w:bookmarkStart w:id="302" w:name="_Toc221950694"/>
      <w:r>
        <w:rPr>
          <w:rFonts w:hint="eastAsia" w:ascii="宋体" w:hAnsi="宋体"/>
          <w:color w:val="auto"/>
          <w:szCs w:val="21"/>
          <w:highlight w:val="none"/>
        </w:rPr>
        <w:t>图纸的提供</w:t>
      </w:r>
    </w:p>
    <w:p w14:paraId="4CDCC08D">
      <w:pPr>
        <w:spacing w:line="400" w:lineRule="exact"/>
        <w:ind w:right="248" w:firstLine="480"/>
        <w:rPr>
          <w:rFonts w:ascii="宋体" w:hAnsi="宋体"/>
          <w:color w:val="auto"/>
          <w:szCs w:val="21"/>
          <w:highlight w:val="none"/>
        </w:rPr>
      </w:pPr>
      <w:r>
        <w:rPr>
          <w:rFonts w:hint="eastAsia" w:ascii="宋体" w:hAnsi="宋体"/>
          <w:color w:val="auto"/>
          <w:szCs w:val="21"/>
          <w:highlight w:val="none"/>
        </w:rPr>
        <w:t>发包人应按技术标准和要求（合同技术条款）约定的期限和数量将施工图纸以及其他的图纸（包括配套说明和有关资料）提供给承包人。</w:t>
      </w:r>
      <w:bookmarkEnd w:id="302"/>
      <w:r>
        <w:rPr>
          <w:rFonts w:hint="eastAsia" w:ascii="宋体" w:hAnsi="宋体"/>
          <w:color w:val="auto"/>
          <w:szCs w:val="21"/>
          <w:highlight w:val="none"/>
        </w:rPr>
        <w:t>由于发包人未按时提供图纸造成工期延误的，按第11.3款的约定办理。</w:t>
      </w:r>
    </w:p>
    <w:p w14:paraId="389C791A">
      <w:pPr>
        <w:spacing w:line="400" w:lineRule="exact"/>
        <w:ind w:right="248" w:firstLine="480"/>
        <w:rPr>
          <w:rFonts w:ascii="宋体" w:hAnsi="宋体"/>
          <w:color w:val="auto"/>
          <w:szCs w:val="21"/>
          <w:highlight w:val="none"/>
        </w:rPr>
      </w:pPr>
      <w:bookmarkStart w:id="303" w:name="_Toc221950695"/>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 xml:space="preserve">  </w:t>
      </w:r>
      <w:bookmarkEnd w:id="303"/>
      <w:bookmarkStart w:id="304" w:name="_Toc221950696"/>
      <w:r>
        <w:rPr>
          <w:rFonts w:hint="eastAsia" w:ascii="宋体" w:hAnsi="宋体"/>
          <w:color w:val="auto"/>
          <w:szCs w:val="21"/>
          <w:highlight w:val="none"/>
        </w:rPr>
        <w:t>承包人提供的文件</w:t>
      </w:r>
    </w:p>
    <w:p w14:paraId="6D5C7A57">
      <w:pPr>
        <w:spacing w:line="400" w:lineRule="exact"/>
        <w:ind w:right="248" w:firstLine="480"/>
        <w:rPr>
          <w:rFonts w:ascii="宋体" w:hAnsi="宋体"/>
          <w:color w:val="auto"/>
          <w:szCs w:val="21"/>
          <w:highlight w:val="none"/>
        </w:rPr>
      </w:pPr>
      <w:r>
        <w:rPr>
          <w:rFonts w:hint="eastAsia" w:ascii="宋体" w:hAnsi="宋体"/>
          <w:color w:val="auto"/>
          <w:szCs w:val="21"/>
          <w:highlight w:val="none"/>
        </w:rPr>
        <w:t>承包人提供的文件应按技术标准和要求（合同技术条款）约定的期限和数量提供给监理人。监理人应按技术标准和要求（合同技术条款）约定的期限批复承包人。</w:t>
      </w:r>
      <w:bookmarkEnd w:id="304"/>
    </w:p>
    <w:p w14:paraId="40DB04FC">
      <w:pPr>
        <w:spacing w:line="400" w:lineRule="exact"/>
        <w:ind w:right="248" w:firstLine="480"/>
        <w:rPr>
          <w:rFonts w:ascii="宋体" w:hAnsi="宋体"/>
          <w:color w:val="auto"/>
          <w:szCs w:val="21"/>
          <w:highlight w:val="none"/>
        </w:rPr>
      </w:pPr>
      <w:bookmarkStart w:id="305" w:name="_Toc221950697"/>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bookmarkEnd w:id="305"/>
      <w:bookmarkStart w:id="306" w:name="_Toc221950698"/>
      <w:r>
        <w:rPr>
          <w:rFonts w:hint="eastAsia" w:ascii="宋体" w:hAnsi="宋体"/>
          <w:color w:val="auto"/>
          <w:szCs w:val="21"/>
          <w:highlight w:val="none"/>
        </w:rPr>
        <w:t>图纸的修改</w:t>
      </w:r>
    </w:p>
    <w:p w14:paraId="26797507">
      <w:pPr>
        <w:spacing w:line="400" w:lineRule="exact"/>
        <w:ind w:right="248" w:firstLine="480"/>
        <w:rPr>
          <w:rFonts w:ascii="宋体" w:hAnsi="宋体"/>
          <w:color w:val="auto"/>
          <w:szCs w:val="21"/>
          <w:highlight w:val="none"/>
        </w:rPr>
      </w:pPr>
      <w:r>
        <w:rPr>
          <w:rFonts w:hint="eastAsia" w:ascii="宋体" w:hAnsi="宋体"/>
          <w:color w:val="auto"/>
          <w:szCs w:val="21"/>
          <w:highlight w:val="none"/>
        </w:rPr>
        <w:t>设计人需要对已发给承包人的施工图纸进行修改时，监理人应在技术标准和要求（合同技术条款）约定的期限内签发施工图纸的修改图给承包人。</w:t>
      </w:r>
      <w:bookmarkEnd w:id="306"/>
      <w:r>
        <w:rPr>
          <w:rFonts w:hint="eastAsia" w:ascii="宋体" w:hAnsi="宋体"/>
          <w:color w:val="auto"/>
          <w:szCs w:val="21"/>
          <w:highlight w:val="none"/>
        </w:rPr>
        <w:t>承包人应按技术标准和要求（合同技术条款）的约定编制一份承包人实施计划提交监理人批准后执行。</w:t>
      </w:r>
    </w:p>
    <w:p w14:paraId="1336CA2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1.6.4 图纸的错误</w:t>
      </w:r>
    </w:p>
    <w:p w14:paraId="4C7A1A2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承包人发现发包人提供的图纸存在明显错误或疏忽，应及时通知监理人。</w:t>
      </w:r>
    </w:p>
    <w:p w14:paraId="0EB6E25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1.6.5 图纸和承包人文件的保管</w:t>
      </w:r>
    </w:p>
    <w:p w14:paraId="0A6AAE3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监理人和承包人均应在施工场地各保存一套完整的包含第1.6.1 项、第1.6.2 项、第1.6.3 项约定内容的图纸和承包人文件。</w:t>
      </w:r>
    </w:p>
    <w:p w14:paraId="39BB7540">
      <w:pPr>
        <w:keepNext/>
        <w:keepLines/>
        <w:spacing w:before="260" w:after="260" w:line="416" w:lineRule="auto"/>
        <w:outlineLvl w:val="2"/>
        <w:rPr>
          <w:rFonts w:ascii="宋体" w:hAnsi="宋体"/>
          <w:b/>
          <w:bCs/>
          <w:color w:val="auto"/>
          <w:kern w:val="0"/>
          <w:sz w:val="32"/>
          <w:szCs w:val="32"/>
          <w:highlight w:val="none"/>
        </w:rPr>
      </w:pPr>
      <w:bookmarkStart w:id="307" w:name="_Toc115179801"/>
      <w:bookmarkStart w:id="308" w:name="_Toc221950701"/>
      <w:r>
        <w:rPr>
          <w:rFonts w:hint="eastAsia" w:ascii="宋体" w:hAnsi="宋体"/>
          <w:b/>
          <w:bCs/>
          <w:color w:val="auto"/>
          <w:kern w:val="0"/>
          <w:sz w:val="32"/>
          <w:szCs w:val="32"/>
          <w:highlight w:val="none"/>
        </w:rPr>
        <w:t>1.7 联络</w:t>
      </w:r>
      <w:bookmarkEnd w:id="307"/>
    </w:p>
    <w:p w14:paraId="72B9EC1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1.7.1 与合同有关的通知、批准、证明、证书、指示、要求、请求、同意、意见、确定和决定等，均应采用书面形式。</w:t>
      </w:r>
    </w:p>
    <w:p w14:paraId="20B8C2CE">
      <w:pPr>
        <w:spacing w:line="400" w:lineRule="exact"/>
        <w:ind w:right="248" w:firstLine="48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7</w:t>
      </w: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 xml:space="preserve">  第1.7.1项中的通知、批复、证明、证书、指示、要求、请求、同意、意见、确定和决定等来往函件，均应在合同约定的期限内送达指定地点和接收人，并办理签收手续。求往函件的送达期限在技术标准和要求（合同技术条款）中约定，送达地点在专用合同条款中约定。</w:t>
      </w:r>
    </w:p>
    <w:p w14:paraId="2AB3505E">
      <w:pPr>
        <w:spacing w:line="400" w:lineRule="exact"/>
        <w:ind w:right="248" w:firstLine="480"/>
        <w:rPr>
          <w:rFonts w:ascii="宋体" w:hAnsi="宋体"/>
          <w:color w:val="auto"/>
          <w:szCs w:val="21"/>
          <w:highlight w:val="none"/>
        </w:rPr>
      </w:pPr>
      <w:r>
        <w:rPr>
          <w:rFonts w:hint="eastAsia" w:ascii="宋体" w:hAnsi="宋体"/>
          <w:color w:val="auto"/>
          <w:szCs w:val="21"/>
          <w:highlight w:val="none"/>
        </w:rPr>
        <w:t>1.7.3  来往函件均应按合同约定的期限及时发出和答复，不得无故扣押和拖延，亦不得无故拒收。否则，由此造成的后果由责任方负责。</w:t>
      </w:r>
      <w:bookmarkEnd w:id="308"/>
    </w:p>
    <w:p w14:paraId="2014BF92">
      <w:pPr>
        <w:keepNext/>
        <w:keepLines/>
        <w:spacing w:before="260" w:after="260" w:line="416" w:lineRule="auto"/>
        <w:outlineLvl w:val="2"/>
        <w:rPr>
          <w:rFonts w:ascii="宋体" w:hAnsi="宋体"/>
          <w:b/>
          <w:bCs/>
          <w:color w:val="auto"/>
          <w:kern w:val="0"/>
          <w:sz w:val="32"/>
          <w:szCs w:val="32"/>
          <w:highlight w:val="none"/>
        </w:rPr>
      </w:pPr>
      <w:bookmarkStart w:id="309" w:name="_Toc115179802"/>
      <w:r>
        <w:rPr>
          <w:rFonts w:hint="eastAsia" w:ascii="宋体" w:hAnsi="宋体"/>
          <w:b/>
          <w:bCs/>
          <w:color w:val="auto"/>
          <w:kern w:val="0"/>
          <w:sz w:val="32"/>
          <w:szCs w:val="32"/>
          <w:highlight w:val="none"/>
        </w:rPr>
        <w:t>1.8 转让</w:t>
      </w:r>
      <w:bookmarkEnd w:id="309"/>
    </w:p>
    <w:p w14:paraId="440637E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除合同另有约定外，未经对方当事人同意，一方当事人不得将合同权利全部或部分转让给第三人，也不得全部或部分转移合同义务。</w:t>
      </w:r>
    </w:p>
    <w:p w14:paraId="14BF27B6">
      <w:pPr>
        <w:keepNext/>
        <w:keepLines/>
        <w:spacing w:before="260" w:after="260" w:line="416" w:lineRule="auto"/>
        <w:outlineLvl w:val="2"/>
        <w:rPr>
          <w:rFonts w:ascii="宋体" w:hAnsi="宋体"/>
          <w:b/>
          <w:bCs/>
          <w:color w:val="auto"/>
          <w:kern w:val="0"/>
          <w:sz w:val="32"/>
          <w:szCs w:val="32"/>
          <w:highlight w:val="none"/>
        </w:rPr>
      </w:pPr>
      <w:bookmarkStart w:id="310" w:name="_Toc115179803"/>
      <w:r>
        <w:rPr>
          <w:rFonts w:hint="eastAsia" w:ascii="宋体" w:hAnsi="宋体"/>
          <w:b/>
          <w:bCs/>
          <w:color w:val="auto"/>
          <w:kern w:val="0"/>
          <w:sz w:val="32"/>
          <w:szCs w:val="32"/>
          <w:highlight w:val="none"/>
        </w:rPr>
        <w:t>1.9 严禁贿赂</w:t>
      </w:r>
      <w:bookmarkEnd w:id="310"/>
    </w:p>
    <w:p w14:paraId="4060EA6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合同双方当事人不得以贿赂或变相贿赂的方式，谋取不当利益或损害对方权益。因贿赂造成对方损失的，行为人应赔偿损失，并承担相应的法律责任。</w:t>
      </w:r>
    </w:p>
    <w:p w14:paraId="37BA01F0">
      <w:pPr>
        <w:keepNext/>
        <w:keepLines/>
        <w:spacing w:before="260" w:after="260" w:line="416" w:lineRule="auto"/>
        <w:outlineLvl w:val="2"/>
        <w:rPr>
          <w:rFonts w:ascii="宋体" w:hAnsi="宋体"/>
          <w:b/>
          <w:bCs/>
          <w:color w:val="auto"/>
          <w:kern w:val="0"/>
          <w:sz w:val="32"/>
          <w:szCs w:val="32"/>
          <w:highlight w:val="none"/>
        </w:rPr>
      </w:pPr>
      <w:bookmarkStart w:id="311" w:name="_Toc115179804"/>
      <w:r>
        <w:rPr>
          <w:rFonts w:hint="eastAsia" w:ascii="宋体" w:hAnsi="宋体"/>
          <w:b/>
          <w:bCs/>
          <w:color w:val="auto"/>
          <w:kern w:val="0"/>
          <w:sz w:val="32"/>
          <w:szCs w:val="32"/>
          <w:highlight w:val="none"/>
        </w:rPr>
        <w:t>1.10 化石、文物</w:t>
      </w:r>
      <w:bookmarkEnd w:id="311"/>
    </w:p>
    <w:p w14:paraId="3F2AA3E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0E9D9DA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1.10.2 承包人发现文物后不及时报告或隐瞒不报，致使文物丢失或损坏的，应赔偿损失，并承担相应的法律责任。</w:t>
      </w:r>
    </w:p>
    <w:p w14:paraId="1A9FFBE7">
      <w:pPr>
        <w:keepNext/>
        <w:keepLines/>
        <w:spacing w:before="260" w:after="260" w:line="416" w:lineRule="auto"/>
        <w:outlineLvl w:val="2"/>
        <w:rPr>
          <w:rFonts w:ascii="宋体" w:hAnsi="宋体"/>
          <w:b/>
          <w:bCs/>
          <w:color w:val="auto"/>
          <w:kern w:val="0"/>
          <w:sz w:val="32"/>
          <w:szCs w:val="32"/>
          <w:highlight w:val="none"/>
        </w:rPr>
      </w:pPr>
      <w:bookmarkStart w:id="312" w:name="_Toc115179805"/>
      <w:r>
        <w:rPr>
          <w:rFonts w:hint="eastAsia" w:ascii="宋体" w:hAnsi="宋体"/>
          <w:b/>
          <w:bCs/>
          <w:color w:val="auto"/>
          <w:kern w:val="0"/>
          <w:sz w:val="32"/>
          <w:szCs w:val="32"/>
          <w:highlight w:val="none"/>
        </w:rPr>
        <w:t>1.11专利技术</w:t>
      </w:r>
      <w:bookmarkEnd w:id="312"/>
    </w:p>
    <w:p w14:paraId="329EC297">
      <w:pPr>
        <w:spacing w:line="360" w:lineRule="auto"/>
        <w:ind w:firstLine="420" w:firstLineChars="200"/>
        <w:rPr>
          <w:rFonts w:ascii="宋体" w:hAnsi="宋体"/>
          <w:color w:val="auto"/>
          <w:szCs w:val="21"/>
          <w:highlight w:val="none"/>
        </w:rPr>
      </w:pPr>
      <w:bookmarkStart w:id="313" w:name="_Toc221950710"/>
      <w:r>
        <w:rPr>
          <w:rFonts w:hint="eastAsia" w:ascii="宋体" w:hAnsi="宋体"/>
          <w:color w:val="auto"/>
          <w:szCs w:val="21"/>
          <w:highlight w:val="none"/>
        </w:rPr>
        <w:t>1.11.1 承包人在使用任何材料、承包人设备、工程设备或采用施工工艺时，因侵犯专利权或其他知识产权所引起的责任，由承包人承担，但由于遵照发包人提供的设计或技术标准和要求引起的除外。</w:t>
      </w:r>
    </w:p>
    <w:p w14:paraId="2180012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1.11.2 承包人在投标文件中采用专利技术的，专利技术的使用费包含在投标报价内。</w:t>
      </w:r>
    </w:p>
    <w:p w14:paraId="43DBD04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1.11.3 承包人的技术秘密和声明需要保密的资料和信息，发包人和监理人不得为合同以外的目的泄露给他人。</w:t>
      </w:r>
    </w:p>
    <w:p w14:paraId="676B9715">
      <w:pPr>
        <w:spacing w:line="400" w:lineRule="exact"/>
        <w:ind w:right="248" w:firstLine="480"/>
        <w:rPr>
          <w:rFonts w:ascii="宋体" w:hAnsi="宋体"/>
          <w:color w:val="auto"/>
          <w:szCs w:val="21"/>
          <w:highlight w:val="none"/>
        </w:rPr>
      </w:pPr>
      <w:r>
        <w:rPr>
          <w:rFonts w:hint="eastAsia" w:ascii="宋体" w:hAnsi="宋体"/>
          <w:color w:val="auto"/>
          <w:szCs w:val="21"/>
          <w:highlight w:val="none"/>
        </w:rPr>
        <w:t>1.11.4  合同实施过程中，发包人要求承包人采用专利技术的，发包人应办理相应的使用手续，承包人应按发包人约定的条件使用，并承担使用专利技术的相关试验工作，所需的费用由发包人承担。</w:t>
      </w:r>
      <w:bookmarkEnd w:id="313"/>
    </w:p>
    <w:p w14:paraId="6A1C30CF">
      <w:pPr>
        <w:keepNext/>
        <w:keepLines/>
        <w:spacing w:before="260" w:after="260" w:line="416" w:lineRule="auto"/>
        <w:outlineLvl w:val="2"/>
        <w:rPr>
          <w:rFonts w:ascii="宋体" w:hAnsi="宋体"/>
          <w:b/>
          <w:bCs/>
          <w:color w:val="auto"/>
          <w:kern w:val="0"/>
          <w:sz w:val="32"/>
          <w:szCs w:val="32"/>
          <w:highlight w:val="none"/>
        </w:rPr>
      </w:pPr>
      <w:bookmarkStart w:id="314" w:name="_Toc115179806"/>
      <w:bookmarkStart w:id="315" w:name="_Toc222032672"/>
      <w:bookmarkStart w:id="316" w:name="_Toc222031005"/>
      <w:bookmarkStart w:id="317" w:name="_Toc222033854"/>
      <w:bookmarkStart w:id="318" w:name="_Toc222029503"/>
      <w:bookmarkStart w:id="319" w:name="_Toc221950713"/>
      <w:bookmarkStart w:id="320" w:name="_Toc229305363"/>
      <w:bookmarkStart w:id="321" w:name="_Toc259524350"/>
      <w:r>
        <w:rPr>
          <w:rFonts w:hint="eastAsia" w:ascii="宋体" w:hAnsi="宋体"/>
          <w:b/>
          <w:bCs/>
          <w:color w:val="auto"/>
          <w:kern w:val="0"/>
          <w:sz w:val="32"/>
          <w:szCs w:val="32"/>
          <w:highlight w:val="none"/>
        </w:rPr>
        <w:t>1.12 图纸和文件的保密</w:t>
      </w:r>
      <w:bookmarkEnd w:id="314"/>
    </w:p>
    <w:p w14:paraId="1941F9B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1.12.1 发包人提供的图纸和文件，未经发包人同意，承包人不得为合同以外的目的泄露给他人或公开发表与引用。</w:t>
      </w:r>
    </w:p>
    <w:p w14:paraId="04FC054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1.12.2 承包人提供的文件，未经承包人同意，发包人和监理人不得为合同以外的目的泄露给他人或公开发表与引用。</w:t>
      </w:r>
    </w:p>
    <w:p w14:paraId="1C31BE36">
      <w:pPr>
        <w:numPr>
          <w:ilvl w:val="0"/>
          <w:numId w:val="18"/>
        </w:numPr>
        <w:spacing w:before="260" w:after="260" w:line="400" w:lineRule="exact"/>
        <w:outlineLvl w:val="1"/>
        <w:rPr>
          <w:rFonts w:ascii="宋体" w:hAnsi="宋体" w:eastAsia="黑体"/>
          <w:color w:val="auto"/>
          <w:kern w:val="44"/>
          <w:sz w:val="27"/>
          <w:szCs w:val="27"/>
          <w:highlight w:val="none"/>
        </w:rPr>
      </w:pPr>
      <w:bookmarkStart w:id="322" w:name="_Toc115179807"/>
      <w:bookmarkStart w:id="323" w:name="_Toc483383002"/>
      <w:bookmarkStart w:id="324" w:name="_Toc4761"/>
      <w:r>
        <w:rPr>
          <w:rFonts w:ascii="宋体" w:hAnsi="宋体" w:eastAsia="黑体"/>
          <w:color w:val="auto"/>
          <w:kern w:val="44"/>
          <w:sz w:val="27"/>
          <w:szCs w:val="27"/>
          <w:highlight w:val="none"/>
        </w:rPr>
        <w:t xml:space="preserve">2. </w:t>
      </w:r>
      <w:r>
        <w:rPr>
          <w:rFonts w:hint="eastAsia" w:ascii="宋体" w:hAnsi="宋体" w:eastAsia="黑体"/>
          <w:color w:val="auto"/>
          <w:kern w:val="44"/>
          <w:sz w:val="27"/>
          <w:szCs w:val="27"/>
          <w:highlight w:val="none"/>
        </w:rPr>
        <w:t>发包人义务</w:t>
      </w:r>
      <w:bookmarkEnd w:id="315"/>
      <w:bookmarkEnd w:id="316"/>
      <w:bookmarkEnd w:id="317"/>
      <w:bookmarkEnd w:id="318"/>
      <w:bookmarkEnd w:id="319"/>
      <w:bookmarkEnd w:id="320"/>
      <w:bookmarkEnd w:id="321"/>
      <w:bookmarkEnd w:id="322"/>
      <w:bookmarkEnd w:id="323"/>
      <w:bookmarkEnd w:id="324"/>
    </w:p>
    <w:p w14:paraId="67783422">
      <w:pPr>
        <w:keepNext/>
        <w:keepLines/>
        <w:spacing w:before="260" w:after="260" w:line="416" w:lineRule="auto"/>
        <w:outlineLvl w:val="2"/>
        <w:rPr>
          <w:rFonts w:ascii="宋体" w:hAnsi="宋体"/>
          <w:b/>
          <w:bCs/>
          <w:color w:val="auto"/>
          <w:kern w:val="0"/>
          <w:sz w:val="32"/>
          <w:szCs w:val="32"/>
          <w:highlight w:val="none"/>
        </w:rPr>
      </w:pPr>
      <w:bookmarkStart w:id="325" w:name="_Toc115179808"/>
      <w:bookmarkStart w:id="326" w:name="_Toc221950720"/>
      <w:r>
        <w:rPr>
          <w:rFonts w:hint="eastAsia" w:ascii="宋体" w:hAnsi="宋体"/>
          <w:b/>
          <w:bCs/>
          <w:color w:val="auto"/>
          <w:kern w:val="0"/>
          <w:sz w:val="32"/>
          <w:szCs w:val="32"/>
          <w:highlight w:val="none"/>
        </w:rPr>
        <w:t>2.1 遵守法律</w:t>
      </w:r>
      <w:bookmarkEnd w:id="325"/>
    </w:p>
    <w:p w14:paraId="195FAB8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发包人在履行合同过程中应遵守法律，并保证承包人免于承担因发包人违反法律而引起的任何责任。</w:t>
      </w:r>
    </w:p>
    <w:p w14:paraId="11845B09">
      <w:pPr>
        <w:keepNext/>
        <w:keepLines/>
        <w:spacing w:before="260" w:after="260" w:line="416" w:lineRule="auto"/>
        <w:outlineLvl w:val="2"/>
        <w:rPr>
          <w:rFonts w:ascii="宋体" w:hAnsi="宋体"/>
          <w:b/>
          <w:bCs/>
          <w:color w:val="auto"/>
          <w:kern w:val="0"/>
          <w:sz w:val="32"/>
          <w:szCs w:val="32"/>
          <w:highlight w:val="none"/>
        </w:rPr>
      </w:pPr>
      <w:bookmarkStart w:id="327" w:name="_Toc115179809"/>
      <w:r>
        <w:rPr>
          <w:rFonts w:hint="eastAsia" w:ascii="宋体" w:hAnsi="宋体"/>
          <w:b/>
          <w:bCs/>
          <w:color w:val="auto"/>
          <w:kern w:val="0"/>
          <w:sz w:val="32"/>
          <w:szCs w:val="32"/>
          <w:highlight w:val="none"/>
        </w:rPr>
        <w:t>2.2 发出开工通知</w:t>
      </w:r>
      <w:bookmarkEnd w:id="327"/>
    </w:p>
    <w:p w14:paraId="43BB6A7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发包人应委托监理人按第11.1 款的约定向承包人发出开工通知。</w:t>
      </w:r>
    </w:p>
    <w:p w14:paraId="2B2678EE">
      <w:pPr>
        <w:keepNext/>
        <w:keepLines/>
        <w:spacing w:before="260" w:after="260" w:line="416" w:lineRule="auto"/>
        <w:outlineLvl w:val="2"/>
        <w:rPr>
          <w:rFonts w:ascii="宋体" w:hAnsi="宋体"/>
          <w:b/>
          <w:bCs/>
          <w:color w:val="auto"/>
          <w:kern w:val="0"/>
          <w:sz w:val="32"/>
          <w:szCs w:val="32"/>
          <w:highlight w:val="none"/>
        </w:rPr>
      </w:pPr>
      <w:bookmarkStart w:id="328" w:name="_Toc115179810"/>
      <w:r>
        <w:rPr>
          <w:rFonts w:hint="eastAsia" w:ascii="宋体" w:hAnsi="宋体"/>
          <w:b/>
          <w:bCs/>
          <w:color w:val="auto"/>
          <w:kern w:val="0"/>
          <w:sz w:val="32"/>
          <w:szCs w:val="32"/>
          <w:highlight w:val="none"/>
        </w:rPr>
        <w:t>2.3提供施工场地</w:t>
      </w:r>
      <w:bookmarkEnd w:id="328"/>
    </w:p>
    <w:p w14:paraId="1837BAA7">
      <w:pPr>
        <w:spacing w:line="400" w:lineRule="exact"/>
        <w:ind w:right="248" w:firstLine="480"/>
        <w:rPr>
          <w:rFonts w:ascii="宋体" w:hAnsi="宋体"/>
          <w:color w:val="auto"/>
          <w:szCs w:val="21"/>
          <w:highlight w:val="none"/>
        </w:rPr>
      </w:pPr>
      <w:r>
        <w:rPr>
          <w:rFonts w:hint="eastAsia" w:ascii="宋体" w:hAnsi="宋体"/>
          <w:color w:val="auto"/>
          <w:szCs w:val="21"/>
          <w:highlight w:val="none"/>
        </w:rPr>
        <w:t>2.3.1发包人应在合同双方签订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bookmarkEnd w:id="326"/>
      <w:r>
        <w:rPr>
          <w:rFonts w:hint="eastAsia" w:ascii="宋体" w:hAnsi="宋体"/>
          <w:color w:val="auto"/>
          <w:szCs w:val="21"/>
          <w:highlight w:val="none"/>
        </w:rPr>
        <w:t xml:space="preserve"> 。</w:t>
      </w:r>
    </w:p>
    <w:p w14:paraId="1CD1E7C0">
      <w:pPr>
        <w:spacing w:line="400" w:lineRule="exact"/>
        <w:ind w:right="248" w:firstLine="480"/>
        <w:rPr>
          <w:rFonts w:ascii="宋体" w:hAnsi="宋体"/>
          <w:color w:val="auto"/>
          <w:szCs w:val="21"/>
          <w:highlight w:val="none"/>
        </w:rPr>
      </w:pPr>
      <w:r>
        <w:rPr>
          <w:rFonts w:hint="eastAsia" w:ascii="宋体" w:hAnsi="宋体"/>
          <w:color w:val="auto"/>
          <w:szCs w:val="21"/>
          <w:highlight w:val="none"/>
        </w:rPr>
        <w:t>2.3.2发包人提供的施工用地范围在专用合同条款中约定。</w:t>
      </w:r>
    </w:p>
    <w:p w14:paraId="4576099C">
      <w:pPr>
        <w:spacing w:line="400" w:lineRule="exact"/>
        <w:ind w:right="248" w:firstLine="480"/>
        <w:rPr>
          <w:rFonts w:ascii="宋体" w:hAnsi="宋体"/>
          <w:color w:val="auto"/>
          <w:szCs w:val="21"/>
          <w:highlight w:val="none"/>
        </w:rPr>
      </w:pPr>
      <w:bookmarkStart w:id="329" w:name="_Toc221950721"/>
      <w:r>
        <w:rPr>
          <w:rFonts w:hint="eastAsia" w:ascii="宋体" w:hAnsi="宋体"/>
          <w:color w:val="auto"/>
          <w:szCs w:val="21"/>
          <w:highlight w:val="none"/>
        </w:rPr>
        <w:t>2.3.3除专用合同条款另有约定外，发包人应按技术标准和要求（合同技术条款）的约定，向承包人提供施工场地内的工程地质图纸和报告，以及地下障碍物图纸等施工场地有关资料。</w:t>
      </w:r>
      <w:bookmarkEnd w:id="329"/>
      <w:r>
        <w:rPr>
          <w:rFonts w:hint="eastAsia" w:ascii="宋体" w:hAnsi="宋体"/>
          <w:color w:val="auto"/>
          <w:szCs w:val="21"/>
          <w:highlight w:val="none"/>
        </w:rPr>
        <w:t>并保证资料的真实、准确、完整。</w:t>
      </w:r>
    </w:p>
    <w:p w14:paraId="62D19CA8">
      <w:pPr>
        <w:keepNext/>
        <w:keepLines/>
        <w:spacing w:before="260" w:after="260" w:line="416" w:lineRule="auto"/>
        <w:outlineLvl w:val="2"/>
        <w:rPr>
          <w:rFonts w:ascii="宋体" w:hAnsi="宋体"/>
          <w:b/>
          <w:bCs/>
          <w:color w:val="auto"/>
          <w:kern w:val="0"/>
          <w:sz w:val="32"/>
          <w:szCs w:val="32"/>
          <w:highlight w:val="none"/>
        </w:rPr>
      </w:pPr>
      <w:bookmarkStart w:id="330" w:name="_Toc115179811"/>
      <w:r>
        <w:rPr>
          <w:rFonts w:hint="eastAsia" w:ascii="宋体" w:hAnsi="宋体"/>
          <w:b/>
          <w:bCs/>
          <w:color w:val="auto"/>
          <w:kern w:val="0"/>
          <w:sz w:val="32"/>
          <w:szCs w:val="32"/>
          <w:highlight w:val="none"/>
        </w:rPr>
        <w:t>2.4 协助承包人办理证件和批件</w:t>
      </w:r>
      <w:bookmarkEnd w:id="330"/>
    </w:p>
    <w:p w14:paraId="7F5524A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发包人应协助承包人办理法律规定的有关施工证件和批件。</w:t>
      </w:r>
    </w:p>
    <w:p w14:paraId="1F52A05B">
      <w:pPr>
        <w:keepNext/>
        <w:keepLines/>
        <w:spacing w:before="260" w:after="260" w:line="416" w:lineRule="auto"/>
        <w:outlineLvl w:val="2"/>
        <w:rPr>
          <w:rFonts w:ascii="宋体" w:hAnsi="宋体"/>
          <w:b/>
          <w:bCs/>
          <w:color w:val="auto"/>
          <w:kern w:val="0"/>
          <w:sz w:val="32"/>
          <w:szCs w:val="32"/>
          <w:highlight w:val="none"/>
        </w:rPr>
      </w:pPr>
      <w:bookmarkStart w:id="331" w:name="_Toc115179812"/>
      <w:r>
        <w:rPr>
          <w:rFonts w:hint="eastAsia" w:ascii="宋体" w:hAnsi="宋体"/>
          <w:b/>
          <w:bCs/>
          <w:color w:val="auto"/>
          <w:kern w:val="0"/>
          <w:sz w:val="32"/>
          <w:szCs w:val="32"/>
          <w:highlight w:val="none"/>
        </w:rPr>
        <w:t>2.5 组织设计交底</w:t>
      </w:r>
      <w:bookmarkEnd w:id="331"/>
    </w:p>
    <w:p w14:paraId="1A5E949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发包人应根据合同进度计划，组织设计单位向承包人进行设计交底。</w:t>
      </w:r>
    </w:p>
    <w:p w14:paraId="54ACEF2B">
      <w:pPr>
        <w:keepNext/>
        <w:keepLines/>
        <w:spacing w:before="260" w:after="260" w:line="416" w:lineRule="auto"/>
        <w:outlineLvl w:val="2"/>
        <w:rPr>
          <w:rFonts w:ascii="宋体" w:hAnsi="宋体"/>
          <w:b/>
          <w:bCs/>
          <w:color w:val="auto"/>
          <w:kern w:val="0"/>
          <w:sz w:val="32"/>
          <w:szCs w:val="32"/>
          <w:highlight w:val="none"/>
        </w:rPr>
      </w:pPr>
      <w:bookmarkStart w:id="332" w:name="_Toc115179813"/>
      <w:r>
        <w:rPr>
          <w:rFonts w:hint="eastAsia" w:ascii="宋体" w:hAnsi="宋体"/>
          <w:b/>
          <w:bCs/>
          <w:color w:val="auto"/>
          <w:kern w:val="0"/>
          <w:sz w:val="32"/>
          <w:szCs w:val="32"/>
          <w:highlight w:val="none"/>
        </w:rPr>
        <w:t>2.6 支付合同价款</w:t>
      </w:r>
      <w:bookmarkEnd w:id="332"/>
    </w:p>
    <w:p w14:paraId="54CD21D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发包人应按合同约定向承包人及时支付合同价款。</w:t>
      </w:r>
    </w:p>
    <w:p w14:paraId="5FAAB69A">
      <w:pPr>
        <w:keepNext/>
        <w:keepLines/>
        <w:spacing w:before="260" w:after="260" w:line="416" w:lineRule="auto"/>
        <w:outlineLvl w:val="2"/>
        <w:rPr>
          <w:rFonts w:ascii="宋体" w:hAnsi="宋体"/>
          <w:b/>
          <w:bCs/>
          <w:color w:val="auto"/>
          <w:kern w:val="0"/>
          <w:sz w:val="32"/>
          <w:szCs w:val="32"/>
          <w:highlight w:val="none"/>
        </w:rPr>
      </w:pPr>
      <w:bookmarkStart w:id="333" w:name="_Toc115179814"/>
      <w:r>
        <w:rPr>
          <w:rFonts w:hint="eastAsia" w:ascii="宋体" w:hAnsi="宋体"/>
          <w:b/>
          <w:bCs/>
          <w:color w:val="auto"/>
          <w:kern w:val="0"/>
          <w:sz w:val="32"/>
          <w:szCs w:val="32"/>
          <w:highlight w:val="none"/>
        </w:rPr>
        <w:t>2.7 组织竣工验收（组织法人验收）</w:t>
      </w:r>
      <w:bookmarkEnd w:id="333"/>
    </w:p>
    <w:p w14:paraId="691E0E82">
      <w:pPr>
        <w:spacing w:line="400" w:lineRule="exact"/>
        <w:ind w:right="248" w:firstLine="480"/>
        <w:rPr>
          <w:rFonts w:ascii="宋体" w:hAnsi="宋体"/>
          <w:color w:val="auto"/>
          <w:szCs w:val="21"/>
          <w:highlight w:val="none"/>
        </w:rPr>
      </w:pPr>
      <w:r>
        <w:rPr>
          <w:rFonts w:hint="eastAsia" w:ascii="宋体" w:hAnsi="宋体"/>
          <w:color w:val="auto"/>
          <w:szCs w:val="21"/>
          <w:highlight w:val="none"/>
        </w:rPr>
        <w:t>发包人应按合同约定及时组织法人验收。</w:t>
      </w:r>
    </w:p>
    <w:p w14:paraId="1281767B">
      <w:pPr>
        <w:keepNext/>
        <w:keepLines/>
        <w:spacing w:before="260" w:after="260" w:line="416" w:lineRule="auto"/>
        <w:outlineLvl w:val="2"/>
        <w:rPr>
          <w:rFonts w:ascii="宋体" w:hAnsi="宋体"/>
          <w:b/>
          <w:bCs/>
          <w:color w:val="auto"/>
          <w:kern w:val="0"/>
          <w:sz w:val="32"/>
          <w:szCs w:val="32"/>
          <w:highlight w:val="none"/>
        </w:rPr>
      </w:pPr>
      <w:bookmarkStart w:id="334" w:name="_Toc115179815"/>
      <w:r>
        <w:rPr>
          <w:rFonts w:hint="eastAsia" w:ascii="宋体" w:hAnsi="宋体"/>
          <w:b/>
          <w:bCs/>
          <w:color w:val="auto"/>
          <w:kern w:val="0"/>
          <w:sz w:val="32"/>
          <w:szCs w:val="32"/>
          <w:highlight w:val="none"/>
        </w:rPr>
        <w:t>2.8</w:t>
      </w:r>
      <w:r>
        <w:rPr>
          <w:rFonts w:ascii="宋体" w:hAnsi="宋体"/>
          <w:b/>
          <w:bCs/>
          <w:color w:val="auto"/>
          <w:kern w:val="0"/>
          <w:sz w:val="32"/>
          <w:szCs w:val="32"/>
          <w:highlight w:val="none"/>
        </w:rPr>
        <w:t xml:space="preserve">  </w:t>
      </w:r>
      <w:r>
        <w:rPr>
          <w:rFonts w:hint="eastAsia" w:ascii="宋体" w:hAnsi="宋体"/>
          <w:b/>
          <w:bCs/>
          <w:color w:val="auto"/>
          <w:kern w:val="0"/>
          <w:sz w:val="32"/>
          <w:szCs w:val="32"/>
          <w:highlight w:val="none"/>
        </w:rPr>
        <w:t>其它义务</w:t>
      </w:r>
      <w:bookmarkEnd w:id="334"/>
    </w:p>
    <w:p w14:paraId="41B26050">
      <w:pPr>
        <w:spacing w:line="400" w:lineRule="exact"/>
        <w:ind w:right="248" w:firstLine="480"/>
        <w:rPr>
          <w:rFonts w:ascii="宋体" w:hAnsi="宋体"/>
          <w:color w:val="auto"/>
          <w:szCs w:val="21"/>
          <w:highlight w:val="none"/>
        </w:rPr>
      </w:pPr>
      <w:r>
        <w:rPr>
          <w:rFonts w:hint="eastAsia" w:ascii="宋体" w:hAnsi="宋体"/>
          <w:color w:val="auto"/>
          <w:szCs w:val="21"/>
          <w:highlight w:val="none"/>
        </w:rPr>
        <w:t>其它义务在专用合同条款中补充约定。</w:t>
      </w:r>
    </w:p>
    <w:p w14:paraId="7B7F9078">
      <w:pPr>
        <w:numPr>
          <w:ilvl w:val="0"/>
          <w:numId w:val="18"/>
        </w:numPr>
        <w:spacing w:before="260" w:after="260" w:line="400" w:lineRule="exact"/>
        <w:outlineLvl w:val="1"/>
        <w:rPr>
          <w:rFonts w:ascii="宋体" w:hAnsi="宋体" w:eastAsia="黑体"/>
          <w:color w:val="auto"/>
          <w:kern w:val="44"/>
          <w:sz w:val="27"/>
          <w:szCs w:val="27"/>
          <w:highlight w:val="none"/>
        </w:rPr>
      </w:pPr>
      <w:bookmarkStart w:id="335" w:name="_Toc229305364"/>
      <w:bookmarkStart w:id="336" w:name="_Toc222031006"/>
      <w:bookmarkStart w:id="337" w:name="_Toc222029504"/>
      <w:bookmarkStart w:id="338" w:name="_Toc222033855"/>
      <w:bookmarkStart w:id="339" w:name="_Toc222032673"/>
      <w:bookmarkStart w:id="340" w:name="_Toc115179816"/>
      <w:bookmarkStart w:id="341" w:name="_Toc27532"/>
      <w:bookmarkStart w:id="342" w:name="_Toc483383003"/>
      <w:bookmarkStart w:id="343" w:name="_Toc259524351"/>
      <w:bookmarkStart w:id="344" w:name="_Toc221950732"/>
      <w:r>
        <w:rPr>
          <w:rFonts w:ascii="宋体" w:hAnsi="宋体" w:eastAsia="黑体"/>
          <w:color w:val="auto"/>
          <w:kern w:val="44"/>
          <w:sz w:val="27"/>
          <w:szCs w:val="27"/>
          <w:highlight w:val="none"/>
        </w:rPr>
        <w:t xml:space="preserve">3. </w:t>
      </w:r>
      <w:r>
        <w:rPr>
          <w:rFonts w:hint="eastAsia" w:ascii="宋体" w:hAnsi="宋体" w:eastAsia="黑体"/>
          <w:color w:val="auto"/>
          <w:kern w:val="44"/>
          <w:sz w:val="27"/>
          <w:szCs w:val="27"/>
          <w:highlight w:val="none"/>
        </w:rPr>
        <w:t>监理人</w:t>
      </w:r>
      <w:bookmarkEnd w:id="335"/>
      <w:bookmarkEnd w:id="336"/>
      <w:bookmarkEnd w:id="337"/>
      <w:bookmarkEnd w:id="338"/>
      <w:bookmarkEnd w:id="339"/>
      <w:bookmarkEnd w:id="340"/>
      <w:bookmarkEnd w:id="341"/>
      <w:bookmarkEnd w:id="342"/>
      <w:bookmarkEnd w:id="343"/>
      <w:bookmarkEnd w:id="344"/>
    </w:p>
    <w:p w14:paraId="7814C2C9">
      <w:pPr>
        <w:keepNext/>
        <w:keepLines/>
        <w:spacing w:before="260" w:after="260" w:line="416" w:lineRule="auto"/>
        <w:outlineLvl w:val="2"/>
        <w:rPr>
          <w:rFonts w:ascii="宋体" w:hAnsi="宋体"/>
          <w:b/>
          <w:bCs/>
          <w:color w:val="auto"/>
          <w:kern w:val="0"/>
          <w:sz w:val="32"/>
          <w:szCs w:val="32"/>
          <w:highlight w:val="none"/>
        </w:rPr>
      </w:pPr>
      <w:bookmarkStart w:id="345" w:name="_Toc115179817"/>
      <w:bookmarkStart w:id="346" w:name="_Toc221950735"/>
      <w:r>
        <w:rPr>
          <w:rFonts w:hint="eastAsia" w:ascii="宋体" w:hAnsi="宋体"/>
          <w:b/>
          <w:bCs/>
          <w:color w:val="auto"/>
          <w:kern w:val="0"/>
          <w:sz w:val="32"/>
          <w:szCs w:val="32"/>
          <w:highlight w:val="none"/>
        </w:rPr>
        <w:t>3.1监理人的职责和权利</w:t>
      </w:r>
      <w:bookmarkEnd w:id="345"/>
    </w:p>
    <w:p w14:paraId="3A127F23">
      <w:pPr>
        <w:spacing w:line="400" w:lineRule="exact"/>
        <w:ind w:right="248" w:firstLine="480"/>
        <w:rPr>
          <w:rFonts w:ascii="宋体" w:hAnsi="宋体"/>
          <w:color w:val="auto"/>
          <w:szCs w:val="21"/>
          <w:highlight w:val="none"/>
        </w:rPr>
      </w:pPr>
      <w:r>
        <w:rPr>
          <w:rFonts w:hint="eastAsia" w:ascii="宋体" w:hAnsi="宋体"/>
          <w:color w:val="auto"/>
          <w:szCs w:val="21"/>
          <w:highlight w:val="none"/>
        </w:rPr>
        <w:t>3.1.1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bookmarkEnd w:id="346"/>
    </w:p>
    <w:p w14:paraId="24AF00B4">
      <w:pPr>
        <w:spacing w:line="360" w:lineRule="auto"/>
        <w:ind w:firstLine="420" w:firstLineChars="200"/>
        <w:rPr>
          <w:rFonts w:ascii="宋体" w:hAnsi="宋体"/>
          <w:color w:val="auto"/>
          <w:szCs w:val="21"/>
          <w:highlight w:val="none"/>
        </w:rPr>
      </w:pPr>
      <w:bookmarkStart w:id="347" w:name="_Toc221950744"/>
      <w:bookmarkStart w:id="348" w:name="_Toc229305365"/>
      <w:bookmarkStart w:id="349" w:name="_Toc222033856"/>
      <w:bookmarkStart w:id="350" w:name="_Toc222029505"/>
      <w:bookmarkStart w:id="351" w:name="_Toc222032674"/>
      <w:bookmarkStart w:id="352" w:name="_Toc259524352"/>
      <w:bookmarkStart w:id="353" w:name="_Toc222031007"/>
      <w:r>
        <w:rPr>
          <w:rFonts w:hint="eastAsia" w:ascii="宋体" w:hAnsi="宋体"/>
          <w:color w:val="auto"/>
          <w:szCs w:val="21"/>
          <w:highlight w:val="none"/>
        </w:rPr>
        <w:t>3.1.2 监理人发出的任何指示应视为已得到发包人的批准，但监理人无权免除或变更合同约定的发包人和承包人的权利、义务和责任。</w:t>
      </w:r>
    </w:p>
    <w:p w14:paraId="1AA6B43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3.1.3 合同约定应由承包人承担的义务和责任，不因监理人对承包人提交文件的审查或批准，对工程、材料和设备的检查和检验，以及为实施监理作出的指示等职务行为而减轻或解除。</w:t>
      </w:r>
    </w:p>
    <w:p w14:paraId="7BF76C21">
      <w:pPr>
        <w:keepNext/>
        <w:keepLines/>
        <w:spacing w:before="260" w:after="260" w:line="416" w:lineRule="auto"/>
        <w:outlineLvl w:val="2"/>
        <w:rPr>
          <w:rFonts w:ascii="宋体" w:hAnsi="宋体"/>
          <w:b/>
          <w:bCs/>
          <w:color w:val="auto"/>
          <w:kern w:val="0"/>
          <w:sz w:val="32"/>
          <w:szCs w:val="32"/>
          <w:highlight w:val="none"/>
        </w:rPr>
      </w:pPr>
      <w:bookmarkStart w:id="354" w:name="_Toc115179818"/>
      <w:r>
        <w:rPr>
          <w:rFonts w:hint="eastAsia" w:ascii="宋体" w:hAnsi="宋体"/>
          <w:b/>
          <w:bCs/>
          <w:color w:val="auto"/>
          <w:kern w:val="0"/>
          <w:sz w:val="32"/>
          <w:szCs w:val="32"/>
          <w:highlight w:val="none"/>
        </w:rPr>
        <w:t>3.2 总监理工程师</w:t>
      </w:r>
      <w:bookmarkEnd w:id="354"/>
    </w:p>
    <w:p w14:paraId="4A7D6BF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发包人应在发出开工通知前将总监理工程师的任命通知承包人。总监理工程师更换时，应在调离14 天前通知承包人。总监理工程师短期离开施工场地的，应委派代表代行其职责，并通知承包人。</w:t>
      </w:r>
    </w:p>
    <w:p w14:paraId="37DFA588">
      <w:pPr>
        <w:keepNext/>
        <w:keepLines/>
        <w:spacing w:before="260" w:after="260" w:line="416" w:lineRule="auto"/>
        <w:outlineLvl w:val="2"/>
        <w:rPr>
          <w:rFonts w:ascii="宋体" w:hAnsi="宋体"/>
          <w:b/>
          <w:bCs/>
          <w:color w:val="auto"/>
          <w:kern w:val="0"/>
          <w:sz w:val="32"/>
          <w:szCs w:val="32"/>
          <w:highlight w:val="none"/>
        </w:rPr>
      </w:pPr>
      <w:bookmarkStart w:id="355" w:name="_Toc115179819"/>
      <w:r>
        <w:rPr>
          <w:rFonts w:hint="eastAsia" w:ascii="宋体" w:hAnsi="宋体"/>
          <w:b/>
          <w:bCs/>
          <w:color w:val="auto"/>
          <w:kern w:val="0"/>
          <w:sz w:val="32"/>
          <w:szCs w:val="32"/>
          <w:highlight w:val="none"/>
        </w:rPr>
        <w:t>3.3 监理人员</w:t>
      </w:r>
      <w:bookmarkEnd w:id="355"/>
    </w:p>
    <w:p w14:paraId="0698188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2C5AD66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14:paraId="7CACAF7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3.3.3 承包人对总监理工程师授权的监理人员发出的指示有疑问的，可向总监理工程师提出书面异议，总监理工程师应在48小时内对该指示予以确认、更改或撤销。</w:t>
      </w:r>
    </w:p>
    <w:p w14:paraId="106E7DB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3.3.4 除专用合同条款另有约定外，总监理工程师不应将第3.5 款约定应由总监理工程师作出确定的权力授权或委托给其他监理人员。</w:t>
      </w:r>
    </w:p>
    <w:p w14:paraId="695B022C">
      <w:pPr>
        <w:keepNext/>
        <w:keepLines/>
        <w:spacing w:before="260" w:after="260" w:line="416" w:lineRule="auto"/>
        <w:outlineLvl w:val="2"/>
        <w:rPr>
          <w:rFonts w:ascii="宋体" w:hAnsi="宋体"/>
          <w:b/>
          <w:bCs/>
          <w:color w:val="auto"/>
          <w:kern w:val="0"/>
          <w:sz w:val="32"/>
          <w:szCs w:val="32"/>
          <w:highlight w:val="none"/>
        </w:rPr>
      </w:pPr>
      <w:bookmarkStart w:id="356" w:name="_Toc115179820"/>
      <w:r>
        <w:rPr>
          <w:rFonts w:hint="eastAsia" w:ascii="宋体" w:hAnsi="宋体"/>
          <w:b/>
          <w:bCs/>
          <w:color w:val="auto"/>
          <w:kern w:val="0"/>
          <w:sz w:val="32"/>
          <w:szCs w:val="32"/>
          <w:highlight w:val="none"/>
        </w:rPr>
        <w:t>3.4 监理人的指示</w:t>
      </w:r>
      <w:bookmarkEnd w:id="356"/>
    </w:p>
    <w:p w14:paraId="59B1EB4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3.4.1 监理人应按第3.1 款的约定向承包人发出指示，监理人的指示应盖有监理人授权的施工场地机构章，并由总监理工程师或总监理工程师按第3.3.1 项约定授权的监理人员签字。</w:t>
      </w:r>
    </w:p>
    <w:p w14:paraId="5C1736D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3.4.2 承包人收到监理人按第3.4.1 项作出的指示后应遵照执行。指示构成变更的，应按第15条处理。</w:t>
      </w:r>
    </w:p>
    <w:p w14:paraId="238B528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28029E1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3.4.4 除合同另有约定外，承包人只从总监理工程师或按第3.3.1 项被授权的监理人员处取得指示。</w:t>
      </w:r>
    </w:p>
    <w:p w14:paraId="6379279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3.4.5 由于监理人未能按合同约定发出指示、指示延误或指示错误而导致承包人费用增加和（或）工期延误的，由发包人承担赔偿责任。</w:t>
      </w:r>
    </w:p>
    <w:p w14:paraId="3CC801EF">
      <w:pPr>
        <w:keepNext/>
        <w:keepLines/>
        <w:spacing w:before="260" w:after="260" w:line="416" w:lineRule="auto"/>
        <w:outlineLvl w:val="2"/>
        <w:rPr>
          <w:rFonts w:ascii="宋体" w:hAnsi="宋体"/>
          <w:b/>
          <w:bCs/>
          <w:color w:val="auto"/>
          <w:kern w:val="0"/>
          <w:sz w:val="32"/>
          <w:szCs w:val="32"/>
          <w:highlight w:val="none"/>
        </w:rPr>
      </w:pPr>
      <w:bookmarkStart w:id="357" w:name="_Toc115179821"/>
      <w:r>
        <w:rPr>
          <w:rFonts w:hint="eastAsia" w:ascii="宋体" w:hAnsi="宋体"/>
          <w:b/>
          <w:bCs/>
          <w:color w:val="auto"/>
          <w:kern w:val="0"/>
          <w:sz w:val="32"/>
          <w:szCs w:val="32"/>
          <w:highlight w:val="none"/>
        </w:rPr>
        <w:t>3.5 商定或确定</w:t>
      </w:r>
      <w:bookmarkEnd w:id="357"/>
    </w:p>
    <w:p w14:paraId="3B88BF8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3.5.1 合同约定总监理工程师应按照本款对任何事项进行商定或确定时，总监理工程师应与合同当事人协商，尽量达成一致。不能达成一致的，总监理工程师应认真研究后审慎确定。</w:t>
      </w:r>
    </w:p>
    <w:p w14:paraId="5F8180E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3.5.2 总监理工程师应将商定或确定的事项通知合同当事人，并附详细依据。对总监理工程师的确定有异议的，构成争议，按照第24 条的约定处理。在争议解决前，双方应暂按总监理工程师的确定执行，按照第24 条的约定对总监理工程师的确定作出修改的，按修改后的结果执行。</w:t>
      </w:r>
    </w:p>
    <w:p w14:paraId="74F77029">
      <w:pPr>
        <w:numPr>
          <w:ilvl w:val="0"/>
          <w:numId w:val="18"/>
        </w:numPr>
        <w:spacing w:before="260" w:after="260" w:line="400" w:lineRule="exact"/>
        <w:outlineLvl w:val="1"/>
        <w:rPr>
          <w:rFonts w:ascii="宋体" w:hAnsi="宋体" w:eastAsia="黑体"/>
          <w:color w:val="auto"/>
          <w:kern w:val="44"/>
          <w:sz w:val="27"/>
          <w:szCs w:val="27"/>
          <w:highlight w:val="none"/>
        </w:rPr>
      </w:pPr>
      <w:bookmarkStart w:id="358" w:name="_Toc16272"/>
      <w:bookmarkStart w:id="359" w:name="_Toc483383004"/>
      <w:bookmarkStart w:id="360" w:name="_Toc115179822"/>
      <w:r>
        <w:rPr>
          <w:rFonts w:ascii="宋体" w:hAnsi="宋体" w:eastAsia="黑体"/>
          <w:color w:val="auto"/>
          <w:kern w:val="44"/>
          <w:sz w:val="27"/>
          <w:szCs w:val="27"/>
          <w:highlight w:val="none"/>
        </w:rPr>
        <w:t xml:space="preserve">4. </w:t>
      </w:r>
      <w:r>
        <w:rPr>
          <w:rFonts w:hint="eastAsia" w:ascii="宋体" w:hAnsi="宋体" w:eastAsia="黑体"/>
          <w:color w:val="auto"/>
          <w:kern w:val="44"/>
          <w:sz w:val="27"/>
          <w:szCs w:val="27"/>
          <w:highlight w:val="none"/>
        </w:rPr>
        <w:t>承包人</w:t>
      </w:r>
      <w:bookmarkEnd w:id="347"/>
      <w:bookmarkEnd w:id="348"/>
      <w:bookmarkEnd w:id="349"/>
      <w:bookmarkEnd w:id="350"/>
      <w:bookmarkEnd w:id="351"/>
      <w:bookmarkEnd w:id="352"/>
      <w:bookmarkEnd w:id="353"/>
      <w:bookmarkEnd w:id="358"/>
      <w:bookmarkEnd w:id="359"/>
      <w:bookmarkEnd w:id="360"/>
    </w:p>
    <w:p w14:paraId="27A2735D">
      <w:pPr>
        <w:keepNext/>
        <w:keepLines/>
        <w:spacing w:before="260" w:after="260" w:line="416" w:lineRule="auto"/>
        <w:outlineLvl w:val="2"/>
        <w:rPr>
          <w:rFonts w:ascii="宋体" w:hAnsi="宋体"/>
          <w:b/>
          <w:bCs/>
          <w:color w:val="auto"/>
          <w:kern w:val="0"/>
          <w:sz w:val="32"/>
          <w:szCs w:val="32"/>
          <w:highlight w:val="none"/>
        </w:rPr>
      </w:pPr>
      <w:bookmarkStart w:id="361" w:name="_Toc115179823"/>
      <w:bookmarkStart w:id="362" w:name="_Toc221950747"/>
      <w:r>
        <w:rPr>
          <w:rFonts w:hint="eastAsia" w:ascii="宋体" w:hAnsi="宋体"/>
          <w:b/>
          <w:bCs/>
          <w:color w:val="auto"/>
          <w:kern w:val="0"/>
          <w:sz w:val="32"/>
          <w:szCs w:val="32"/>
          <w:highlight w:val="none"/>
        </w:rPr>
        <w:t>4.1 承包人的一般义务</w:t>
      </w:r>
      <w:bookmarkEnd w:id="361"/>
    </w:p>
    <w:p w14:paraId="4A36CF1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4.1.1 遵守法律</w:t>
      </w:r>
    </w:p>
    <w:p w14:paraId="132DB0E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承包人在履行合同过程中应遵守法律，并保证发包人免于承担因承包人违反法律而引起的任何责任。</w:t>
      </w:r>
    </w:p>
    <w:p w14:paraId="68CD1CE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4.1.2 依法纳税</w:t>
      </w:r>
    </w:p>
    <w:p w14:paraId="6B40AC28">
      <w:pPr>
        <w:spacing w:line="400" w:lineRule="exact"/>
        <w:ind w:right="248" w:firstLine="480"/>
        <w:rPr>
          <w:rFonts w:ascii="宋体" w:hAnsi="宋体"/>
          <w:color w:val="auto"/>
          <w:szCs w:val="21"/>
          <w:highlight w:val="none"/>
        </w:rPr>
      </w:pPr>
      <w:r>
        <w:rPr>
          <w:rFonts w:hint="eastAsia" w:ascii="宋体" w:hAnsi="宋体"/>
          <w:color w:val="auto"/>
          <w:szCs w:val="21"/>
          <w:highlight w:val="none"/>
        </w:rPr>
        <w:t>承包人应按有关法律规定纳税，应缴纳的税金包括在合同价格内。</w:t>
      </w:r>
    </w:p>
    <w:p w14:paraId="5AA64FBF">
      <w:pPr>
        <w:spacing w:line="400" w:lineRule="exact"/>
        <w:ind w:right="248" w:firstLine="480"/>
        <w:rPr>
          <w:rFonts w:ascii="宋体" w:hAnsi="宋体"/>
          <w:color w:val="auto"/>
          <w:szCs w:val="21"/>
          <w:highlight w:val="none"/>
        </w:rPr>
      </w:pPr>
      <w:r>
        <w:rPr>
          <w:rFonts w:hint="eastAsia" w:ascii="宋体" w:hAnsi="宋体"/>
          <w:color w:val="auto"/>
          <w:szCs w:val="21"/>
          <w:highlight w:val="none"/>
        </w:rPr>
        <w:t xml:space="preserve">4.1.3 </w:t>
      </w:r>
      <w:bookmarkEnd w:id="362"/>
      <w:bookmarkStart w:id="363" w:name="_Toc221950748"/>
      <w:r>
        <w:rPr>
          <w:rFonts w:hint="eastAsia" w:ascii="宋体" w:hAnsi="宋体"/>
          <w:color w:val="auto"/>
          <w:szCs w:val="21"/>
          <w:highlight w:val="none"/>
        </w:rPr>
        <w:t>完成各项承包工作</w:t>
      </w:r>
    </w:p>
    <w:p w14:paraId="59FF1FBA">
      <w:pPr>
        <w:spacing w:line="400" w:lineRule="exact"/>
        <w:ind w:right="248" w:firstLine="480"/>
        <w:rPr>
          <w:rFonts w:ascii="宋体" w:hAnsi="宋体"/>
          <w:color w:val="auto"/>
          <w:szCs w:val="21"/>
          <w:highlight w:val="none"/>
        </w:rPr>
      </w:pPr>
      <w:r>
        <w:rPr>
          <w:rFonts w:hint="eastAsia" w:ascii="宋体" w:hAnsi="宋体"/>
          <w:color w:val="auto"/>
          <w:szCs w:val="21"/>
          <w:highlight w:val="none"/>
        </w:rPr>
        <w:t>承包人应按照合同约定以及监理人根据第3.4款作出的指示，实施、完成全部工程，并修补工程中的任何缺陷。除第5.2款、第6.2款另有约定外，承包人应提供为完成合同工作所需的劳务、材料、施工设备、工程设备和其他物品，</w:t>
      </w:r>
      <w:bookmarkEnd w:id="363"/>
      <w:r>
        <w:rPr>
          <w:rFonts w:hint="eastAsia" w:ascii="宋体" w:hAnsi="宋体"/>
          <w:color w:val="auto"/>
          <w:szCs w:val="21"/>
          <w:highlight w:val="none"/>
        </w:rPr>
        <w:t>并按合同约定负责临时设施的设计、建造、运行、维护、管理和拆除。</w:t>
      </w:r>
    </w:p>
    <w:p w14:paraId="3778568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4.1.4 对施工作业和施工方法的完备性负责</w:t>
      </w:r>
    </w:p>
    <w:p w14:paraId="3942744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承包人应按合同约定的工作内容和施工进度要求，编制施工组织设计和施工措施计划，并对所有施工作业和施工方法的完备性和安全可靠性负责。</w:t>
      </w:r>
    </w:p>
    <w:p w14:paraId="092EA9F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4.1.5 保证工程施工和人员的安全</w:t>
      </w:r>
    </w:p>
    <w:p w14:paraId="6029AD0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承包人应按第9.2 款约定采取施工安全措施，确保工程及其人员、材料、设备和设施的安全，防止因工程施工造成的人身伤害和财产损失。</w:t>
      </w:r>
    </w:p>
    <w:p w14:paraId="06F5B25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4.1.6 负责施工场地及其周边环境与生态的保护工作</w:t>
      </w:r>
    </w:p>
    <w:p w14:paraId="0B20A05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承包人应按照第9.4 款约定负责施工场地及其周边环境与生态的保护工作。</w:t>
      </w:r>
    </w:p>
    <w:p w14:paraId="12B5C7B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4.1.7 避免施工对公众与他人的利益造成损害</w:t>
      </w:r>
    </w:p>
    <w:p w14:paraId="60A5DEB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3E8313B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4.1.8 为他人提供方便</w:t>
      </w:r>
    </w:p>
    <w:p w14:paraId="2D02317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承包人应按监理人的指示为他人在施工场地或附近实施与工程有关的其他各项工作提供可能的条件。除合同另有约定外，提供有关条件的内容和可能发生的费用，由监理人按第3.5 款商定或确定。</w:t>
      </w:r>
    </w:p>
    <w:p w14:paraId="76AE06D1">
      <w:pPr>
        <w:spacing w:line="400" w:lineRule="exact"/>
        <w:ind w:right="248" w:firstLine="480"/>
        <w:rPr>
          <w:rFonts w:ascii="宋体" w:hAnsi="宋体"/>
          <w:color w:val="auto"/>
          <w:szCs w:val="21"/>
          <w:highlight w:val="none"/>
        </w:rPr>
      </w:pPr>
      <w:r>
        <w:rPr>
          <w:rFonts w:hint="eastAsia" w:ascii="宋体" w:hAnsi="宋体"/>
          <w:color w:val="auto"/>
          <w:szCs w:val="21"/>
          <w:highlight w:val="none"/>
        </w:rPr>
        <w:t>4.1.9  工程的维护和照管</w:t>
      </w:r>
    </w:p>
    <w:p w14:paraId="0BEAA0B4">
      <w:pPr>
        <w:spacing w:line="400" w:lineRule="exact"/>
        <w:ind w:right="248" w:firstLine="480"/>
        <w:rPr>
          <w:rFonts w:ascii="宋体" w:hAnsi="宋体"/>
          <w:color w:val="auto"/>
          <w:szCs w:val="21"/>
          <w:highlight w:val="none"/>
        </w:rPr>
      </w:pPr>
      <w:r>
        <w:rPr>
          <w:rFonts w:hint="eastAsia" w:ascii="宋体" w:hAnsi="宋体"/>
          <w:color w:val="auto"/>
          <w:szCs w:val="21"/>
          <w:highlight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14:paraId="43DD04CF">
      <w:pPr>
        <w:spacing w:line="400" w:lineRule="exact"/>
        <w:ind w:right="248" w:firstLine="48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10</w:t>
      </w:r>
      <w:r>
        <w:rPr>
          <w:rFonts w:hint="eastAsia" w:ascii="宋体" w:hAnsi="宋体"/>
          <w:color w:val="auto"/>
          <w:szCs w:val="21"/>
          <w:highlight w:val="none"/>
        </w:rPr>
        <w:t xml:space="preserve"> 其它义务</w:t>
      </w:r>
    </w:p>
    <w:p w14:paraId="42B5834B">
      <w:pPr>
        <w:spacing w:line="400" w:lineRule="exact"/>
        <w:ind w:right="248" w:firstLine="480"/>
        <w:rPr>
          <w:rFonts w:ascii="宋体" w:hAnsi="宋体"/>
          <w:color w:val="auto"/>
          <w:szCs w:val="21"/>
          <w:highlight w:val="none"/>
        </w:rPr>
      </w:pPr>
      <w:r>
        <w:rPr>
          <w:rFonts w:hint="eastAsia" w:ascii="宋体" w:hAnsi="宋体"/>
          <w:color w:val="auto"/>
          <w:szCs w:val="21"/>
          <w:highlight w:val="none"/>
        </w:rPr>
        <w:t>其他义务在专用合同条款中补充约定。</w:t>
      </w:r>
    </w:p>
    <w:p w14:paraId="751E9C81">
      <w:pPr>
        <w:keepNext/>
        <w:keepLines/>
        <w:spacing w:before="260" w:after="260" w:line="416" w:lineRule="auto"/>
        <w:outlineLvl w:val="2"/>
        <w:rPr>
          <w:rFonts w:ascii="宋体" w:hAnsi="宋体"/>
          <w:b/>
          <w:bCs/>
          <w:color w:val="auto"/>
          <w:kern w:val="0"/>
          <w:sz w:val="32"/>
          <w:szCs w:val="32"/>
          <w:highlight w:val="none"/>
        </w:rPr>
      </w:pPr>
      <w:bookmarkStart w:id="364" w:name="_Toc221950749"/>
      <w:bookmarkStart w:id="365" w:name="_Toc115179824"/>
      <w:r>
        <w:rPr>
          <w:rFonts w:ascii="宋体" w:hAnsi="宋体"/>
          <w:b/>
          <w:bCs/>
          <w:color w:val="auto"/>
          <w:kern w:val="0"/>
          <w:sz w:val="32"/>
          <w:szCs w:val="32"/>
          <w:highlight w:val="none"/>
        </w:rPr>
        <w:t xml:space="preserve">4.2 </w:t>
      </w:r>
      <w:bookmarkEnd w:id="364"/>
      <w:bookmarkStart w:id="366" w:name="_Toc221950751"/>
      <w:r>
        <w:rPr>
          <w:rFonts w:hint="eastAsia" w:ascii="宋体" w:hAnsi="宋体"/>
          <w:b/>
          <w:bCs/>
          <w:color w:val="auto"/>
          <w:kern w:val="0"/>
          <w:sz w:val="32"/>
          <w:szCs w:val="32"/>
          <w:highlight w:val="none"/>
        </w:rPr>
        <w:t>履约担保</w:t>
      </w:r>
      <w:bookmarkEnd w:id="365"/>
    </w:p>
    <w:p w14:paraId="1400C503">
      <w:pPr>
        <w:spacing w:line="400" w:lineRule="exact"/>
        <w:ind w:right="248" w:firstLine="480"/>
        <w:rPr>
          <w:rFonts w:ascii="宋体" w:hAnsi="宋体"/>
          <w:color w:val="auto"/>
          <w:szCs w:val="21"/>
          <w:highlight w:val="none"/>
        </w:rPr>
      </w:pPr>
      <w:r>
        <w:rPr>
          <w:rFonts w:hint="eastAsia" w:ascii="宋体" w:hAnsi="宋体"/>
          <w:color w:val="auto"/>
          <w:szCs w:val="21"/>
          <w:highlight w:val="none"/>
        </w:rPr>
        <w:t>承包人应保证其履约担保在发包人颁发合同工程完工证书前一直有效。发包人应在合同工程完工证书颁发后</w:t>
      </w:r>
      <w:r>
        <w:rPr>
          <w:rFonts w:ascii="宋体" w:hAnsi="宋体"/>
          <w:color w:val="auto"/>
          <w:szCs w:val="21"/>
          <w:highlight w:val="none"/>
        </w:rPr>
        <w:t>28</w:t>
      </w:r>
      <w:r>
        <w:rPr>
          <w:rFonts w:hint="eastAsia" w:ascii="宋体" w:hAnsi="宋体"/>
          <w:color w:val="auto"/>
          <w:szCs w:val="21"/>
          <w:highlight w:val="none"/>
        </w:rPr>
        <w:t>天内把履约担保退还给承包人。</w:t>
      </w:r>
      <w:bookmarkEnd w:id="366"/>
    </w:p>
    <w:p w14:paraId="17551174">
      <w:pPr>
        <w:keepNext/>
        <w:keepLines/>
        <w:spacing w:before="260" w:after="260" w:line="416" w:lineRule="auto"/>
        <w:outlineLvl w:val="2"/>
        <w:rPr>
          <w:rFonts w:ascii="宋体" w:hAnsi="宋体"/>
          <w:b/>
          <w:bCs/>
          <w:color w:val="auto"/>
          <w:kern w:val="0"/>
          <w:sz w:val="32"/>
          <w:szCs w:val="32"/>
          <w:highlight w:val="none"/>
        </w:rPr>
      </w:pPr>
      <w:bookmarkStart w:id="367" w:name="_Toc115179825"/>
      <w:bookmarkStart w:id="368" w:name="_Toc221950754"/>
      <w:r>
        <w:rPr>
          <w:rFonts w:hint="eastAsia" w:ascii="宋体" w:hAnsi="宋体"/>
          <w:b/>
          <w:bCs/>
          <w:color w:val="auto"/>
          <w:kern w:val="0"/>
          <w:sz w:val="32"/>
          <w:szCs w:val="32"/>
          <w:highlight w:val="none"/>
        </w:rPr>
        <w:t>4.3 分包</w:t>
      </w:r>
      <w:bookmarkEnd w:id="367"/>
    </w:p>
    <w:p w14:paraId="4C53DA6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4.3.1 承包人不得将其承包的全部工程转包给第三人，或将其承包的全部工程肢解后以分包的名义转包给第三人。</w:t>
      </w:r>
    </w:p>
    <w:p w14:paraId="6FC9203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4.3.2 承包人不得将工程主体、关键性工作分包给第三人。除专用合同条款另有约定外，未经发包人同意，承包人不得将工程的其他部分或工作分包给第三人。</w:t>
      </w:r>
    </w:p>
    <w:p w14:paraId="729F8BE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4.3.3 分包人的资格能力应与其分包工程的标准和规模相适应。</w:t>
      </w:r>
    </w:p>
    <w:p w14:paraId="6723372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4.3.4 按投标函附录约定分包工程的，承包人应向发包人和监理人提交分包合同副本。</w:t>
      </w:r>
    </w:p>
    <w:p w14:paraId="6E59DBD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4.3.5 承包人应与分包人就分包工程向发包人承担连带责任。</w:t>
      </w:r>
    </w:p>
    <w:p w14:paraId="11B7F1C6">
      <w:pPr>
        <w:spacing w:line="400" w:lineRule="exact"/>
        <w:ind w:right="248" w:firstLine="480"/>
        <w:rPr>
          <w:rFonts w:ascii="宋体" w:hAnsi="宋体"/>
          <w:color w:val="auto"/>
          <w:szCs w:val="21"/>
          <w:highlight w:val="none"/>
        </w:rPr>
      </w:pPr>
      <w:r>
        <w:rPr>
          <w:rFonts w:ascii="宋体" w:hAnsi="宋体"/>
          <w:color w:val="auto"/>
          <w:szCs w:val="21"/>
          <w:highlight w:val="none"/>
        </w:rPr>
        <w:t>4.3.</w:t>
      </w:r>
      <w:r>
        <w:rPr>
          <w:rFonts w:hint="eastAsia" w:ascii="宋体" w:hAnsi="宋体"/>
          <w:color w:val="auto"/>
          <w:szCs w:val="21"/>
          <w:highlight w:val="none"/>
        </w:rPr>
        <w:t>6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14:paraId="69427DF7">
      <w:pPr>
        <w:spacing w:line="400" w:lineRule="exact"/>
        <w:ind w:right="248" w:firstLine="480"/>
        <w:rPr>
          <w:rFonts w:ascii="宋体" w:hAnsi="宋体"/>
          <w:color w:val="auto"/>
          <w:szCs w:val="21"/>
          <w:highlight w:val="none"/>
        </w:rPr>
      </w:pPr>
      <w:r>
        <w:rPr>
          <w:rFonts w:ascii="宋体" w:hAnsi="宋体"/>
          <w:color w:val="auto"/>
          <w:szCs w:val="21"/>
          <w:highlight w:val="none"/>
        </w:rPr>
        <w:t>4.3.</w:t>
      </w:r>
      <w:r>
        <w:rPr>
          <w:rFonts w:hint="eastAsia" w:ascii="宋体" w:hAnsi="宋体"/>
          <w:color w:val="auto"/>
          <w:szCs w:val="21"/>
          <w:highlight w:val="none"/>
        </w:rPr>
        <w:t>7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14:paraId="5123B131">
      <w:pPr>
        <w:spacing w:line="400" w:lineRule="exact"/>
        <w:ind w:right="248" w:firstLine="480"/>
        <w:rPr>
          <w:rFonts w:ascii="宋体" w:hAnsi="宋体"/>
          <w:color w:val="auto"/>
          <w:szCs w:val="21"/>
          <w:highlight w:val="none"/>
        </w:rPr>
      </w:pPr>
      <w:r>
        <w:rPr>
          <w:rFonts w:hint="eastAsia" w:ascii="宋体" w:hAnsi="宋体"/>
          <w:color w:val="auto"/>
          <w:szCs w:val="21"/>
          <w:highlight w:val="none"/>
        </w:rPr>
        <w:t>由指定分包人造成的与其分包工作有关的一切索赔、诉讼和损失赔偿由指定分包人直接对发包人负责，承包人不对此承担责任。</w:t>
      </w:r>
    </w:p>
    <w:p w14:paraId="220BED76">
      <w:pPr>
        <w:spacing w:line="400" w:lineRule="exact"/>
        <w:ind w:right="248" w:firstLine="480"/>
        <w:rPr>
          <w:rFonts w:ascii="宋体" w:hAnsi="宋体"/>
          <w:color w:val="auto"/>
          <w:szCs w:val="21"/>
          <w:highlight w:val="none"/>
        </w:rPr>
      </w:pPr>
      <w:r>
        <w:rPr>
          <w:rFonts w:ascii="宋体" w:hAnsi="宋体"/>
          <w:color w:val="auto"/>
          <w:szCs w:val="21"/>
          <w:highlight w:val="none"/>
        </w:rPr>
        <w:t>4.3.</w:t>
      </w:r>
      <w:r>
        <w:rPr>
          <w:rFonts w:hint="eastAsia" w:ascii="宋体" w:hAnsi="宋体"/>
          <w:color w:val="auto"/>
          <w:szCs w:val="21"/>
          <w:highlight w:val="none"/>
        </w:rPr>
        <w:t>8承包人和分包人应当签订分包合同，并履行合同约定的义务。分包合同必须遵循承包合同的各项原则，满足承包合同中相应条款的要求。发包人可以对分包合同实施情况进行监督检查 。承包人应将分包合同副本提交发包人和监理人。</w:t>
      </w:r>
    </w:p>
    <w:p w14:paraId="2A67312B">
      <w:pPr>
        <w:spacing w:line="400" w:lineRule="exact"/>
        <w:ind w:right="248" w:firstLine="480"/>
        <w:rPr>
          <w:rFonts w:ascii="宋体" w:hAnsi="宋体"/>
          <w:color w:val="auto"/>
          <w:szCs w:val="21"/>
          <w:highlight w:val="none"/>
        </w:rPr>
      </w:pPr>
      <w:r>
        <w:rPr>
          <w:rFonts w:ascii="宋体" w:hAnsi="宋体"/>
          <w:color w:val="auto"/>
          <w:szCs w:val="21"/>
          <w:highlight w:val="none"/>
        </w:rPr>
        <w:t>4.3.</w:t>
      </w:r>
      <w:r>
        <w:rPr>
          <w:rFonts w:hint="eastAsia" w:ascii="宋体" w:hAnsi="宋体"/>
          <w:color w:val="auto"/>
          <w:szCs w:val="21"/>
          <w:highlight w:val="none"/>
        </w:rPr>
        <w:t>9</w:t>
      </w:r>
      <w:r>
        <w:rPr>
          <w:rFonts w:ascii="宋体" w:hAnsi="宋体"/>
          <w:color w:val="auto"/>
          <w:szCs w:val="21"/>
          <w:highlight w:val="none"/>
        </w:rPr>
        <w:t xml:space="preserve"> 除4.3.</w:t>
      </w:r>
      <w:r>
        <w:rPr>
          <w:rFonts w:hint="eastAsia" w:ascii="宋体" w:hAnsi="宋体"/>
          <w:color w:val="auto"/>
          <w:szCs w:val="21"/>
          <w:highlight w:val="none"/>
        </w:rPr>
        <w:t>7</w:t>
      </w:r>
      <w:r>
        <w:rPr>
          <w:rFonts w:ascii="宋体" w:hAnsi="宋体"/>
          <w:color w:val="auto"/>
          <w:szCs w:val="21"/>
          <w:highlight w:val="none"/>
        </w:rPr>
        <w:t>条规定的指定分包外，承包人对其分包项目的实施以及分包人的行为向发包人负全部责任。承包人应对分包项目的工程进度、质量、安全、计量和验收等实施监督和管理。</w:t>
      </w:r>
      <w:bookmarkEnd w:id="368"/>
    </w:p>
    <w:p w14:paraId="1A4D2AC5">
      <w:pPr>
        <w:spacing w:line="400" w:lineRule="exact"/>
        <w:ind w:right="248" w:firstLine="480"/>
        <w:rPr>
          <w:rFonts w:ascii="宋体" w:hAnsi="宋体"/>
          <w:color w:val="auto"/>
          <w:szCs w:val="21"/>
          <w:highlight w:val="none"/>
        </w:rPr>
      </w:pPr>
      <w:r>
        <w:rPr>
          <w:rFonts w:hint="eastAsia" w:ascii="宋体" w:hAnsi="宋体"/>
          <w:color w:val="auto"/>
          <w:szCs w:val="21"/>
          <w:highlight w:val="none"/>
        </w:rPr>
        <w:t>4.3.10 分包人应按专用合同条款的约定设立项目管理机构组织管理分包工程的施工活动。</w:t>
      </w:r>
    </w:p>
    <w:p w14:paraId="0E1B1568">
      <w:pPr>
        <w:keepNext/>
        <w:keepLines/>
        <w:spacing w:before="260" w:after="260" w:line="416" w:lineRule="auto"/>
        <w:outlineLvl w:val="2"/>
        <w:rPr>
          <w:rFonts w:ascii="宋体" w:hAnsi="宋体"/>
          <w:b/>
          <w:bCs/>
          <w:color w:val="auto"/>
          <w:kern w:val="0"/>
          <w:sz w:val="32"/>
          <w:szCs w:val="32"/>
          <w:highlight w:val="none"/>
        </w:rPr>
      </w:pPr>
      <w:bookmarkStart w:id="369" w:name="_Toc115179826"/>
      <w:r>
        <w:rPr>
          <w:rFonts w:hint="eastAsia" w:ascii="宋体" w:hAnsi="宋体"/>
          <w:b/>
          <w:bCs/>
          <w:color w:val="auto"/>
          <w:kern w:val="0"/>
          <w:sz w:val="32"/>
          <w:szCs w:val="32"/>
          <w:highlight w:val="none"/>
        </w:rPr>
        <w:t>4.4 联合体</w:t>
      </w:r>
      <w:bookmarkEnd w:id="369"/>
    </w:p>
    <w:p w14:paraId="6472F4D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4.4.1 联合体各方应共同与发包人签订合同协议书。联合体各方应为履行合同承担连带责任。</w:t>
      </w:r>
    </w:p>
    <w:p w14:paraId="69B03D1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4.4.2 联合体协议经发包人确认后作为合同附件。在履行合同过程中，未经发包人同意，不得修改联合体协议。</w:t>
      </w:r>
    </w:p>
    <w:p w14:paraId="4FF9CEB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4.4.3 联合体牵头人负责与发包人和监理人联系，并接受指示，负责组织联合体各成员全面履行合同。</w:t>
      </w:r>
    </w:p>
    <w:p w14:paraId="03C80573">
      <w:pPr>
        <w:keepNext/>
        <w:keepLines/>
        <w:spacing w:before="260" w:after="260" w:line="416" w:lineRule="auto"/>
        <w:outlineLvl w:val="2"/>
        <w:rPr>
          <w:rFonts w:ascii="宋体" w:hAnsi="宋体"/>
          <w:b/>
          <w:bCs/>
          <w:color w:val="auto"/>
          <w:kern w:val="0"/>
          <w:sz w:val="32"/>
          <w:szCs w:val="32"/>
          <w:highlight w:val="none"/>
        </w:rPr>
      </w:pPr>
      <w:bookmarkStart w:id="370" w:name="_Toc115179827"/>
      <w:r>
        <w:rPr>
          <w:rFonts w:hint="eastAsia" w:ascii="宋体" w:hAnsi="宋体"/>
          <w:b/>
          <w:bCs/>
          <w:color w:val="auto"/>
          <w:kern w:val="0"/>
          <w:sz w:val="32"/>
          <w:szCs w:val="32"/>
          <w:highlight w:val="none"/>
        </w:rPr>
        <w:t>4.5 承包人项目负责人</w:t>
      </w:r>
      <w:bookmarkEnd w:id="370"/>
    </w:p>
    <w:p w14:paraId="0A23256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4.5.1 承包人应按合同约定指派项目负责人，并在约定的期限内到职。承包人更换项目负责人应事先征得发包人同意，并应在更换14天前通知发包人和监理人。承包人项目负责人短期离开施工场地，应事先征得监理人同意，并委派代表代行其职责。</w:t>
      </w:r>
    </w:p>
    <w:p w14:paraId="625504D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4.5.2 承包人项目负责人应按合同约定以及监理人按第3 . 4 款作出的指示，负责组织合同工程的实施。在情况紧急且无法与监理人取得联系时，可采取保证工程和人员生命财产安全的紧急措施，并在采取措施后24小时内向监理人提交书面报告。</w:t>
      </w:r>
    </w:p>
    <w:p w14:paraId="69D6AA6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4.5.3 承包人为履行合同发出的一切函件均应盖有承包人授权的施工场地管理机构章，并由承包人项目负责人或其授权代表签字。</w:t>
      </w:r>
    </w:p>
    <w:p w14:paraId="0C9CDE9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4.5.4 承包人项目负责人可以授权其下属人员履行其某项职责，但事先应将这些人员的姓名和授权范围通知监理人。</w:t>
      </w:r>
    </w:p>
    <w:p w14:paraId="221A5E81">
      <w:pPr>
        <w:keepNext/>
        <w:keepLines/>
        <w:spacing w:before="260" w:after="260" w:line="416" w:lineRule="auto"/>
        <w:outlineLvl w:val="2"/>
        <w:rPr>
          <w:rFonts w:ascii="宋体" w:hAnsi="宋体"/>
          <w:b/>
          <w:bCs/>
          <w:color w:val="auto"/>
          <w:kern w:val="0"/>
          <w:sz w:val="32"/>
          <w:szCs w:val="32"/>
          <w:highlight w:val="none"/>
        </w:rPr>
      </w:pPr>
      <w:bookmarkStart w:id="371" w:name="_Toc115179828"/>
      <w:r>
        <w:rPr>
          <w:rFonts w:hint="eastAsia" w:ascii="宋体" w:hAnsi="宋体"/>
          <w:b/>
          <w:bCs/>
          <w:color w:val="auto"/>
          <w:kern w:val="0"/>
          <w:sz w:val="32"/>
          <w:szCs w:val="32"/>
          <w:highlight w:val="none"/>
        </w:rPr>
        <w:t>4.6 承包人人员的管理</w:t>
      </w:r>
      <w:bookmarkEnd w:id="371"/>
    </w:p>
    <w:p w14:paraId="2FB1401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3C18BD5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4.6.2 为完成合同约定的各项工作，承包人应向施工场地派遣或雇佣足够数量的下列人员：</w:t>
      </w:r>
    </w:p>
    <w:p w14:paraId="3388C93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(1）具有相应资格的专业技工和合格的普工；</w:t>
      </w:r>
    </w:p>
    <w:p w14:paraId="42F784A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(2）具有相应施工经验的技术人员；</w:t>
      </w:r>
    </w:p>
    <w:p w14:paraId="6A1F421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(3）具有相应岗位资格的各级管理人员。</w:t>
      </w:r>
    </w:p>
    <w:p w14:paraId="5539D05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4.6.3 承包人安排在施工场地的主要管理人员和技术骨干应相对稳定。承包人更换主要管理人员和技术骨干时，应取得监理人的同意。</w:t>
      </w:r>
    </w:p>
    <w:p w14:paraId="61894E0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4.6.4 特殊岗位的工作人员均应持有相应的资格证明，监理人有权随时检查。监理人认为有必要时，可进行现场考核。</w:t>
      </w:r>
    </w:p>
    <w:p w14:paraId="244ED14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4.7 撤换承包人项目负责人和其他人员</w:t>
      </w:r>
    </w:p>
    <w:p w14:paraId="3B0240E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承包人应对其项目负责人和其他人员进行有效管理。监理人要求撤换不能胜任本职工作、行为不端或玩忽职守的承包人项目负责人和其他人员的，承包人应予以撤换。</w:t>
      </w:r>
    </w:p>
    <w:p w14:paraId="257CFFB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4.8 保障承包人人员的合法权益</w:t>
      </w:r>
    </w:p>
    <w:p w14:paraId="15AC4A2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4.8.1 承包人应与其雇佣的人员签订劳动合同，并按时发放工资。</w:t>
      </w:r>
    </w:p>
    <w:p w14:paraId="4ABA533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14:paraId="760ECC3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4.8.3 承包人应为其雇佣人员提供必要的食宿条件，以及符合环境保护和卫生要求的生活环境，在远离城镇的施工场地，还应配备必要的伤病防治和急救的医务人员与医疗设施。</w:t>
      </w:r>
    </w:p>
    <w:p w14:paraId="6500110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4A67965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4.8.5 承包人应按有关法律规定和合同约定，为其雇佣人员办理保险。</w:t>
      </w:r>
    </w:p>
    <w:p w14:paraId="57C422D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4.8.6 承包人应负责处理其雇佣人员因工伤亡事故的善后事宜。</w:t>
      </w:r>
    </w:p>
    <w:p w14:paraId="2B60B02C">
      <w:pPr>
        <w:keepNext/>
        <w:keepLines/>
        <w:spacing w:before="260" w:after="260" w:line="416" w:lineRule="auto"/>
        <w:outlineLvl w:val="2"/>
        <w:rPr>
          <w:rFonts w:ascii="宋体" w:hAnsi="宋体"/>
          <w:b/>
          <w:bCs/>
          <w:color w:val="auto"/>
          <w:kern w:val="0"/>
          <w:sz w:val="32"/>
          <w:szCs w:val="32"/>
          <w:highlight w:val="none"/>
        </w:rPr>
      </w:pPr>
      <w:bookmarkStart w:id="372" w:name="_Toc115179829"/>
      <w:r>
        <w:rPr>
          <w:rFonts w:hint="eastAsia" w:ascii="宋体" w:hAnsi="宋体"/>
          <w:b/>
          <w:bCs/>
          <w:color w:val="auto"/>
          <w:kern w:val="0"/>
          <w:sz w:val="32"/>
          <w:szCs w:val="32"/>
          <w:highlight w:val="none"/>
        </w:rPr>
        <w:t>4.9 工程价款应专款专用</w:t>
      </w:r>
      <w:bookmarkEnd w:id="372"/>
    </w:p>
    <w:p w14:paraId="423BA0F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发包人按合同约定支付给承包人的各项价款应专用于合同工程。</w:t>
      </w:r>
    </w:p>
    <w:p w14:paraId="0A2E203B">
      <w:pPr>
        <w:keepNext/>
        <w:keepLines/>
        <w:spacing w:before="260" w:after="260" w:line="416" w:lineRule="auto"/>
        <w:outlineLvl w:val="2"/>
        <w:rPr>
          <w:rFonts w:ascii="宋体" w:hAnsi="宋体"/>
          <w:b/>
          <w:bCs/>
          <w:color w:val="auto"/>
          <w:kern w:val="0"/>
          <w:sz w:val="32"/>
          <w:szCs w:val="32"/>
          <w:highlight w:val="none"/>
        </w:rPr>
      </w:pPr>
      <w:bookmarkStart w:id="373" w:name="_Toc115179830"/>
      <w:r>
        <w:rPr>
          <w:rFonts w:hint="eastAsia" w:ascii="宋体" w:hAnsi="宋体"/>
          <w:b/>
          <w:bCs/>
          <w:color w:val="auto"/>
          <w:kern w:val="0"/>
          <w:sz w:val="32"/>
          <w:szCs w:val="32"/>
          <w:highlight w:val="none"/>
        </w:rPr>
        <w:t>4.10 承包人现场查勘</w:t>
      </w:r>
      <w:bookmarkEnd w:id="373"/>
    </w:p>
    <w:p w14:paraId="1D89B0A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4.10.1 发包人应将其持有的现场地质勘探资料、水文气象资料提供给承包人，并对其准确性负责。但承包人应对其阅读上述有关资料后所作出的解释和推断负责。</w:t>
      </w:r>
    </w:p>
    <w:p w14:paraId="5C342F0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1C0AD0E3">
      <w:pPr>
        <w:keepNext/>
        <w:keepLines/>
        <w:spacing w:before="260" w:after="260" w:line="416" w:lineRule="auto"/>
        <w:outlineLvl w:val="2"/>
        <w:rPr>
          <w:rFonts w:ascii="宋体" w:hAnsi="宋体"/>
          <w:b/>
          <w:bCs/>
          <w:color w:val="auto"/>
          <w:kern w:val="0"/>
          <w:sz w:val="32"/>
          <w:szCs w:val="32"/>
          <w:highlight w:val="none"/>
        </w:rPr>
      </w:pPr>
      <w:bookmarkStart w:id="374" w:name="_Toc115179831"/>
      <w:r>
        <w:rPr>
          <w:rFonts w:hint="eastAsia" w:ascii="宋体" w:hAnsi="宋体"/>
          <w:b/>
          <w:bCs/>
          <w:color w:val="auto"/>
          <w:kern w:val="0"/>
          <w:sz w:val="32"/>
          <w:szCs w:val="32"/>
          <w:highlight w:val="none"/>
        </w:rPr>
        <w:t>4.11不利物质条件</w:t>
      </w:r>
      <w:bookmarkEnd w:id="374"/>
    </w:p>
    <w:p w14:paraId="5A35362D">
      <w:pPr>
        <w:spacing w:line="400" w:lineRule="exact"/>
        <w:ind w:right="248" w:firstLine="480"/>
        <w:rPr>
          <w:rFonts w:ascii="宋体" w:hAnsi="宋体"/>
          <w:color w:val="auto"/>
          <w:szCs w:val="21"/>
          <w:highlight w:val="none"/>
        </w:rPr>
      </w:pPr>
      <w:r>
        <w:rPr>
          <w:rFonts w:hint="eastAsia" w:ascii="宋体" w:hAnsi="宋体"/>
          <w:color w:val="auto"/>
          <w:szCs w:val="21"/>
          <w:highlight w:val="none"/>
        </w:rPr>
        <w:t>4.11.1 除专用合同条款另有约定外，不利物质条件是指在施工中遭遇不可预见的外界障碍或自然条件造成施工受阻。</w:t>
      </w:r>
    </w:p>
    <w:p w14:paraId="212367DC">
      <w:pPr>
        <w:spacing w:line="400" w:lineRule="exact"/>
        <w:ind w:right="248" w:firstLine="480"/>
        <w:rPr>
          <w:rFonts w:ascii="宋体" w:hAnsi="宋体"/>
          <w:color w:val="auto"/>
          <w:szCs w:val="21"/>
          <w:highlight w:val="none"/>
        </w:rPr>
      </w:pPr>
      <w:r>
        <w:rPr>
          <w:rFonts w:hint="eastAsia" w:ascii="宋体" w:hAnsi="宋体"/>
          <w:color w:val="auto"/>
          <w:szCs w:val="21"/>
          <w:highlight w:val="none"/>
        </w:rPr>
        <w:t>4.11.2 承包人遇到不利物质条件时，应采取适应不利物质条件的合理措施继续施工，并及时通知监理人。承包人有权根据第23.1款的约定，要求延长工期及增加费用。监理人收到此类要求后，应在分析上述外界障碍或自然条件是否不可预见及不可预见程度的基础上，按照通用合同条款第15条的约定办理。</w:t>
      </w:r>
    </w:p>
    <w:p w14:paraId="3EEB7CC2">
      <w:pPr>
        <w:numPr>
          <w:ilvl w:val="0"/>
          <w:numId w:val="18"/>
        </w:numPr>
        <w:spacing w:before="260" w:after="260" w:line="400" w:lineRule="exact"/>
        <w:outlineLvl w:val="1"/>
        <w:rPr>
          <w:rFonts w:ascii="宋体" w:hAnsi="宋体" w:eastAsia="黑体"/>
          <w:color w:val="auto"/>
          <w:kern w:val="44"/>
          <w:sz w:val="27"/>
          <w:szCs w:val="27"/>
          <w:highlight w:val="none"/>
        </w:rPr>
      </w:pPr>
      <w:bookmarkStart w:id="375" w:name="_Toc259524353"/>
      <w:bookmarkStart w:id="376" w:name="_Toc229305366"/>
      <w:bookmarkStart w:id="377" w:name="_Toc7257"/>
      <w:bookmarkStart w:id="378" w:name="_Toc222031008"/>
      <w:bookmarkStart w:id="379" w:name="_Toc222029506"/>
      <w:bookmarkStart w:id="380" w:name="_Toc222032675"/>
      <w:bookmarkStart w:id="381" w:name="_Toc115179832"/>
      <w:bookmarkStart w:id="382" w:name="_Toc483383005"/>
      <w:bookmarkStart w:id="383" w:name="_Toc221950770"/>
      <w:bookmarkStart w:id="384" w:name="_Toc222033857"/>
      <w:r>
        <w:rPr>
          <w:rFonts w:ascii="宋体" w:hAnsi="宋体" w:eastAsia="黑体"/>
          <w:color w:val="auto"/>
          <w:kern w:val="44"/>
          <w:sz w:val="27"/>
          <w:szCs w:val="27"/>
          <w:highlight w:val="none"/>
        </w:rPr>
        <w:t xml:space="preserve">5. </w:t>
      </w:r>
      <w:r>
        <w:rPr>
          <w:rFonts w:hint="eastAsia" w:ascii="宋体" w:hAnsi="宋体" w:eastAsia="黑体"/>
          <w:color w:val="auto"/>
          <w:kern w:val="44"/>
          <w:sz w:val="27"/>
          <w:szCs w:val="27"/>
          <w:highlight w:val="none"/>
        </w:rPr>
        <w:t>材料和工程设备</w:t>
      </w:r>
      <w:bookmarkEnd w:id="375"/>
      <w:bookmarkEnd w:id="376"/>
      <w:bookmarkEnd w:id="377"/>
      <w:bookmarkEnd w:id="378"/>
      <w:bookmarkEnd w:id="379"/>
      <w:bookmarkEnd w:id="380"/>
      <w:bookmarkEnd w:id="381"/>
      <w:bookmarkEnd w:id="382"/>
      <w:bookmarkEnd w:id="383"/>
      <w:bookmarkEnd w:id="384"/>
    </w:p>
    <w:p w14:paraId="32422B1B">
      <w:pPr>
        <w:keepNext/>
        <w:keepLines/>
        <w:spacing w:before="260" w:after="260" w:line="416" w:lineRule="auto"/>
        <w:outlineLvl w:val="2"/>
        <w:rPr>
          <w:rFonts w:ascii="宋体" w:hAnsi="宋体"/>
          <w:b/>
          <w:bCs/>
          <w:color w:val="auto"/>
          <w:kern w:val="0"/>
          <w:sz w:val="32"/>
          <w:szCs w:val="32"/>
          <w:highlight w:val="none"/>
        </w:rPr>
      </w:pPr>
      <w:bookmarkStart w:id="385" w:name="_Toc115179833"/>
      <w:bookmarkStart w:id="386" w:name="_Toc221950773"/>
      <w:r>
        <w:rPr>
          <w:rFonts w:hint="eastAsia" w:ascii="宋体" w:hAnsi="宋体"/>
          <w:b/>
          <w:bCs/>
          <w:color w:val="auto"/>
          <w:kern w:val="0"/>
          <w:sz w:val="32"/>
          <w:szCs w:val="32"/>
          <w:highlight w:val="none"/>
        </w:rPr>
        <w:t>5.1承包人提供的材料和工程设备</w:t>
      </w:r>
      <w:bookmarkEnd w:id="385"/>
    </w:p>
    <w:p w14:paraId="26F3A506">
      <w:pPr>
        <w:spacing w:line="400" w:lineRule="exact"/>
        <w:ind w:right="248" w:firstLine="480"/>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1</w:t>
      </w:r>
      <w:bookmarkEnd w:id="386"/>
      <w:r>
        <w:rPr>
          <w:rFonts w:hint="eastAsia" w:ascii="宋体" w:hAnsi="宋体"/>
          <w:color w:val="auto"/>
          <w:szCs w:val="21"/>
          <w:highlight w:val="none"/>
        </w:rPr>
        <w:t xml:space="preserve"> 除第5.2款约定由发包人提供的材料和工程设备外，承包人负责采购、运输和保管完成本合同工作所需的材料和工程设备。承包人应对其采购的材料和工程设备负责。</w:t>
      </w:r>
    </w:p>
    <w:p w14:paraId="5988FD20">
      <w:pPr>
        <w:spacing w:line="360" w:lineRule="auto"/>
        <w:ind w:firstLine="400" w:firstLineChars="200"/>
        <w:rPr>
          <w:rFonts w:ascii="宋体" w:hAnsi="宋体"/>
          <w:color w:val="auto"/>
          <w:szCs w:val="21"/>
          <w:highlight w:val="none"/>
        </w:rPr>
      </w:pPr>
      <w:r>
        <w:rPr>
          <w:rFonts w:hint="eastAsia" w:ascii="宋体" w:hAnsi="宋体"/>
          <w:color w:val="auto"/>
          <w:sz w:val="20"/>
          <w:szCs w:val="20"/>
          <w:highlight w:val="none"/>
        </w:rPr>
        <w:t xml:space="preserve"> </w:t>
      </w:r>
      <w:r>
        <w:rPr>
          <w:rFonts w:hint="eastAsia" w:ascii="宋体" w:hAnsi="宋体"/>
          <w:color w:val="auto"/>
          <w:szCs w:val="21"/>
          <w:highlight w:val="none"/>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14:paraId="75704DA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5.1.3 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54E2E431">
      <w:pPr>
        <w:keepNext/>
        <w:keepLines/>
        <w:spacing w:before="260" w:after="260" w:line="416" w:lineRule="auto"/>
        <w:outlineLvl w:val="2"/>
        <w:rPr>
          <w:rFonts w:ascii="宋体" w:hAnsi="宋体"/>
          <w:b/>
          <w:bCs/>
          <w:color w:val="auto"/>
          <w:kern w:val="0"/>
          <w:sz w:val="32"/>
          <w:szCs w:val="32"/>
          <w:highlight w:val="none"/>
        </w:rPr>
      </w:pPr>
      <w:bookmarkStart w:id="387" w:name="_Toc115179834"/>
      <w:bookmarkStart w:id="388" w:name="_Toc221950779"/>
      <w:r>
        <w:rPr>
          <w:rFonts w:hint="eastAsia" w:ascii="宋体" w:hAnsi="宋体"/>
          <w:b/>
          <w:bCs/>
          <w:color w:val="auto"/>
          <w:kern w:val="0"/>
          <w:sz w:val="32"/>
          <w:szCs w:val="32"/>
          <w:highlight w:val="none"/>
        </w:rPr>
        <w:t>5.2发包人提供的材料和工程设备</w:t>
      </w:r>
      <w:bookmarkEnd w:id="387"/>
    </w:p>
    <w:bookmarkEnd w:id="388"/>
    <w:p w14:paraId="55E53454">
      <w:pPr>
        <w:spacing w:line="360" w:lineRule="auto"/>
        <w:ind w:firstLine="420" w:firstLineChars="200"/>
        <w:rPr>
          <w:rFonts w:ascii="宋体" w:hAnsi="宋体"/>
          <w:color w:val="auto"/>
          <w:szCs w:val="21"/>
          <w:highlight w:val="none"/>
        </w:rPr>
      </w:pPr>
      <w:bookmarkStart w:id="389" w:name="_Toc221950780"/>
      <w:r>
        <w:rPr>
          <w:rFonts w:hint="eastAsia" w:ascii="宋体" w:hAnsi="宋体"/>
          <w:color w:val="auto"/>
          <w:szCs w:val="21"/>
          <w:highlight w:val="none"/>
        </w:rPr>
        <w:t>5.2.1 发包人提供的材料和工程设备，应在专用合同条款中写明材料和工程设备的名称、规格、数量、价格、交货方式、交货地点和计划交货日期等。</w:t>
      </w:r>
    </w:p>
    <w:p w14:paraId="3C7ECAD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5.2.2 承包人应根据合同进度计划的安排，向监理人报送要求发包人交货的日期计划。发包人应按照监理人与合同双方当事人商定的交货日期，向承包人提交材料和工程设备。</w:t>
      </w:r>
    </w:p>
    <w:p w14:paraId="6D3CA08A">
      <w:pPr>
        <w:spacing w:line="400" w:lineRule="exact"/>
        <w:ind w:right="248" w:firstLine="480"/>
        <w:rPr>
          <w:rFonts w:ascii="宋体" w:hAnsi="宋体"/>
          <w:color w:val="auto"/>
          <w:szCs w:val="21"/>
          <w:highlight w:val="none"/>
        </w:rPr>
      </w:pPr>
      <w:r>
        <w:rPr>
          <w:rFonts w:hint="eastAsia" w:ascii="宋体" w:hAnsi="宋体"/>
          <w:color w:val="auto"/>
          <w:szCs w:val="21"/>
          <w:highlight w:val="none"/>
        </w:rPr>
        <w:t>5.2.3发包人应在材料和工程设备到货7天前通知承包人，承包人应会同监理人在约定的时间内，赴交货地点共同进行验收。</w:t>
      </w:r>
      <w:bookmarkEnd w:id="389"/>
      <w:r>
        <w:rPr>
          <w:rFonts w:hint="eastAsia" w:ascii="宋体" w:hAnsi="宋体"/>
          <w:color w:val="auto"/>
          <w:szCs w:val="21"/>
          <w:highlight w:val="none"/>
        </w:rPr>
        <w:t>发包人提供的材料和工程设备运至交货地点验收后，由承包人负责接收、卸货、运输和保管。</w:t>
      </w:r>
    </w:p>
    <w:p w14:paraId="0E56D1F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5.2.4 发包人要求向承包人提前交货的，承包人不得拒绝，但发包人应承担承包人由此增加的费用。</w:t>
      </w:r>
    </w:p>
    <w:p w14:paraId="38D874D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5.2.5 承包人要求更改交货日期或地点的，应事先报请监理人批准。由于承包人要求更改交货时间或地点所增加的费用和（或）工期延误由承包人承担。</w:t>
      </w:r>
    </w:p>
    <w:p w14:paraId="1D764D6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2C1F6C66">
      <w:pPr>
        <w:keepNext/>
        <w:keepLines/>
        <w:spacing w:before="260" w:after="260" w:line="416" w:lineRule="auto"/>
        <w:outlineLvl w:val="2"/>
        <w:rPr>
          <w:rFonts w:ascii="宋体" w:hAnsi="宋体"/>
          <w:b/>
          <w:bCs/>
          <w:color w:val="auto"/>
          <w:kern w:val="0"/>
          <w:sz w:val="32"/>
          <w:szCs w:val="32"/>
          <w:highlight w:val="none"/>
        </w:rPr>
      </w:pPr>
      <w:bookmarkStart w:id="390" w:name="_Toc115179835"/>
      <w:r>
        <w:rPr>
          <w:rFonts w:hint="eastAsia" w:ascii="宋体" w:hAnsi="宋体"/>
          <w:b/>
          <w:bCs/>
          <w:color w:val="auto"/>
          <w:kern w:val="0"/>
          <w:sz w:val="32"/>
          <w:szCs w:val="32"/>
          <w:highlight w:val="none"/>
        </w:rPr>
        <w:t>5.3 材料和工程设备专用于合同工程</w:t>
      </w:r>
      <w:bookmarkEnd w:id="390"/>
    </w:p>
    <w:p w14:paraId="5ABD8CA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5.3.1 运入施工场地的材料、工程设备，包括备品备件、安装专用工器具与随机资料，必须专用于合同工程，未经监理人同意，承包人不得运出施工场地或挪作他用。</w:t>
      </w:r>
    </w:p>
    <w:p w14:paraId="1057BDD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4791482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5.4 禁止使用不合格的材料和工程设备</w:t>
      </w:r>
    </w:p>
    <w:p w14:paraId="7135116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5.4.1 监理人有权拒绝承包人提供的不合格材料或工程设备，并要求承包人立即进行更换。监理人应在更换后再次进行检查和检验，由此增加的费用和（或）工期延误由承包人承担。</w:t>
      </w:r>
    </w:p>
    <w:p w14:paraId="096C793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5.4.2 监理人发现承包人使用了不合格的材料和工程设备，应及时发出指示要求承包人立即改正，并禁止在工程中继续使用不合格的材料和工程设备。</w:t>
      </w:r>
    </w:p>
    <w:p w14:paraId="3CC4C41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5.4.3 发包人提供的材料或工程设备不符合合同要求的，承包人有权拒绝，并可要求发包人更换，由此增加的费用和（或）工期延误由发包人承担。</w:t>
      </w:r>
    </w:p>
    <w:p w14:paraId="0CC7FF4A">
      <w:pPr>
        <w:numPr>
          <w:ilvl w:val="0"/>
          <w:numId w:val="18"/>
        </w:numPr>
        <w:spacing w:before="260" w:after="260" w:line="400" w:lineRule="exact"/>
        <w:outlineLvl w:val="1"/>
        <w:rPr>
          <w:rFonts w:ascii="宋体" w:hAnsi="宋体" w:eastAsia="黑体"/>
          <w:color w:val="auto"/>
          <w:kern w:val="44"/>
          <w:sz w:val="27"/>
          <w:szCs w:val="27"/>
          <w:highlight w:val="none"/>
        </w:rPr>
      </w:pPr>
      <w:bookmarkStart w:id="391" w:name="_Toc23347"/>
      <w:bookmarkStart w:id="392" w:name="_Toc115179836"/>
      <w:bookmarkStart w:id="393" w:name="_Toc483383006"/>
      <w:bookmarkStart w:id="394" w:name="_Toc229305367"/>
      <w:bookmarkStart w:id="395" w:name="_Toc222032676"/>
      <w:bookmarkStart w:id="396" w:name="_Toc222031009"/>
      <w:bookmarkStart w:id="397" w:name="_Toc221950785"/>
      <w:bookmarkStart w:id="398" w:name="_Toc222029507"/>
      <w:bookmarkStart w:id="399" w:name="_Toc259524354"/>
      <w:bookmarkStart w:id="400" w:name="_Toc222033858"/>
      <w:r>
        <w:rPr>
          <w:rFonts w:ascii="宋体" w:hAnsi="宋体" w:eastAsia="黑体"/>
          <w:color w:val="auto"/>
          <w:kern w:val="44"/>
          <w:sz w:val="27"/>
          <w:szCs w:val="27"/>
          <w:highlight w:val="none"/>
        </w:rPr>
        <w:t xml:space="preserve">6. </w:t>
      </w:r>
      <w:r>
        <w:rPr>
          <w:rFonts w:hint="eastAsia" w:ascii="宋体" w:hAnsi="宋体" w:eastAsia="黑体"/>
          <w:color w:val="auto"/>
          <w:kern w:val="44"/>
          <w:sz w:val="27"/>
          <w:szCs w:val="27"/>
          <w:highlight w:val="none"/>
        </w:rPr>
        <w:t>施工设备和临时设施</w:t>
      </w:r>
      <w:bookmarkEnd w:id="391"/>
      <w:bookmarkEnd w:id="392"/>
      <w:bookmarkEnd w:id="393"/>
      <w:bookmarkEnd w:id="394"/>
      <w:bookmarkEnd w:id="395"/>
      <w:bookmarkEnd w:id="396"/>
      <w:bookmarkEnd w:id="397"/>
      <w:bookmarkEnd w:id="398"/>
      <w:bookmarkEnd w:id="399"/>
      <w:bookmarkEnd w:id="400"/>
    </w:p>
    <w:p w14:paraId="0BAB78A8">
      <w:pPr>
        <w:keepNext/>
        <w:keepLines/>
        <w:spacing w:before="260" w:after="260" w:line="416" w:lineRule="auto"/>
        <w:outlineLvl w:val="2"/>
        <w:rPr>
          <w:rFonts w:ascii="宋体" w:hAnsi="宋体"/>
          <w:b/>
          <w:bCs/>
          <w:color w:val="auto"/>
          <w:kern w:val="0"/>
          <w:sz w:val="32"/>
          <w:szCs w:val="32"/>
          <w:highlight w:val="none"/>
        </w:rPr>
      </w:pPr>
      <w:bookmarkStart w:id="401" w:name="_Toc115179837"/>
      <w:bookmarkStart w:id="402" w:name="_Toc221950788"/>
      <w:r>
        <w:rPr>
          <w:rFonts w:hint="eastAsia" w:ascii="宋体" w:hAnsi="宋体"/>
          <w:b/>
          <w:bCs/>
          <w:color w:val="auto"/>
          <w:kern w:val="0"/>
          <w:sz w:val="32"/>
          <w:szCs w:val="32"/>
          <w:highlight w:val="none"/>
        </w:rPr>
        <w:t>6.1 承包人提供的施工设备和临时设施</w:t>
      </w:r>
      <w:bookmarkEnd w:id="401"/>
    </w:p>
    <w:p w14:paraId="7E7DB6E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6.1.1 承包人应按合同进度计划的要求，及时配置施工设备和修建临时设施。进入施工场地的承包人设备需经监理人核查后才能投入使用。承包人更换合同约定的承包人设备的，应报监理人批准。</w:t>
      </w:r>
    </w:p>
    <w:p w14:paraId="482B2EF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6.1.2 除专用合同条款另有约定外，承包人应自行承担修建临时设施的费用，需要临时占地的，应由发包人办理申请手续并承担相应费用。</w:t>
      </w:r>
    </w:p>
    <w:p w14:paraId="7A4A41B9">
      <w:pPr>
        <w:keepNext/>
        <w:keepLines/>
        <w:spacing w:before="260" w:after="260" w:line="416" w:lineRule="auto"/>
        <w:outlineLvl w:val="2"/>
        <w:rPr>
          <w:rFonts w:ascii="宋体" w:hAnsi="宋体"/>
          <w:b/>
          <w:bCs/>
          <w:color w:val="auto"/>
          <w:kern w:val="0"/>
          <w:sz w:val="32"/>
          <w:szCs w:val="32"/>
          <w:highlight w:val="none"/>
        </w:rPr>
      </w:pPr>
      <w:bookmarkStart w:id="403" w:name="_Toc115179838"/>
      <w:r>
        <w:rPr>
          <w:rFonts w:hint="eastAsia" w:ascii="宋体" w:hAnsi="宋体"/>
          <w:b/>
          <w:bCs/>
          <w:color w:val="auto"/>
          <w:kern w:val="0"/>
          <w:sz w:val="32"/>
          <w:szCs w:val="32"/>
          <w:highlight w:val="none"/>
        </w:rPr>
        <w:t>6.2 发包人提供的施工设备和临时设施</w:t>
      </w:r>
      <w:bookmarkEnd w:id="403"/>
    </w:p>
    <w:p w14:paraId="4F5DCF8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发包人提供的施工设备或临时设施在专用合同条款中约定。</w:t>
      </w:r>
    </w:p>
    <w:p w14:paraId="533C94E7">
      <w:pPr>
        <w:keepNext/>
        <w:keepLines/>
        <w:spacing w:before="260" w:after="260" w:line="416" w:lineRule="auto"/>
        <w:outlineLvl w:val="2"/>
        <w:rPr>
          <w:rFonts w:ascii="宋体" w:hAnsi="宋体"/>
          <w:b/>
          <w:bCs/>
          <w:color w:val="auto"/>
          <w:kern w:val="0"/>
          <w:sz w:val="32"/>
          <w:szCs w:val="32"/>
          <w:highlight w:val="none"/>
        </w:rPr>
      </w:pPr>
      <w:bookmarkStart w:id="404" w:name="_Toc115179839"/>
      <w:r>
        <w:rPr>
          <w:rFonts w:hint="eastAsia" w:ascii="宋体" w:hAnsi="宋体"/>
          <w:b/>
          <w:bCs/>
          <w:color w:val="auto"/>
          <w:kern w:val="0"/>
          <w:sz w:val="32"/>
          <w:szCs w:val="32"/>
          <w:highlight w:val="none"/>
        </w:rPr>
        <w:t>6.3 要求承包人增加或更换施工设备</w:t>
      </w:r>
      <w:bookmarkEnd w:id="404"/>
    </w:p>
    <w:p w14:paraId="5BB89BC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承包人使用的施工设备不能满足合同进度计划和（或）质量要求时，监理人有权要求承包人增加或更换施工设备，承包人应及时增加或更换，由此增加的费用和（或）工期延误由承包人承担。</w:t>
      </w:r>
    </w:p>
    <w:p w14:paraId="31A86D23">
      <w:pPr>
        <w:keepNext/>
        <w:keepLines/>
        <w:spacing w:before="260" w:after="260" w:line="416" w:lineRule="auto"/>
        <w:outlineLvl w:val="2"/>
        <w:rPr>
          <w:rFonts w:ascii="宋体" w:hAnsi="宋体"/>
          <w:b/>
          <w:bCs/>
          <w:color w:val="auto"/>
          <w:kern w:val="0"/>
          <w:sz w:val="32"/>
          <w:szCs w:val="32"/>
          <w:highlight w:val="none"/>
        </w:rPr>
      </w:pPr>
      <w:bookmarkStart w:id="405" w:name="_Toc115179840"/>
      <w:r>
        <w:rPr>
          <w:rFonts w:hint="eastAsia" w:ascii="宋体" w:hAnsi="宋体"/>
          <w:b/>
          <w:bCs/>
          <w:color w:val="auto"/>
          <w:kern w:val="0"/>
          <w:sz w:val="32"/>
          <w:szCs w:val="32"/>
          <w:highlight w:val="none"/>
        </w:rPr>
        <w:t>6.4 施工设备和临时设施专用于合同工程</w:t>
      </w:r>
      <w:bookmarkEnd w:id="405"/>
    </w:p>
    <w:p w14:paraId="294C1DC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6.4.1 除合同另有约定外，运入施工场地的所有施工设备以及在施工场地建设的临时设施应专用于合同工程。未经监理人同意，不得将上述施工设备和临时设施中的任何部分运出施工场地或挪作他用。</w:t>
      </w:r>
    </w:p>
    <w:p w14:paraId="6B377B1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6.4.2 经监理人同意，承包人可根据合同进度计划撤走闲置的施工设备。</w:t>
      </w:r>
    </w:p>
    <w:bookmarkEnd w:id="402"/>
    <w:p w14:paraId="683B405D">
      <w:pPr>
        <w:numPr>
          <w:ilvl w:val="0"/>
          <w:numId w:val="18"/>
        </w:numPr>
        <w:spacing w:before="260" w:after="260" w:line="400" w:lineRule="exact"/>
        <w:outlineLvl w:val="1"/>
        <w:rPr>
          <w:rFonts w:ascii="宋体" w:hAnsi="宋体" w:eastAsia="黑体"/>
          <w:color w:val="auto"/>
          <w:kern w:val="44"/>
          <w:sz w:val="27"/>
          <w:szCs w:val="27"/>
          <w:highlight w:val="none"/>
        </w:rPr>
      </w:pPr>
      <w:bookmarkStart w:id="406" w:name="_Toc222031010"/>
      <w:bookmarkStart w:id="407" w:name="_Toc221950795"/>
      <w:bookmarkStart w:id="408" w:name="_Toc222029508"/>
      <w:bookmarkStart w:id="409" w:name="_Toc259524355"/>
      <w:bookmarkStart w:id="410" w:name="_Toc222032677"/>
      <w:bookmarkStart w:id="411" w:name="_Toc115179841"/>
      <w:bookmarkStart w:id="412" w:name="_Toc483383007"/>
      <w:bookmarkStart w:id="413" w:name="_Toc229305368"/>
      <w:bookmarkStart w:id="414" w:name="_Toc222033859"/>
      <w:bookmarkStart w:id="415" w:name="_Toc16377"/>
      <w:r>
        <w:rPr>
          <w:rFonts w:ascii="宋体" w:hAnsi="宋体" w:eastAsia="黑体"/>
          <w:color w:val="auto"/>
          <w:kern w:val="44"/>
          <w:sz w:val="27"/>
          <w:szCs w:val="27"/>
          <w:highlight w:val="none"/>
        </w:rPr>
        <w:t xml:space="preserve">7. </w:t>
      </w:r>
      <w:r>
        <w:rPr>
          <w:rFonts w:hint="eastAsia" w:ascii="宋体" w:hAnsi="宋体" w:eastAsia="黑体"/>
          <w:color w:val="auto"/>
          <w:kern w:val="44"/>
          <w:sz w:val="27"/>
          <w:szCs w:val="27"/>
          <w:highlight w:val="none"/>
        </w:rPr>
        <w:t>交通运输</w:t>
      </w:r>
      <w:bookmarkEnd w:id="406"/>
      <w:bookmarkEnd w:id="407"/>
      <w:bookmarkEnd w:id="408"/>
      <w:bookmarkEnd w:id="409"/>
      <w:bookmarkEnd w:id="410"/>
      <w:bookmarkEnd w:id="411"/>
      <w:bookmarkEnd w:id="412"/>
      <w:bookmarkEnd w:id="413"/>
      <w:bookmarkEnd w:id="414"/>
      <w:bookmarkEnd w:id="415"/>
    </w:p>
    <w:p w14:paraId="29DD05CE">
      <w:pPr>
        <w:keepNext/>
        <w:keepLines/>
        <w:spacing w:before="260" w:after="260" w:line="416" w:lineRule="auto"/>
        <w:outlineLvl w:val="2"/>
        <w:rPr>
          <w:rFonts w:ascii="宋体" w:hAnsi="宋体"/>
          <w:b/>
          <w:bCs/>
          <w:color w:val="auto"/>
          <w:kern w:val="0"/>
          <w:sz w:val="32"/>
          <w:szCs w:val="32"/>
          <w:highlight w:val="none"/>
        </w:rPr>
      </w:pPr>
      <w:bookmarkStart w:id="416" w:name="_Toc115179842"/>
      <w:r>
        <w:rPr>
          <w:rFonts w:hint="eastAsia" w:ascii="宋体" w:hAnsi="宋体"/>
          <w:b/>
          <w:bCs/>
          <w:color w:val="auto"/>
          <w:kern w:val="0"/>
          <w:sz w:val="32"/>
          <w:szCs w:val="32"/>
          <w:highlight w:val="none"/>
        </w:rPr>
        <w:t>7.1道路通行权和场外设施</w:t>
      </w:r>
      <w:bookmarkEnd w:id="416"/>
    </w:p>
    <w:p w14:paraId="766340E2">
      <w:pPr>
        <w:spacing w:line="400" w:lineRule="exact"/>
        <w:ind w:right="248" w:firstLine="480"/>
        <w:rPr>
          <w:rFonts w:ascii="宋体" w:hAnsi="宋体"/>
          <w:color w:val="auto"/>
          <w:szCs w:val="21"/>
          <w:highlight w:val="none"/>
        </w:rPr>
      </w:pPr>
      <w:r>
        <w:rPr>
          <w:rFonts w:hint="eastAsia" w:ascii="宋体" w:hAnsi="宋体"/>
          <w:color w:val="auto"/>
          <w:szCs w:val="21"/>
          <w:highlight w:val="none"/>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14:paraId="6155765F">
      <w:pPr>
        <w:keepNext/>
        <w:keepLines/>
        <w:spacing w:before="260" w:after="260" w:line="416" w:lineRule="auto"/>
        <w:outlineLvl w:val="2"/>
        <w:rPr>
          <w:rFonts w:ascii="宋体" w:hAnsi="宋体"/>
          <w:b/>
          <w:bCs/>
          <w:color w:val="auto"/>
          <w:kern w:val="0"/>
          <w:sz w:val="32"/>
          <w:szCs w:val="32"/>
          <w:highlight w:val="none"/>
        </w:rPr>
      </w:pPr>
      <w:bookmarkStart w:id="417" w:name="_Toc115179843"/>
      <w:bookmarkStart w:id="418" w:name="_Toc221950800"/>
      <w:r>
        <w:rPr>
          <w:rFonts w:hint="eastAsia" w:ascii="宋体" w:hAnsi="宋体"/>
          <w:b/>
          <w:bCs/>
          <w:color w:val="auto"/>
          <w:kern w:val="0"/>
          <w:sz w:val="32"/>
          <w:szCs w:val="32"/>
          <w:highlight w:val="none"/>
        </w:rPr>
        <w:t>7.2场内施工道路</w:t>
      </w:r>
      <w:bookmarkEnd w:id="417"/>
    </w:p>
    <w:p w14:paraId="6750C2C0">
      <w:pPr>
        <w:spacing w:line="400" w:lineRule="exact"/>
        <w:ind w:right="248" w:firstLine="480"/>
        <w:rPr>
          <w:rFonts w:ascii="宋体" w:hAnsi="宋体"/>
          <w:color w:val="auto"/>
          <w:szCs w:val="21"/>
          <w:highlight w:val="none"/>
        </w:rPr>
      </w:pPr>
      <w:r>
        <w:rPr>
          <w:rFonts w:hint="eastAsia" w:ascii="宋体" w:hAnsi="宋体"/>
          <w:color w:val="auto"/>
          <w:szCs w:val="21"/>
          <w:highlight w:val="none"/>
        </w:rPr>
        <w:t>7.2.1  除本合同约定由发包人提供的部分道路和交通设施外，承包人应负责修建、维修、养护和管理其施工所需的全部临时道路和交通设施(包括合同约定由发包人提供的部分道路和交通设施维修、养护和管理),并承担相应费用。</w:t>
      </w:r>
      <w:bookmarkEnd w:id="418"/>
    </w:p>
    <w:p w14:paraId="33E18033">
      <w:pPr>
        <w:spacing w:line="400" w:lineRule="exact"/>
        <w:ind w:right="248" w:firstLine="480"/>
        <w:rPr>
          <w:rFonts w:ascii="宋体" w:hAnsi="宋体"/>
          <w:color w:val="auto"/>
          <w:szCs w:val="21"/>
          <w:highlight w:val="none"/>
        </w:rPr>
      </w:pPr>
      <w:bookmarkStart w:id="419" w:name="_Toc221950801"/>
      <w:r>
        <w:rPr>
          <w:rFonts w:hint="eastAsia" w:ascii="宋体" w:hAnsi="宋体"/>
          <w:color w:val="auto"/>
          <w:szCs w:val="21"/>
          <w:highlight w:val="none"/>
        </w:rPr>
        <w:t>7.2.2  承包人修建的临时道路和交通设施,应免费提供发包人、监理人以及与本合同有关的其他承包人使用。</w:t>
      </w:r>
      <w:bookmarkEnd w:id="419"/>
    </w:p>
    <w:p w14:paraId="672D59FE">
      <w:pPr>
        <w:keepNext/>
        <w:keepLines/>
        <w:spacing w:before="260" w:after="260" w:line="416" w:lineRule="auto"/>
        <w:outlineLvl w:val="2"/>
        <w:rPr>
          <w:rFonts w:ascii="宋体" w:hAnsi="宋体"/>
          <w:b/>
          <w:bCs/>
          <w:color w:val="auto"/>
          <w:kern w:val="0"/>
          <w:sz w:val="32"/>
          <w:szCs w:val="32"/>
          <w:highlight w:val="none"/>
        </w:rPr>
      </w:pPr>
      <w:bookmarkStart w:id="420" w:name="_Toc115179844"/>
      <w:r>
        <w:rPr>
          <w:rFonts w:hint="eastAsia" w:ascii="宋体" w:hAnsi="宋体"/>
          <w:b/>
          <w:bCs/>
          <w:color w:val="auto"/>
          <w:kern w:val="0"/>
          <w:sz w:val="32"/>
          <w:szCs w:val="32"/>
          <w:highlight w:val="none"/>
        </w:rPr>
        <w:t>7.3 场外交通</w:t>
      </w:r>
      <w:bookmarkEnd w:id="420"/>
    </w:p>
    <w:p w14:paraId="2D14E50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7.3.1 承包人车辆外出行驶所需的场外公共道路的通行费、养路费和税款等由承包人承担。</w:t>
      </w:r>
    </w:p>
    <w:p w14:paraId="3326A81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7.3.2 承包人应遵守有关交通法规，严格按照道路和桥梁的限制荷重安全行驶，并服从交通管理部门的检查和监督。</w:t>
      </w:r>
    </w:p>
    <w:p w14:paraId="07B072B4">
      <w:pPr>
        <w:keepNext/>
        <w:keepLines/>
        <w:spacing w:before="260" w:after="260" w:line="416" w:lineRule="auto"/>
        <w:outlineLvl w:val="2"/>
        <w:rPr>
          <w:rFonts w:ascii="宋体" w:hAnsi="宋体"/>
          <w:b/>
          <w:bCs/>
          <w:color w:val="auto"/>
          <w:kern w:val="0"/>
          <w:sz w:val="32"/>
          <w:szCs w:val="32"/>
          <w:highlight w:val="none"/>
        </w:rPr>
      </w:pPr>
      <w:bookmarkStart w:id="421" w:name="_Toc115179845"/>
      <w:r>
        <w:rPr>
          <w:rFonts w:hint="eastAsia" w:ascii="宋体" w:hAnsi="宋体"/>
          <w:b/>
          <w:bCs/>
          <w:color w:val="auto"/>
          <w:kern w:val="0"/>
          <w:sz w:val="32"/>
          <w:szCs w:val="32"/>
          <w:highlight w:val="none"/>
        </w:rPr>
        <w:t>7.4 超大件和超重件的运输</w:t>
      </w:r>
      <w:bookmarkEnd w:id="421"/>
    </w:p>
    <w:p w14:paraId="7E64160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7E824921">
      <w:pPr>
        <w:keepNext/>
        <w:keepLines/>
        <w:spacing w:before="260" w:after="260" w:line="416" w:lineRule="auto"/>
        <w:outlineLvl w:val="2"/>
        <w:rPr>
          <w:rFonts w:ascii="宋体" w:hAnsi="宋体"/>
          <w:b/>
          <w:bCs/>
          <w:color w:val="auto"/>
          <w:kern w:val="0"/>
          <w:sz w:val="32"/>
          <w:szCs w:val="32"/>
          <w:highlight w:val="none"/>
        </w:rPr>
      </w:pPr>
      <w:bookmarkStart w:id="422" w:name="_Toc115179846"/>
      <w:r>
        <w:rPr>
          <w:rFonts w:hint="eastAsia" w:ascii="宋体" w:hAnsi="宋体"/>
          <w:b/>
          <w:bCs/>
          <w:color w:val="auto"/>
          <w:kern w:val="0"/>
          <w:sz w:val="32"/>
          <w:szCs w:val="32"/>
          <w:highlight w:val="none"/>
        </w:rPr>
        <w:t>7.5 道路和桥梁的损坏责任</w:t>
      </w:r>
      <w:bookmarkEnd w:id="422"/>
    </w:p>
    <w:p w14:paraId="58AC97A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因承包人运输造成施工场地内外公共道路和桥梁损坏的，由承包人承担修复损坏的全部费用和可能引起的赔偿。</w:t>
      </w:r>
    </w:p>
    <w:p w14:paraId="10BBD9E2">
      <w:pPr>
        <w:keepNext/>
        <w:keepLines/>
        <w:spacing w:before="260" w:after="260" w:line="416" w:lineRule="auto"/>
        <w:outlineLvl w:val="2"/>
        <w:rPr>
          <w:rFonts w:ascii="宋体" w:hAnsi="宋体"/>
          <w:b/>
          <w:bCs/>
          <w:color w:val="auto"/>
          <w:kern w:val="0"/>
          <w:sz w:val="32"/>
          <w:szCs w:val="32"/>
          <w:highlight w:val="none"/>
        </w:rPr>
      </w:pPr>
      <w:bookmarkStart w:id="423" w:name="_Toc115179847"/>
      <w:r>
        <w:rPr>
          <w:rFonts w:hint="eastAsia" w:ascii="宋体" w:hAnsi="宋体"/>
          <w:b/>
          <w:bCs/>
          <w:color w:val="auto"/>
          <w:kern w:val="0"/>
          <w:sz w:val="32"/>
          <w:szCs w:val="32"/>
          <w:highlight w:val="none"/>
        </w:rPr>
        <w:t>7.6 水路和航空运输</w:t>
      </w:r>
      <w:bookmarkEnd w:id="423"/>
    </w:p>
    <w:p w14:paraId="030BB17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本条上述各款的内容适用于水路运输和航空运输，其中“道路”一词的涵义包括河道、航线、船闸、机场、码头、堤防以及水路或航空运输中其他相似结构物；“车辆”一词的含义包括船舶和飞机等。</w:t>
      </w:r>
    </w:p>
    <w:p w14:paraId="0A4A59CE">
      <w:pPr>
        <w:numPr>
          <w:ilvl w:val="0"/>
          <w:numId w:val="18"/>
        </w:numPr>
        <w:spacing w:before="260" w:after="260" w:line="400" w:lineRule="exact"/>
        <w:outlineLvl w:val="1"/>
        <w:rPr>
          <w:rFonts w:ascii="宋体" w:hAnsi="宋体" w:eastAsia="黑体"/>
          <w:color w:val="auto"/>
          <w:kern w:val="44"/>
          <w:sz w:val="27"/>
          <w:szCs w:val="27"/>
          <w:highlight w:val="none"/>
        </w:rPr>
      </w:pPr>
      <w:r>
        <w:rPr>
          <w:rFonts w:hint="eastAsia" w:ascii="宋体" w:hAnsi="宋体" w:eastAsia="黑体"/>
          <w:color w:val="auto"/>
          <w:kern w:val="44"/>
          <w:sz w:val="27"/>
          <w:szCs w:val="27"/>
          <w:highlight w:val="none"/>
        </w:rPr>
        <w:t xml:space="preserve"> </w:t>
      </w:r>
      <w:bookmarkStart w:id="424" w:name="_Toc221950810"/>
      <w:bookmarkStart w:id="425" w:name="_Toc229305369"/>
      <w:bookmarkStart w:id="426" w:name="_Toc483383008"/>
      <w:bookmarkStart w:id="427" w:name="_Toc222033860"/>
      <w:bookmarkStart w:id="428" w:name="_Toc222031011"/>
      <w:bookmarkStart w:id="429" w:name="_Toc222032678"/>
      <w:bookmarkStart w:id="430" w:name="_Toc115179848"/>
      <w:bookmarkStart w:id="431" w:name="_Toc222029509"/>
      <w:bookmarkStart w:id="432" w:name="_Toc259524356"/>
      <w:bookmarkStart w:id="433" w:name="_Toc2773"/>
      <w:r>
        <w:rPr>
          <w:rFonts w:ascii="宋体" w:hAnsi="宋体" w:eastAsia="黑体"/>
          <w:color w:val="auto"/>
          <w:kern w:val="44"/>
          <w:sz w:val="27"/>
          <w:szCs w:val="27"/>
          <w:highlight w:val="none"/>
        </w:rPr>
        <w:t xml:space="preserve">8. </w:t>
      </w:r>
      <w:r>
        <w:rPr>
          <w:rFonts w:hint="eastAsia" w:ascii="宋体" w:hAnsi="宋体" w:eastAsia="黑体"/>
          <w:color w:val="auto"/>
          <w:kern w:val="44"/>
          <w:sz w:val="27"/>
          <w:szCs w:val="27"/>
          <w:highlight w:val="none"/>
        </w:rPr>
        <w:t>测量放线</w:t>
      </w:r>
      <w:bookmarkEnd w:id="424"/>
      <w:bookmarkEnd w:id="425"/>
      <w:bookmarkEnd w:id="426"/>
      <w:bookmarkEnd w:id="427"/>
      <w:bookmarkEnd w:id="428"/>
      <w:bookmarkEnd w:id="429"/>
      <w:bookmarkEnd w:id="430"/>
      <w:bookmarkEnd w:id="431"/>
      <w:bookmarkEnd w:id="432"/>
      <w:bookmarkEnd w:id="433"/>
    </w:p>
    <w:p w14:paraId="14541151">
      <w:pPr>
        <w:keepNext/>
        <w:keepLines/>
        <w:spacing w:before="260" w:after="260" w:line="416" w:lineRule="auto"/>
        <w:outlineLvl w:val="2"/>
        <w:rPr>
          <w:rFonts w:ascii="宋体" w:hAnsi="宋体"/>
          <w:b/>
          <w:bCs/>
          <w:color w:val="auto"/>
          <w:kern w:val="0"/>
          <w:sz w:val="32"/>
          <w:szCs w:val="32"/>
          <w:highlight w:val="none"/>
        </w:rPr>
      </w:pPr>
      <w:bookmarkStart w:id="434" w:name="_Toc115179849"/>
      <w:bookmarkStart w:id="435" w:name="_Toc221950814"/>
      <w:r>
        <w:rPr>
          <w:rFonts w:hint="eastAsia" w:ascii="宋体" w:hAnsi="宋体"/>
          <w:b/>
          <w:bCs/>
          <w:color w:val="auto"/>
          <w:kern w:val="0"/>
          <w:sz w:val="32"/>
          <w:szCs w:val="32"/>
          <w:highlight w:val="none"/>
        </w:rPr>
        <w:t>8.1施工控制网</w:t>
      </w:r>
      <w:bookmarkEnd w:id="434"/>
    </w:p>
    <w:p w14:paraId="3AF1DE64">
      <w:pPr>
        <w:spacing w:line="400" w:lineRule="exact"/>
        <w:ind w:right="248" w:firstLine="480"/>
        <w:rPr>
          <w:rFonts w:ascii="宋体" w:hAnsi="宋体"/>
          <w:color w:val="auto"/>
          <w:szCs w:val="21"/>
          <w:highlight w:val="none"/>
        </w:rPr>
      </w:pPr>
      <w:r>
        <w:rPr>
          <w:rFonts w:hint="eastAsia" w:ascii="宋体" w:hAnsi="宋体"/>
          <w:color w:val="auto"/>
          <w:szCs w:val="21"/>
          <w:highlight w:val="none"/>
        </w:rPr>
        <w:t>8.1.1除专用合同条款另外约定外，施工控制网由承包人负责测设，发包人应在本合同协议书签订后的14天内，向承包人提供测量基准点、基准线和水准点及其书面资料。承包人应在收到上述资料后的28天内，将施测的施工控制网资料提交监理人审批。监理人应在收到报批件后的14天内批复承包人。</w:t>
      </w:r>
    </w:p>
    <w:p w14:paraId="40A5307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8.1.2 承包人应负责管理施工控制网点。施工控制网点丢失或损坏的，承包人应及时修复。承包人应承担施工控制网点的管理与修复费用，并在工程竣工后将施工控制网点移交发包人。</w:t>
      </w:r>
    </w:p>
    <w:p w14:paraId="6254BF47">
      <w:pPr>
        <w:keepNext/>
        <w:keepLines/>
        <w:spacing w:before="260" w:after="260" w:line="416" w:lineRule="auto"/>
        <w:outlineLvl w:val="2"/>
        <w:rPr>
          <w:rFonts w:ascii="宋体" w:hAnsi="宋体"/>
          <w:b/>
          <w:bCs/>
          <w:color w:val="auto"/>
          <w:kern w:val="0"/>
          <w:sz w:val="32"/>
          <w:szCs w:val="32"/>
          <w:highlight w:val="none"/>
        </w:rPr>
      </w:pPr>
      <w:bookmarkStart w:id="436" w:name="_Toc115179850"/>
      <w:r>
        <w:rPr>
          <w:rFonts w:hint="eastAsia" w:ascii="宋体" w:hAnsi="宋体"/>
          <w:b/>
          <w:bCs/>
          <w:color w:val="auto"/>
          <w:kern w:val="0"/>
          <w:sz w:val="32"/>
          <w:szCs w:val="32"/>
          <w:highlight w:val="none"/>
        </w:rPr>
        <w:t>8.2 施工测量</w:t>
      </w:r>
      <w:bookmarkEnd w:id="436"/>
    </w:p>
    <w:p w14:paraId="6033CCE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8.2.1 承包人应负责施工过程中的全部施工测量放线工作，并配置合格的人员、仪器、设备和其他物品。</w:t>
      </w:r>
    </w:p>
    <w:p w14:paraId="1FCC217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8.2.2 监理人可以指示承包人进行抽样复测，当复测中发现错误或出现超过合同约定的误差时，承包人应按监理人指示进行修正或补测，并承担相应的复测费用。</w:t>
      </w:r>
    </w:p>
    <w:p w14:paraId="0AEC9467">
      <w:pPr>
        <w:keepNext/>
        <w:keepLines/>
        <w:spacing w:before="260" w:after="260" w:line="416" w:lineRule="auto"/>
        <w:outlineLvl w:val="2"/>
        <w:rPr>
          <w:rFonts w:ascii="宋体" w:hAnsi="宋体"/>
          <w:b/>
          <w:bCs/>
          <w:color w:val="auto"/>
          <w:kern w:val="0"/>
          <w:sz w:val="32"/>
          <w:szCs w:val="32"/>
          <w:highlight w:val="none"/>
        </w:rPr>
      </w:pPr>
      <w:bookmarkStart w:id="437" w:name="_Toc115179851"/>
      <w:r>
        <w:rPr>
          <w:rFonts w:hint="eastAsia" w:ascii="宋体" w:hAnsi="宋体"/>
          <w:b/>
          <w:bCs/>
          <w:color w:val="auto"/>
          <w:kern w:val="0"/>
          <w:sz w:val="32"/>
          <w:szCs w:val="32"/>
          <w:highlight w:val="none"/>
        </w:rPr>
        <w:t>8.3 基准资料错误的责任</w:t>
      </w:r>
      <w:bookmarkEnd w:id="437"/>
    </w:p>
    <w:p w14:paraId="6CDD6C9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497DA27C">
      <w:pPr>
        <w:keepNext/>
        <w:keepLines/>
        <w:spacing w:before="260" w:after="260" w:line="416" w:lineRule="auto"/>
        <w:outlineLvl w:val="2"/>
        <w:rPr>
          <w:rFonts w:ascii="宋体" w:hAnsi="宋体"/>
          <w:b/>
          <w:bCs/>
          <w:color w:val="auto"/>
          <w:kern w:val="0"/>
          <w:sz w:val="32"/>
          <w:szCs w:val="32"/>
          <w:highlight w:val="none"/>
        </w:rPr>
      </w:pPr>
      <w:bookmarkStart w:id="438" w:name="_Toc115179852"/>
      <w:r>
        <w:rPr>
          <w:rFonts w:hint="eastAsia" w:ascii="宋体" w:hAnsi="宋体"/>
          <w:b/>
          <w:bCs/>
          <w:color w:val="auto"/>
          <w:kern w:val="0"/>
          <w:sz w:val="32"/>
          <w:szCs w:val="32"/>
          <w:highlight w:val="none"/>
        </w:rPr>
        <w:t>8.4 监理人使用施工控制网</w:t>
      </w:r>
      <w:bookmarkEnd w:id="438"/>
    </w:p>
    <w:p w14:paraId="35DD936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监理人需要使用施工控制网的，承包人应提供必要的协助，发包人不再为此支付费用。</w:t>
      </w:r>
    </w:p>
    <w:bookmarkEnd w:id="435"/>
    <w:p w14:paraId="5D4BCED1">
      <w:pPr>
        <w:keepNext/>
        <w:keepLines/>
        <w:spacing w:before="260" w:after="260" w:line="416" w:lineRule="auto"/>
        <w:outlineLvl w:val="2"/>
        <w:rPr>
          <w:rFonts w:ascii="宋体" w:hAnsi="宋体"/>
          <w:b/>
          <w:bCs/>
          <w:color w:val="auto"/>
          <w:kern w:val="0"/>
          <w:sz w:val="32"/>
          <w:szCs w:val="32"/>
          <w:highlight w:val="none"/>
        </w:rPr>
      </w:pPr>
      <w:bookmarkStart w:id="439" w:name="_Toc221950821"/>
      <w:bookmarkStart w:id="440" w:name="_Toc115179853"/>
      <w:r>
        <w:rPr>
          <w:rFonts w:hint="eastAsia" w:ascii="宋体" w:hAnsi="宋体"/>
          <w:b/>
          <w:bCs/>
          <w:color w:val="auto"/>
          <w:kern w:val="0"/>
          <w:sz w:val="32"/>
          <w:szCs w:val="32"/>
          <w:highlight w:val="none"/>
        </w:rPr>
        <w:t>8.5补充地质勘探</w:t>
      </w:r>
      <w:bookmarkEnd w:id="439"/>
      <w:bookmarkEnd w:id="440"/>
    </w:p>
    <w:p w14:paraId="4986B978">
      <w:pPr>
        <w:spacing w:line="400" w:lineRule="exact"/>
        <w:ind w:right="248" w:firstLine="480"/>
        <w:rPr>
          <w:rFonts w:ascii="宋体" w:hAnsi="宋体"/>
          <w:color w:val="auto"/>
          <w:szCs w:val="21"/>
          <w:highlight w:val="none"/>
        </w:rPr>
      </w:pPr>
      <w:bookmarkStart w:id="441" w:name="_Toc221950822"/>
      <w:r>
        <w:rPr>
          <w:rFonts w:hint="eastAsia" w:ascii="宋体" w:hAnsi="宋体"/>
          <w:color w:val="auto"/>
          <w:szCs w:val="21"/>
          <w:highlight w:val="none"/>
        </w:rPr>
        <w:t>在合同实施期间，监理人可以指示承包人进行必要的补充地质勘探和提供有关资料；承包人为本合同永久工程施工的需要进行补充地质勘探时，须经监理人批准，并应向监理人提交有关资料，上述补充勘探的费用由发包人承担。承包人为其临时工程设计及施工的需要进行的补充地质勘探，其费用由承包人承担。</w:t>
      </w:r>
      <w:bookmarkEnd w:id="441"/>
    </w:p>
    <w:p w14:paraId="2B799CB7">
      <w:pPr>
        <w:numPr>
          <w:ilvl w:val="0"/>
          <w:numId w:val="18"/>
        </w:numPr>
        <w:spacing w:before="260" w:after="260" w:line="400" w:lineRule="exact"/>
        <w:outlineLvl w:val="1"/>
        <w:rPr>
          <w:rFonts w:ascii="宋体" w:hAnsi="宋体" w:eastAsia="黑体"/>
          <w:color w:val="auto"/>
          <w:kern w:val="44"/>
          <w:sz w:val="27"/>
          <w:szCs w:val="27"/>
          <w:highlight w:val="none"/>
        </w:rPr>
      </w:pPr>
      <w:bookmarkStart w:id="442" w:name="_Toc221950823"/>
      <w:bookmarkStart w:id="443" w:name="_Toc259524357"/>
      <w:bookmarkStart w:id="444" w:name="_Toc229305370"/>
      <w:bookmarkStart w:id="445" w:name="_Toc222029510"/>
      <w:bookmarkStart w:id="446" w:name="_Toc222031012"/>
      <w:bookmarkStart w:id="447" w:name="_Toc222032679"/>
      <w:bookmarkStart w:id="448" w:name="_Toc483383009"/>
      <w:bookmarkStart w:id="449" w:name="_Toc115179854"/>
      <w:bookmarkStart w:id="450" w:name="_Toc222033861"/>
      <w:bookmarkStart w:id="451" w:name="_Toc26403"/>
      <w:r>
        <w:rPr>
          <w:rFonts w:ascii="宋体" w:hAnsi="宋体" w:eastAsia="黑体"/>
          <w:color w:val="auto"/>
          <w:kern w:val="44"/>
          <w:sz w:val="27"/>
          <w:szCs w:val="27"/>
          <w:highlight w:val="none"/>
        </w:rPr>
        <w:t xml:space="preserve">9. </w:t>
      </w:r>
      <w:r>
        <w:rPr>
          <w:rFonts w:hint="eastAsia" w:ascii="宋体" w:hAnsi="宋体" w:eastAsia="黑体"/>
          <w:color w:val="auto"/>
          <w:kern w:val="44"/>
          <w:sz w:val="27"/>
          <w:szCs w:val="27"/>
          <w:highlight w:val="none"/>
        </w:rPr>
        <w:t>施工安全、治安保卫和环境保护</w:t>
      </w:r>
      <w:bookmarkEnd w:id="442"/>
      <w:bookmarkEnd w:id="443"/>
      <w:bookmarkEnd w:id="444"/>
      <w:bookmarkEnd w:id="445"/>
      <w:bookmarkEnd w:id="446"/>
      <w:bookmarkEnd w:id="447"/>
      <w:bookmarkEnd w:id="448"/>
      <w:bookmarkEnd w:id="449"/>
      <w:bookmarkEnd w:id="450"/>
      <w:bookmarkEnd w:id="451"/>
    </w:p>
    <w:p w14:paraId="14C04293">
      <w:pPr>
        <w:keepNext/>
        <w:keepLines/>
        <w:spacing w:before="260" w:after="260" w:line="416" w:lineRule="auto"/>
        <w:outlineLvl w:val="2"/>
        <w:rPr>
          <w:rFonts w:ascii="宋体" w:hAnsi="宋体"/>
          <w:b/>
          <w:bCs/>
          <w:color w:val="auto"/>
          <w:kern w:val="0"/>
          <w:sz w:val="32"/>
          <w:szCs w:val="32"/>
          <w:highlight w:val="none"/>
        </w:rPr>
      </w:pPr>
      <w:bookmarkStart w:id="452" w:name="_Toc115179855"/>
      <w:bookmarkStart w:id="453" w:name="_Toc221950826"/>
      <w:r>
        <w:rPr>
          <w:rFonts w:hint="eastAsia" w:ascii="宋体" w:hAnsi="宋体"/>
          <w:b/>
          <w:bCs/>
          <w:color w:val="auto"/>
          <w:kern w:val="0"/>
          <w:sz w:val="32"/>
          <w:szCs w:val="32"/>
          <w:highlight w:val="none"/>
        </w:rPr>
        <w:t>9.1发包人的施工安全责任</w:t>
      </w:r>
      <w:bookmarkEnd w:id="452"/>
    </w:p>
    <w:p w14:paraId="3756D3AE">
      <w:pPr>
        <w:spacing w:line="400" w:lineRule="exact"/>
        <w:ind w:right="248" w:firstLine="480"/>
        <w:rPr>
          <w:rFonts w:ascii="宋体" w:hAnsi="宋体"/>
          <w:color w:val="auto"/>
          <w:szCs w:val="21"/>
          <w:highlight w:val="none"/>
        </w:rPr>
      </w:pPr>
      <w:r>
        <w:rPr>
          <w:rFonts w:hint="eastAsia" w:ascii="宋体" w:hAnsi="宋体"/>
          <w:color w:val="auto"/>
          <w:szCs w:val="21"/>
          <w:highlight w:val="none"/>
        </w:rPr>
        <w:t>9.1.1发包人应按合同约定履行安全职责。发包人委托监理人根据国家有关安全的法律、法规、强制性标准以及部门规章，对承包人的安全责任履行情况进行监督和检查。监理人的监督检查不减轻承包人应负的安全责任。</w:t>
      </w:r>
      <w:bookmarkEnd w:id="453"/>
    </w:p>
    <w:p w14:paraId="16366C2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9.1.2 发包人应对其现场机构雇佣的全部人员的工伤事故承担责任，但由于承包人原因造成发包人人员工伤的，应由承包人承担责任。</w:t>
      </w:r>
    </w:p>
    <w:p w14:paraId="1A22BE2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9.1.3 发包人应负责赔偿以下各种情况造成的第三者人身伤亡和财产损失：</w:t>
      </w:r>
    </w:p>
    <w:p w14:paraId="5C3309D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(l）工程或工程的任何部分对土地的占用所造成的第三者财产损失；</w:t>
      </w:r>
    </w:p>
    <w:p w14:paraId="567D0FA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(2）由于发包人原因在施工场地及其毗邻地带造成的第三者人身伤亡和财产损失。</w:t>
      </w:r>
    </w:p>
    <w:p w14:paraId="0E03C5B6">
      <w:pPr>
        <w:spacing w:line="400" w:lineRule="exact"/>
        <w:ind w:right="248" w:firstLine="480"/>
        <w:rPr>
          <w:rFonts w:ascii="宋体" w:hAnsi="宋体"/>
          <w:color w:val="auto"/>
          <w:szCs w:val="21"/>
          <w:highlight w:val="none"/>
        </w:rPr>
      </w:pPr>
      <w:r>
        <w:rPr>
          <w:rFonts w:hint="eastAsia" w:ascii="宋体" w:hAnsi="宋体"/>
          <w:color w:val="auto"/>
          <w:szCs w:val="21"/>
          <w:highlight w:val="none"/>
        </w:rPr>
        <w:t>9.1.4除专用合同条款另有约定外，发包人负责向承包人提供施工现场及施工可能影响的毗邻区域内供水、排水、供气、供热、通信、广播电视等地下管线资料，气象和水文观测资料，拟建工程可能影响的相邻建筑物地下工程的有关资料，并保证有关资料的真实、准确、完整，满足有关技术规程的要求。</w:t>
      </w:r>
    </w:p>
    <w:p w14:paraId="6418E038">
      <w:pPr>
        <w:spacing w:line="400" w:lineRule="exact"/>
        <w:ind w:right="248" w:firstLine="480"/>
        <w:rPr>
          <w:rFonts w:ascii="宋体" w:hAnsi="宋体"/>
          <w:color w:val="auto"/>
          <w:szCs w:val="21"/>
          <w:highlight w:val="none"/>
        </w:rPr>
      </w:pPr>
      <w:r>
        <w:rPr>
          <w:rFonts w:hint="eastAsia" w:ascii="宋体" w:hAnsi="宋体"/>
          <w:color w:val="auto"/>
          <w:szCs w:val="21"/>
          <w:highlight w:val="none"/>
        </w:rPr>
        <w:t>9.1.5发包人按照已标价工程量清单所列金额和合同约定的计量支付规定，支付安全作业环境及安全施工措施所需费用。</w:t>
      </w:r>
    </w:p>
    <w:p w14:paraId="26D1C5F7">
      <w:pPr>
        <w:spacing w:line="400" w:lineRule="exact"/>
        <w:ind w:right="248" w:firstLine="480"/>
        <w:rPr>
          <w:rFonts w:ascii="宋体" w:hAnsi="宋体"/>
          <w:color w:val="auto"/>
          <w:szCs w:val="21"/>
          <w:highlight w:val="none"/>
        </w:rPr>
      </w:pPr>
      <w:r>
        <w:rPr>
          <w:rFonts w:hint="eastAsia" w:ascii="宋体" w:hAnsi="宋体"/>
          <w:color w:val="auto"/>
          <w:szCs w:val="21"/>
          <w:highlight w:val="none"/>
        </w:rPr>
        <w:t>9.1.6发包人负责组织工程参建单位编制保证安全生产的措施方案。工程开工前，就落实保证安全生产的措施进行全面系统的布置，进一步明确承包人的安全生产责任。</w:t>
      </w:r>
    </w:p>
    <w:p w14:paraId="6F0E155D">
      <w:pPr>
        <w:spacing w:line="400" w:lineRule="exact"/>
        <w:ind w:right="248" w:firstLine="480"/>
        <w:rPr>
          <w:rFonts w:ascii="宋体" w:hAnsi="宋体"/>
          <w:color w:val="auto"/>
          <w:szCs w:val="21"/>
          <w:highlight w:val="none"/>
        </w:rPr>
      </w:pPr>
      <w:r>
        <w:rPr>
          <w:rFonts w:hint="eastAsia" w:ascii="宋体" w:hAnsi="宋体"/>
          <w:color w:val="auto"/>
          <w:szCs w:val="21"/>
          <w:highlight w:val="none"/>
        </w:rPr>
        <w:t>9.1.7发包人负责在拆除工程和爆破工程施工14天前向有关部门或机构报送相关备案资料。</w:t>
      </w:r>
    </w:p>
    <w:p w14:paraId="194D0B32">
      <w:pPr>
        <w:keepNext/>
        <w:keepLines/>
        <w:spacing w:before="260" w:after="260" w:line="416" w:lineRule="auto"/>
        <w:outlineLvl w:val="2"/>
        <w:rPr>
          <w:rFonts w:ascii="宋体" w:hAnsi="宋体"/>
          <w:b/>
          <w:bCs/>
          <w:color w:val="auto"/>
          <w:kern w:val="0"/>
          <w:sz w:val="32"/>
          <w:szCs w:val="32"/>
          <w:highlight w:val="none"/>
        </w:rPr>
      </w:pPr>
      <w:bookmarkStart w:id="454" w:name="_Toc115179856"/>
      <w:bookmarkStart w:id="455" w:name="_Toc221950836"/>
      <w:r>
        <w:rPr>
          <w:rFonts w:hint="eastAsia" w:ascii="宋体" w:hAnsi="宋体"/>
          <w:b/>
          <w:bCs/>
          <w:color w:val="auto"/>
          <w:kern w:val="0"/>
          <w:sz w:val="32"/>
          <w:szCs w:val="32"/>
          <w:highlight w:val="none"/>
        </w:rPr>
        <w:t>9.2承包人的施工安全责任</w:t>
      </w:r>
      <w:bookmarkEnd w:id="454"/>
    </w:p>
    <w:p w14:paraId="14FDE08A">
      <w:pPr>
        <w:spacing w:line="400" w:lineRule="exact"/>
        <w:ind w:right="248" w:firstLine="480"/>
        <w:rPr>
          <w:rFonts w:ascii="宋体" w:hAnsi="宋体"/>
          <w:color w:val="auto"/>
          <w:szCs w:val="21"/>
          <w:highlight w:val="none"/>
        </w:rPr>
      </w:pPr>
      <w:r>
        <w:rPr>
          <w:rFonts w:ascii="宋体" w:hAnsi="宋体"/>
          <w:color w:val="auto"/>
          <w:szCs w:val="21"/>
          <w:highlight w:val="none"/>
        </w:rPr>
        <w:t>9.2.1承包人应按本合同</w:t>
      </w:r>
      <w:r>
        <w:rPr>
          <w:rFonts w:hint="eastAsia" w:ascii="宋体" w:hAnsi="宋体"/>
          <w:color w:val="auto"/>
          <w:szCs w:val="21"/>
          <w:highlight w:val="none"/>
        </w:rPr>
        <w:t>约定履行安全职责，执行监理人有关安全工作的指示</w:t>
      </w:r>
      <w:r>
        <w:rPr>
          <w:rFonts w:ascii="宋体" w:hAnsi="宋体"/>
          <w:color w:val="auto"/>
          <w:szCs w:val="21"/>
          <w:highlight w:val="none"/>
        </w:rPr>
        <w:t>。</w:t>
      </w:r>
      <w:r>
        <w:rPr>
          <w:rFonts w:hint="eastAsia" w:ascii="宋体" w:hAnsi="宋体"/>
          <w:color w:val="auto"/>
          <w:szCs w:val="21"/>
          <w:highlight w:val="none"/>
        </w:rPr>
        <w:t>承包人应按技术标准和要求（合同技术条款）约定的内容和期限，以及监理人的指示，编制施工安全技术措施提交监理人审批。监理人应在技术标准和要求（合同技术条款）约定的期限内批复承包人。</w:t>
      </w:r>
    </w:p>
    <w:p w14:paraId="6A81000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9.2.2 承包人应加强施工作业安全管理，特别应加强易燃、易爆材料、火工器材、有毒与腐蚀性材料和其他危险品的管理，以及对爆破作业和地下工程施工等危险作业的管理。</w:t>
      </w:r>
    </w:p>
    <w:p w14:paraId="17CA753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9.2.3 承包人应严格按照国家安全标准制定施工安全操作规程，配备必要的安全生产和劳动保护设施，加强对承包人人员的安全教育，并发放安全工作手册和劳动保护用具。</w:t>
      </w:r>
    </w:p>
    <w:p w14:paraId="31C0B5E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9.2.4 承包人应按监理人的指示制定应对灾害的紧急预案，报送监理人审批。承包人还应按预案做好安全检查，配置必要的救助物资和器材，切实保护好有关人员的人身和财产安全。</w:t>
      </w:r>
    </w:p>
    <w:p w14:paraId="770B65F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9.2.5 合同约定的安全作业环境及安全施工措施所需费用应遵守有关规定，并包括在相关工作的合同价格中。因采取合同未约定的安全作业环境及安全施工措施增加的费用，由监理人按第3.5 款商定或确定。</w:t>
      </w:r>
    </w:p>
    <w:p w14:paraId="71230F9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9.2.6 承包人应对其履行合同所雇佣的全部人员，包括分包人人员的工伤事故承担责任，但由于发包人原因造成承包人人员工伤事故的，应由发包人承担责任。</w:t>
      </w:r>
    </w:p>
    <w:p w14:paraId="04751FD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9.2.7 由于承包人原因在施工场地内及其毗邻地带造成的第三者人员伤亡和财产损失，由承包人负责赔偿。</w:t>
      </w:r>
    </w:p>
    <w:p w14:paraId="26AD1D41">
      <w:pPr>
        <w:spacing w:line="400" w:lineRule="exact"/>
        <w:ind w:right="248" w:firstLine="480"/>
        <w:rPr>
          <w:rFonts w:ascii="宋体" w:hAnsi="宋体"/>
          <w:color w:val="auto"/>
          <w:szCs w:val="21"/>
          <w:highlight w:val="none"/>
        </w:rPr>
      </w:pPr>
      <w:r>
        <w:rPr>
          <w:rFonts w:hint="eastAsia" w:ascii="宋体" w:hAnsi="宋体"/>
          <w:color w:val="auto"/>
          <w:szCs w:val="21"/>
          <w:highlight w:val="none"/>
        </w:rPr>
        <w:t>9.2.8承包人已标价工程量清单应包含工程安全作业环境及安全施工措施所需费用。</w:t>
      </w:r>
    </w:p>
    <w:p w14:paraId="0931D597">
      <w:pPr>
        <w:spacing w:line="400" w:lineRule="exact"/>
        <w:ind w:right="248" w:firstLine="480"/>
        <w:rPr>
          <w:rFonts w:ascii="宋体" w:hAnsi="宋体"/>
          <w:color w:val="auto"/>
          <w:szCs w:val="21"/>
          <w:highlight w:val="none"/>
        </w:rPr>
      </w:pPr>
      <w:r>
        <w:rPr>
          <w:rFonts w:hint="eastAsia" w:ascii="宋体" w:hAnsi="宋体"/>
          <w:color w:val="auto"/>
          <w:szCs w:val="21"/>
          <w:highlight w:val="none"/>
        </w:rPr>
        <w:t>9.2.9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14:paraId="7AFCC646">
      <w:pPr>
        <w:spacing w:line="400" w:lineRule="exact"/>
        <w:ind w:right="248" w:firstLine="480"/>
        <w:rPr>
          <w:rFonts w:ascii="宋体" w:hAnsi="宋体"/>
          <w:color w:val="auto"/>
          <w:szCs w:val="21"/>
          <w:highlight w:val="none"/>
        </w:rPr>
      </w:pPr>
      <w:r>
        <w:rPr>
          <w:rFonts w:hint="eastAsia" w:ascii="宋体" w:hAnsi="宋体"/>
          <w:color w:val="auto"/>
          <w:szCs w:val="21"/>
          <w:highlight w:val="none"/>
        </w:rPr>
        <w:t>9.2.10承包人应设立安全生产管理机构，施工现场应有专职安全生产管理人员。</w:t>
      </w:r>
    </w:p>
    <w:p w14:paraId="63DB606F">
      <w:pPr>
        <w:spacing w:line="400" w:lineRule="exact"/>
        <w:ind w:right="248" w:firstLine="480"/>
        <w:rPr>
          <w:rFonts w:ascii="宋体" w:hAnsi="宋体"/>
          <w:color w:val="auto"/>
          <w:szCs w:val="21"/>
          <w:highlight w:val="none"/>
        </w:rPr>
      </w:pPr>
      <w:r>
        <w:rPr>
          <w:rFonts w:hint="eastAsia" w:ascii="宋体" w:hAnsi="宋体"/>
          <w:color w:val="auto"/>
          <w:szCs w:val="21"/>
          <w:highlight w:val="none"/>
        </w:rPr>
        <w:t>9.2.11承包人应负责对特种作业人员进行专门的安全作业培训，并保证特种作业人员持证上岗。</w:t>
      </w:r>
    </w:p>
    <w:p w14:paraId="4779A4C3">
      <w:pPr>
        <w:spacing w:line="400" w:lineRule="exact"/>
        <w:ind w:right="248" w:firstLine="480"/>
        <w:rPr>
          <w:rFonts w:ascii="宋体" w:hAnsi="宋体"/>
          <w:color w:val="auto"/>
          <w:szCs w:val="21"/>
          <w:highlight w:val="none"/>
        </w:rPr>
      </w:pPr>
      <w:r>
        <w:rPr>
          <w:rFonts w:hint="eastAsia" w:ascii="宋体" w:hAnsi="宋体"/>
          <w:color w:val="auto"/>
          <w:szCs w:val="21"/>
          <w:highlight w:val="none"/>
        </w:rPr>
        <w:t>9.2.12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14:paraId="5E10C82B">
      <w:pPr>
        <w:spacing w:line="400" w:lineRule="exact"/>
        <w:ind w:right="248" w:firstLine="480"/>
        <w:rPr>
          <w:rFonts w:ascii="宋体" w:hAnsi="宋体"/>
          <w:color w:val="auto"/>
          <w:szCs w:val="21"/>
          <w:highlight w:val="none"/>
        </w:rPr>
      </w:pPr>
      <w:r>
        <w:rPr>
          <w:rFonts w:hint="eastAsia" w:ascii="宋体" w:hAnsi="宋体"/>
          <w:color w:val="auto"/>
          <w:szCs w:val="21"/>
          <w:highlight w:val="none"/>
        </w:rPr>
        <w:t>9.2.13承包人在使用施工起重机械和整体提升脚手架、模板等自升式架设设施前，应组织有关单位进行验收。</w:t>
      </w:r>
    </w:p>
    <w:p w14:paraId="51F04931">
      <w:pPr>
        <w:keepNext/>
        <w:keepLines/>
        <w:spacing w:before="260" w:after="260" w:line="416" w:lineRule="auto"/>
        <w:outlineLvl w:val="2"/>
        <w:rPr>
          <w:rFonts w:ascii="宋体" w:hAnsi="宋体"/>
          <w:b/>
          <w:bCs/>
          <w:color w:val="auto"/>
          <w:kern w:val="0"/>
          <w:sz w:val="32"/>
          <w:szCs w:val="32"/>
          <w:highlight w:val="none"/>
        </w:rPr>
      </w:pPr>
      <w:bookmarkStart w:id="456" w:name="_Toc115179857"/>
      <w:r>
        <w:rPr>
          <w:rFonts w:hint="eastAsia" w:ascii="宋体" w:hAnsi="宋体"/>
          <w:b/>
          <w:bCs/>
          <w:color w:val="auto"/>
          <w:kern w:val="0"/>
          <w:sz w:val="32"/>
          <w:szCs w:val="32"/>
          <w:highlight w:val="none"/>
        </w:rPr>
        <w:t>9.3 治安保卫</w:t>
      </w:r>
      <w:bookmarkEnd w:id="456"/>
    </w:p>
    <w:p w14:paraId="633BAD0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9.3.1 除合同另有约定外，发包人应与当地公安部门协商，在现场建立治安管理机构或联防组织，统一管理施工场地的治安保卫事项，履行合同工程的治安保卫职责。</w:t>
      </w:r>
    </w:p>
    <w:p w14:paraId="64741FC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9.3.2 发包人和承包人除应协助现场治安管理机构或联防组织维护施工场地的社会治安外，还应做好包括生活区在内的各自管辖区的治安保卫工作。</w:t>
      </w:r>
    </w:p>
    <w:p w14:paraId="45D58C2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08BAB82D">
      <w:pPr>
        <w:keepNext/>
        <w:keepLines/>
        <w:spacing w:before="260" w:after="260" w:line="416" w:lineRule="auto"/>
        <w:outlineLvl w:val="2"/>
        <w:rPr>
          <w:rFonts w:ascii="宋体" w:hAnsi="宋体"/>
          <w:b/>
          <w:bCs/>
          <w:color w:val="auto"/>
          <w:kern w:val="0"/>
          <w:sz w:val="32"/>
          <w:szCs w:val="32"/>
          <w:highlight w:val="none"/>
        </w:rPr>
      </w:pPr>
      <w:bookmarkStart w:id="457" w:name="_Toc115179858"/>
      <w:r>
        <w:rPr>
          <w:rFonts w:hint="eastAsia" w:ascii="宋体" w:hAnsi="宋体"/>
          <w:b/>
          <w:bCs/>
          <w:color w:val="auto"/>
          <w:kern w:val="0"/>
          <w:sz w:val="32"/>
          <w:szCs w:val="32"/>
          <w:highlight w:val="none"/>
        </w:rPr>
        <w:t>9.4 环境保护</w:t>
      </w:r>
      <w:bookmarkEnd w:id="457"/>
    </w:p>
    <w:p w14:paraId="5278B73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9.4.1 承包人在施工过程中，应遵守有关环境保护的法律，履行合同约定的环境保护义务，并对违反法律和合同约定义务所造成的环境破坏、人身伤害和财产损失负责。</w:t>
      </w:r>
    </w:p>
    <w:p w14:paraId="7A476A8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9.4.2 承包人应按合同约定的环保工作内容，编制施工环保措施计划，报送监理人审批。</w:t>
      </w:r>
    </w:p>
    <w:p w14:paraId="053690E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4863ACC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9.4.4 承包人应按合同约定采取有效措施，对施工开挖的边坡及时进行支护，维护排水设施，并进行水土保护，避免因施工造成的地质灾害。</w:t>
      </w:r>
    </w:p>
    <w:p w14:paraId="5302227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9.4.5 承包人应按国家饮用水管理标准定期对饮用水源进行监测，防止施工活动污染饮用水源。</w:t>
      </w:r>
    </w:p>
    <w:p w14:paraId="4E58F4F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9.4.6 承包人应按合同约定，加强对噪声、粉尘、废气、废水和废油的控制，努力降低噪声，控制粉尘和废气浓度，做好废水和废油的治理和排放。</w:t>
      </w:r>
    </w:p>
    <w:p w14:paraId="489B8956">
      <w:pPr>
        <w:keepNext/>
        <w:keepLines/>
        <w:spacing w:before="260" w:after="260" w:line="416" w:lineRule="auto"/>
        <w:outlineLvl w:val="2"/>
        <w:rPr>
          <w:rFonts w:ascii="宋体" w:hAnsi="宋体"/>
          <w:b/>
          <w:bCs/>
          <w:color w:val="auto"/>
          <w:kern w:val="0"/>
          <w:sz w:val="32"/>
          <w:szCs w:val="32"/>
          <w:highlight w:val="none"/>
        </w:rPr>
      </w:pPr>
      <w:bookmarkStart w:id="458" w:name="_Toc115179859"/>
      <w:r>
        <w:rPr>
          <w:rFonts w:hint="eastAsia" w:ascii="宋体" w:hAnsi="宋体"/>
          <w:b/>
          <w:bCs/>
          <w:color w:val="auto"/>
          <w:kern w:val="0"/>
          <w:sz w:val="32"/>
          <w:szCs w:val="32"/>
          <w:highlight w:val="none"/>
        </w:rPr>
        <w:t>9.5事故处理</w:t>
      </w:r>
      <w:bookmarkEnd w:id="458"/>
    </w:p>
    <w:p w14:paraId="4001D8A3">
      <w:pPr>
        <w:spacing w:line="400" w:lineRule="exact"/>
        <w:ind w:right="248" w:firstLine="480"/>
        <w:rPr>
          <w:rFonts w:ascii="宋体" w:hAnsi="宋体"/>
          <w:color w:val="auto"/>
          <w:szCs w:val="21"/>
          <w:highlight w:val="none"/>
        </w:rPr>
      </w:pPr>
      <w:r>
        <w:rPr>
          <w:rFonts w:ascii="宋体" w:hAnsi="宋体"/>
          <w:color w:val="auto"/>
          <w:szCs w:val="21"/>
          <w:highlight w:val="none"/>
        </w:rPr>
        <w:t>9.5.1发包人</w:t>
      </w:r>
      <w:r>
        <w:rPr>
          <w:rFonts w:hint="eastAsia" w:ascii="宋体" w:hAnsi="宋体"/>
          <w:color w:val="auto"/>
          <w:szCs w:val="21"/>
          <w:highlight w:val="none"/>
        </w:rPr>
        <w:t>负责</w:t>
      </w:r>
      <w:r>
        <w:rPr>
          <w:rFonts w:ascii="宋体" w:hAnsi="宋体"/>
          <w:color w:val="auto"/>
          <w:szCs w:val="21"/>
          <w:highlight w:val="none"/>
        </w:rPr>
        <w:t>组织</w:t>
      </w:r>
      <w:r>
        <w:rPr>
          <w:rFonts w:hint="eastAsia" w:ascii="宋体" w:hAnsi="宋体"/>
          <w:color w:val="auto"/>
          <w:szCs w:val="21"/>
          <w:highlight w:val="none"/>
        </w:rPr>
        <w:t>参建单位制定本工程的质量和安全事故应急预案，建立质量与安全事故应急处置指挥部。</w:t>
      </w:r>
    </w:p>
    <w:p w14:paraId="08C74FA8">
      <w:pPr>
        <w:spacing w:line="400" w:lineRule="exact"/>
        <w:ind w:right="248" w:firstLine="480"/>
        <w:rPr>
          <w:rFonts w:ascii="宋体" w:hAnsi="宋体"/>
          <w:color w:val="auto"/>
          <w:szCs w:val="21"/>
          <w:highlight w:val="none"/>
        </w:rPr>
      </w:pPr>
      <w:r>
        <w:rPr>
          <w:rFonts w:ascii="宋体" w:hAnsi="宋体"/>
          <w:color w:val="auto"/>
          <w:szCs w:val="21"/>
          <w:highlight w:val="none"/>
        </w:rPr>
        <w:t>9.5.2 承包人</w:t>
      </w:r>
      <w:r>
        <w:rPr>
          <w:rFonts w:hint="eastAsia" w:ascii="宋体" w:hAnsi="宋体"/>
          <w:color w:val="auto"/>
          <w:szCs w:val="21"/>
          <w:highlight w:val="none"/>
        </w:rPr>
        <w:t>应对施工现场易发生重大事故的部位、环节进行监控，配备救援器材、设备，并定期组织演练</w:t>
      </w:r>
      <w:r>
        <w:rPr>
          <w:rFonts w:ascii="宋体" w:hAnsi="宋体"/>
          <w:color w:val="auto"/>
          <w:szCs w:val="21"/>
          <w:highlight w:val="none"/>
        </w:rPr>
        <w:t>。</w:t>
      </w:r>
    </w:p>
    <w:p w14:paraId="2140C1F3">
      <w:pPr>
        <w:spacing w:line="400" w:lineRule="exact"/>
        <w:ind w:right="248" w:firstLine="480"/>
        <w:rPr>
          <w:rFonts w:ascii="宋体" w:hAnsi="宋体"/>
          <w:color w:val="auto"/>
          <w:szCs w:val="21"/>
          <w:highlight w:val="none"/>
        </w:rPr>
      </w:pPr>
      <w:r>
        <w:rPr>
          <w:rFonts w:ascii="宋体" w:hAnsi="宋体"/>
          <w:color w:val="auto"/>
          <w:szCs w:val="21"/>
          <w:highlight w:val="none"/>
        </w:rPr>
        <w:t>9.5.3</w:t>
      </w:r>
      <w:r>
        <w:rPr>
          <w:rFonts w:hint="eastAsia" w:ascii="宋体" w:hAnsi="宋体"/>
          <w:color w:val="auto"/>
          <w:szCs w:val="21"/>
          <w:highlight w:val="none"/>
        </w:rPr>
        <w:t>工程开工前，承包人应根据本工程的特点制定施工现场施工质量与安全事故应急预案，并报发包人备案。</w:t>
      </w:r>
    </w:p>
    <w:p w14:paraId="6368028D">
      <w:pPr>
        <w:spacing w:line="400" w:lineRule="exact"/>
        <w:ind w:right="248" w:firstLine="480"/>
        <w:rPr>
          <w:rFonts w:ascii="宋体" w:hAnsi="宋体"/>
          <w:color w:val="auto"/>
          <w:szCs w:val="21"/>
          <w:highlight w:val="none"/>
        </w:rPr>
      </w:pPr>
      <w:r>
        <w:rPr>
          <w:rFonts w:ascii="宋体" w:hAnsi="宋体"/>
          <w:color w:val="auto"/>
          <w:szCs w:val="21"/>
          <w:highlight w:val="none"/>
        </w:rPr>
        <w:t>9.5.4</w:t>
      </w:r>
      <w:r>
        <w:rPr>
          <w:rFonts w:hint="eastAsia" w:ascii="宋体" w:hAnsi="宋体"/>
          <w:color w:val="auto"/>
          <w:szCs w:val="21"/>
          <w:highlight w:val="none"/>
        </w:rPr>
        <w:t>施工过程中发生事故时，发包人、承包人应立即启动应急预案</w:t>
      </w:r>
      <w:r>
        <w:rPr>
          <w:rFonts w:ascii="宋体" w:hAnsi="宋体"/>
          <w:color w:val="auto"/>
          <w:szCs w:val="21"/>
          <w:highlight w:val="none"/>
        </w:rPr>
        <w:t>。</w:t>
      </w:r>
    </w:p>
    <w:p w14:paraId="1846B556">
      <w:pPr>
        <w:spacing w:line="400" w:lineRule="exact"/>
        <w:ind w:right="248" w:firstLine="480"/>
        <w:rPr>
          <w:rFonts w:ascii="宋体" w:hAnsi="宋体"/>
          <w:color w:val="auto"/>
          <w:szCs w:val="21"/>
          <w:highlight w:val="none"/>
        </w:rPr>
      </w:pPr>
      <w:r>
        <w:rPr>
          <w:rFonts w:ascii="宋体" w:hAnsi="宋体"/>
          <w:color w:val="auto"/>
          <w:szCs w:val="21"/>
          <w:highlight w:val="none"/>
        </w:rPr>
        <w:t>9.5.5</w:t>
      </w:r>
      <w:r>
        <w:rPr>
          <w:rFonts w:hint="eastAsia" w:ascii="宋体" w:hAnsi="宋体"/>
          <w:color w:val="auto"/>
          <w:szCs w:val="21"/>
          <w:highlight w:val="none"/>
        </w:rPr>
        <w:t>事故调查处理由发包人按相关规定履行手续，承包人应配合</w:t>
      </w:r>
      <w:r>
        <w:rPr>
          <w:rFonts w:ascii="宋体" w:hAnsi="宋体"/>
          <w:color w:val="auto"/>
          <w:szCs w:val="21"/>
          <w:highlight w:val="none"/>
        </w:rPr>
        <w:t>。</w:t>
      </w:r>
    </w:p>
    <w:p w14:paraId="37EB00ED">
      <w:pPr>
        <w:keepNext/>
        <w:keepLines/>
        <w:spacing w:before="260" w:after="260" w:line="416" w:lineRule="auto"/>
        <w:outlineLvl w:val="2"/>
        <w:rPr>
          <w:rFonts w:ascii="宋体" w:hAnsi="宋体"/>
          <w:b/>
          <w:bCs/>
          <w:color w:val="auto"/>
          <w:kern w:val="0"/>
          <w:sz w:val="32"/>
          <w:szCs w:val="32"/>
          <w:highlight w:val="none"/>
        </w:rPr>
      </w:pPr>
      <w:bookmarkStart w:id="459" w:name="_Toc115179860"/>
      <w:r>
        <w:rPr>
          <w:rFonts w:hint="eastAsia" w:ascii="宋体" w:hAnsi="宋体"/>
          <w:b/>
          <w:bCs/>
          <w:color w:val="auto"/>
          <w:kern w:val="0"/>
          <w:sz w:val="32"/>
          <w:szCs w:val="32"/>
          <w:highlight w:val="none"/>
        </w:rPr>
        <w:t>9.6水土保持</w:t>
      </w:r>
      <w:bookmarkEnd w:id="455"/>
      <w:bookmarkEnd w:id="459"/>
    </w:p>
    <w:p w14:paraId="12755E78">
      <w:pPr>
        <w:spacing w:line="400" w:lineRule="exact"/>
        <w:ind w:right="248" w:firstLine="525" w:firstLineChars="250"/>
        <w:rPr>
          <w:rFonts w:ascii="宋体" w:hAnsi="宋体"/>
          <w:color w:val="auto"/>
          <w:szCs w:val="21"/>
          <w:highlight w:val="none"/>
        </w:rPr>
      </w:pPr>
      <w:bookmarkStart w:id="460" w:name="_Toc221950837"/>
      <w:r>
        <w:rPr>
          <w:rFonts w:hint="eastAsia" w:ascii="宋体" w:hAnsi="宋体"/>
          <w:color w:val="auto"/>
          <w:szCs w:val="21"/>
          <w:highlight w:val="none"/>
        </w:rPr>
        <w:t>9.6.1 发包人应及时向承包人提供水土保持方案。</w:t>
      </w:r>
      <w:bookmarkEnd w:id="460"/>
    </w:p>
    <w:p w14:paraId="486D27D9">
      <w:pPr>
        <w:spacing w:line="400" w:lineRule="exact"/>
        <w:ind w:right="248" w:firstLine="480"/>
        <w:rPr>
          <w:rFonts w:ascii="宋体" w:hAnsi="宋体"/>
          <w:color w:val="auto"/>
          <w:szCs w:val="21"/>
          <w:highlight w:val="none"/>
        </w:rPr>
      </w:pPr>
      <w:bookmarkStart w:id="461" w:name="_Toc221950838"/>
      <w:r>
        <w:rPr>
          <w:rFonts w:hint="eastAsia" w:ascii="宋体" w:hAnsi="宋体"/>
          <w:color w:val="auto"/>
          <w:szCs w:val="21"/>
          <w:highlight w:val="none"/>
        </w:rPr>
        <w:t xml:space="preserve">9.6.2 </w:t>
      </w:r>
      <w:bookmarkEnd w:id="461"/>
      <w:r>
        <w:rPr>
          <w:rFonts w:hint="eastAsia" w:ascii="宋体" w:hAnsi="宋体"/>
          <w:color w:val="auto"/>
          <w:szCs w:val="21"/>
          <w:highlight w:val="none"/>
        </w:rPr>
        <w:t>承包人在施工过程中，应遵循有关水土保持的法律法规和规章，履行合同约定的水土保持义务，并对其违反法律和合同约定义务所造成的水土流失灾害、人身伤害和财产损失负责。</w:t>
      </w:r>
      <w:bookmarkStart w:id="462" w:name="_Toc221950839"/>
    </w:p>
    <w:p w14:paraId="432E27B7">
      <w:pPr>
        <w:spacing w:line="400" w:lineRule="exact"/>
        <w:ind w:right="248" w:firstLine="480"/>
        <w:rPr>
          <w:rFonts w:ascii="宋体" w:hAnsi="宋体"/>
          <w:color w:val="auto"/>
          <w:szCs w:val="21"/>
          <w:highlight w:val="none"/>
        </w:rPr>
      </w:pPr>
      <w:r>
        <w:rPr>
          <w:rFonts w:hint="eastAsia" w:ascii="宋体" w:hAnsi="宋体"/>
          <w:color w:val="auto"/>
          <w:szCs w:val="21"/>
          <w:highlight w:val="none"/>
        </w:rPr>
        <w:t>9.6.3 承包人的水土保持措施计划，应满足技术标准和要求（合同技术条款）约定的要求。</w:t>
      </w:r>
      <w:bookmarkEnd w:id="462"/>
    </w:p>
    <w:p w14:paraId="6DAFE2CD">
      <w:pPr>
        <w:keepNext/>
        <w:keepLines/>
        <w:spacing w:before="260" w:after="260" w:line="416" w:lineRule="auto"/>
        <w:outlineLvl w:val="2"/>
        <w:rPr>
          <w:rFonts w:ascii="宋体" w:hAnsi="宋体"/>
          <w:b/>
          <w:bCs/>
          <w:color w:val="auto"/>
          <w:kern w:val="0"/>
          <w:sz w:val="32"/>
          <w:szCs w:val="32"/>
          <w:highlight w:val="none"/>
        </w:rPr>
      </w:pPr>
      <w:bookmarkStart w:id="463" w:name="_Toc115179861"/>
      <w:r>
        <w:rPr>
          <w:rFonts w:hint="eastAsia" w:ascii="宋体" w:hAnsi="宋体"/>
          <w:b/>
          <w:bCs/>
          <w:color w:val="auto"/>
          <w:kern w:val="0"/>
          <w:sz w:val="32"/>
          <w:szCs w:val="32"/>
          <w:highlight w:val="none"/>
        </w:rPr>
        <w:t>9.7文明工地</w:t>
      </w:r>
      <w:bookmarkEnd w:id="463"/>
    </w:p>
    <w:p w14:paraId="5ACD8D0B">
      <w:pPr>
        <w:spacing w:line="400" w:lineRule="exact"/>
        <w:ind w:right="248" w:firstLine="480"/>
        <w:rPr>
          <w:rFonts w:ascii="宋体" w:hAnsi="宋体"/>
          <w:color w:val="auto"/>
          <w:szCs w:val="21"/>
          <w:highlight w:val="none"/>
        </w:rPr>
      </w:pPr>
      <w:r>
        <w:rPr>
          <w:rFonts w:ascii="宋体" w:hAnsi="宋体"/>
          <w:color w:val="auto"/>
          <w:szCs w:val="21"/>
          <w:highlight w:val="none"/>
        </w:rPr>
        <w:t>9.7.1发包人</w:t>
      </w:r>
      <w:r>
        <w:rPr>
          <w:rFonts w:hint="eastAsia" w:ascii="宋体" w:hAnsi="宋体"/>
          <w:color w:val="auto"/>
          <w:szCs w:val="21"/>
          <w:highlight w:val="none"/>
        </w:rPr>
        <w:t>应按</w:t>
      </w:r>
      <w:r>
        <w:rPr>
          <w:rFonts w:ascii="宋体" w:hAnsi="宋体"/>
          <w:color w:val="auto"/>
          <w:szCs w:val="21"/>
          <w:highlight w:val="none"/>
        </w:rPr>
        <w:t>专用合同条款</w:t>
      </w:r>
      <w:r>
        <w:rPr>
          <w:rFonts w:hint="eastAsia" w:ascii="宋体" w:hAnsi="宋体"/>
          <w:color w:val="auto"/>
          <w:szCs w:val="21"/>
          <w:highlight w:val="none"/>
        </w:rPr>
        <w:t>的约定，负责建</w:t>
      </w:r>
      <w:r>
        <w:rPr>
          <w:rFonts w:ascii="宋体" w:hAnsi="宋体"/>
          <w:color w:val="auto"/>
          <w:szCs w:val="21"/>
          <w:highlight w:val="none"/>
        </w:rPr>
        <w:t>立创建文明建设工地的组织机构</w:t>
      </w:r>
      <w:r>
        <w:rPr>
          <w:rFonts w:hint="eastAsia" w:ascii="宋体" w:hAnsi="宋体"/>
          <w:color w:val="auto"/>
          <w:szCs w:val="21"/>
          <w:highlight w:val="none"/>
        </w:rPr>
        <w:t>，</w:t>
      </w:r>
      <w:r>
        <w:rPr>
          <w:rFonts w:ascii="宋体" w:hAnsi="宋体"/>
          <w:color w:val="auto"/>
          <w:szCs w:val="21"/>
          <w:highlight w:val="none"/>
        </w:rPr>
        <w:t>制定创建文明建设工地的规划和办法</w:t>
      </w:r>
      <w:r>
        <w:rPr>
          <w:rFonts w:hint="eastAsia" w:ascii="宋体" w:hAnsi="宋体"/>
          <w:color w:val="auto"/>
          <w:szCs w:val="21"/>
          <w:highlight w:val="none"/>
        </w:rPr>
        <w:t>。</w:t>
      </w:r>
      <w:r>
        <w:rPr>
          <w:rFonts w:ascii="宋体" w:hAnsi="宋体"/>
          <w:color w:val="auto"/>
          <w:szCs w:val="21"/>
          <w:highlight w:val="none"/>
        </w:rPr>
        <w:t xml:space="preserve"> </w:t>
      </w:r>
    </w:p>
    <w:p w14:paraId="5992590F">
      <w:pPr>
        <w:spacing w:line="400" w:lineRule="exact"/>
        <w:ind w:right="248" w:firstLine="480"/>
        <w:rPr>
          <w:rFonts w:ascii="宋体" w:hAnsi="宋体"/>
          <w:color w:val="auto"/>
          <w:szCs w:val="21"/>
          <w:highlight w:val="none"/>
        </w:rPr>
      </w:pPr>
      <w:r>
        <w:rPr>
          <w:rFonts w:ascii="宋体" w:hAnsi="宋体"/>
          <w:color w:val="auto"/>
          <w:szCs w:val="21"/>
          <w:highlight w:val="none"/>
        </w:rPr>
        <w:t>9.7.</w:t>
      </w:r>
      <w:r>
        <w:rPr>
          <w:rFonts w:hint="eastAsia" w:ascii="宋体" w:hAnsi="宋体"/>
          <w:color w:val="auto"/>
          <w:szCs w:val="21"/>
          <w:highlight w:val="none"/>
        </w:rPr>
        <w:t>2</w:t>
      </w:r>
      <w:r>
        <w:rPr>
          <w:rFonts w:ascii="宋体" w:hAnsi="宋体"/>
          <w:color w:val="auto"/>
          <w:szCs w:val="21"/>
          <w:highlight w:val="none"/>
        </w:rPr>
        <w:t>承包人</w:t>
      </w:r>
      <w:r>
        <w:rPr>
          <w:rFonts w:hint="eastAsia" w:ascii="宋体" w:hAnsi="宋体"/>
          <w:color w:val="auto"/>
          <w:szCs w:val="21"/>
          <w:highlight w:val="none"/>
        </w:rPr>
        <w:t>应按创建文明建设工地</w:t>
      </w:r>
      <w:r>
        <w:rPr>
          <w:rFonts w:ascii="宋体" w:hAnsi="宋体"/>
          <w:color w:val="auto"/>
          <w:szCs w:val="21"/>
          <w:highlight w:val="none"/>
        </w:rPr>
        <w:t>的规划和办法</w:t>
      </w:r>
      <w:r>
        <w:rPr>
          <w:rFonts w:hint="eastAsia" w:ascii="宋体" w:hAnsi="宋体"/>
          <w:color w:val="auto"/>
          <w:szCs w:val="21"/>
          <w:highlight w:val="none"/>
        </w:rPr>
        <w:t>，履行职责，承担相应责任</w:t>
      </w:r>
      <w:r>
        <w:rPr>
          <w:rFonts w:ascii="宋体" w:hAnsi="宋体"/>
          <w:color w:val="auto"/>
          <w:szCs w:val="21"/>
          <w:highlight w:val="none"/>
        </w:rPr>
        <w:t>。</w:t>
      </w:r>
      <w:r>
        <w:rPr>
          <w:rFonts w:hint="eastAsia" w:ascii="宋体" w:hAnsi="宋体"/>
          <w:color w:val="auto"/>
          <w:szCs w:val="21"/>
          <w:highlight w:val="none"/>
        </w:rPr>
        <w:t>所需费用应含在已标价工程量清单中。</w:t>
      </w:r>
    </w:p>
    <w:p w14:paraId="2EFB98EC">
      <w:pPr>
        <w:keepNext/>
        <w:keepLines/>
        <w:spacing w:before="260" w:after="260" w:line="416" w:lineRule="auto"/>
        <w:outlineLvl w:val="2"/>
        <w:rPr>
          <w:rFonts w:ascii="宋体" w:hAnsi="宋体"/>
          <w:b/>
          <w:bCs/>
          <w:color w:val="auto"/>
          <w:kern w:val="0"/>
          <w:sz w:val="32"/>
          <w:szCs w:val="32"/>
          <w:highlight w:val="none"/>
        </w:rPr>
      </w:pPr>
      <w:bookmarkStart w:id="464" w:name="_Toc115179862"/>
      <w:r>
        <w:rPr>
          <w:rFonts w:hint="eastAsia" w:ascii="宋体" w:hAnsi="宋体"/>
          <w:b/>
          <w:bCs/>
          <w:color w:val="auto"/>
          <w:kern w:val="0"/>
          <w:sz w:val="32"/>
          <w:szCs w:val="32"/>
          <w:highlight w:val="none"/>
        </w:rPr>
        <w:t>9.8防汛度汛</w:t>
      </w:r>
      <w:bookmarkEnd w:id="464"/>
    </w:p>
    <w:p w14:paraId="74B60C5A">
      <w:pPr>
        <w:spacing w:line="400" w:lineRule="exact"/>
        <w:ind w:right="248" w:firstLine="480"/>
        <w:rPr>
          <w:rFonts w:ascii="宋体" w:hAnsi="宋体"/>
          <w:color w:val="auto"/>
          <w:szCs w:val="21"/>
          <w:highlight w:val="none"/>
        </w:rPr>
      </w:pPr>
      <w:r>
        <w:rPr>
          <w:rFonts w:ascii="宋体" w:hAnsi="宋体"/>
          <w:color w:val="auto"/>
          <w:szCs w:val="21"/>
          <w:highlight w:val="none"/>
        </w:rPr>
        <w:t>9.8.</w:t>
      </w:r>
      <w:r>
        <w:rPr>
          <w:rFonts w:hint="eastAsia" w:ascii="宋体" w:hAnsi="宋体"/>
          <w:color w:val="auto"/>
          <w:szCs w:val="21"/>
          <w:highlight w:val="none"/>
        </w:rPr>
        <w:t>1发包人负责组织工程参建单位编制本工程的度汛方案和措施。</w:t>
      </w:r>
    </w:p>
    <w:p w14:paraId="55A17981">
      <w:pPr>
        <w:spacing w:line="400" w:lineRule="exact"/>
        <w:ind w:right="248" w:firstLine="480"/>
        <w:rPr>
          <w:rFonts w:ascii="宋体" w:hAnsi="宋体"/>
          <w:color w:val="auto"/>
          <w:szCs w:val="21"/>
          <w:highlight w:val="none"/>
        </w:rPr>
      </w:pPr>
      <w:r>
        <w:rPr>
          <w:rFonts w:ascii="宋体" w:hAnsi="宋体"/>
          <w:color w:val="auto"/>
          <w:szCs w:val="21"/>
          <w:highlight w:val="none"/>
        </w:rPr>
        <w:t>9.8.</w:t>
      </w:r>
      <w:r>
        <w:rPr>
          <w:rFonts w:hint="eastAsia" w:ascii="宋体" w:hAnsi="宋体"/>
          <w:color w:val="auto"/>
          <w:szCs w:val="21"/>
          <w:highlight w:val="none"/>
        </w:rPr>
        <w:t>2承包人应根据发包人编制的本工程度汛方案和措施，制定相应的度汛方案，报发包人批准后实施</w:t>
      </w:r>
      <w:r>
        <w:rPr>
          <w:rFonts w:ascii="宋体" w:hAnsi="宋体"/>
          <w:color w:val="auto"/>
          <w:szCs w:val="21"/>
          <w:highlight w:val="none"/>
        </w:rPr>
        <w:t>。</w:t>
      </w:r>
    </w:p>
    <w:p w14:paraId="466CD634">
      <w:pPr>
        <w:numPr>
          <w:ilvl w:val="0"/>
          <w:numId w:val="18"/>
        </w:numPr>
        <w:spacing w:before="260" w:after="260" w:line="400" w:lineRule="exact"/>
        <w:outlineLvl w:val="1"/>
        <w:rPr>
          <w:rFonts w:ascii="宋体" w:hAnsi="宋体" w:eastAsia="黑体"/>
          <w:color w:val="auto"/>
          <w:kern w:val="44"/>
          <w:sz w:val="27"/>
          <w:szCs w:val="27"/>
          <w:highlight w:val="none"/>
        </w:rPr>
      </w:pPr>
      <w:bookmarkStart w:id="465" w:name="_Toc115179863"/>
      <w:bookmarkStart w:id="466" w:name="_Toc222029511"/>
      <w:bookmarkStart w:id="467" w:name="_Toc221950840"/>
      <w:bookmarkStart w:id="468" w:name="_Toc222031013"/>
      <w:bookmarkStart w:id="469" w:name="_Toc25156"/>
      <w:bookmarkStart w:id="470" w:name="_Toc259524358"/>
      <w:bookmarkStart w:id="471" w:name="_Toc222032680"/>
      <w:bookmarkStart w:id="472" w:name="_Toc483383010"/>
      <w:bookmarkStart w:id="473" w:name="_Toc229305371"/>
      <w:bookmarkStart w:id="474" w:name="_Toc222033862"/>
      <w:r>
        <w:rPr>
          <w:rFonts w:ascii="宋体" w:hAnsi="宋体" w:eastAsia="黑体"/>
          <w:color w:val="auto"/>
          <w:kern w:val="44"/>
          <w:sz w:val="27"/>
          <w:szCs w:val="27"/>
          <w:highlight w:val="none"/>
        </w:rPr>
        <w:t xml:space="preserve">10. </w:t>
      </w:r>
      <w:r>
        <w:rPr>
          <w:rFonts w:hint="eastAsia" w:ascii="宋体" w:hAnsi="宋体" w:eastAsia="黑体"/>
          <w:color w:val="auto"/>
          <w:kern w:val="44"/>
          <w:sz w:val="27"/>
          <w:szCs w:val="27"/>
          <w:highlight w:val="none"/>
        </w:rPr>
        <w:t>进度计划</w:t>
      </w:r>
      <w:bookmarkEnd w:id="465"/>
      <w:bookmarkEnd w:id="466"/>
      <w:bookmarkEnd w:id="467"/>
      <w:bookmarkEnd w:id="468"/>
      <w:bookmarkEnd w:id="469"/>
      <w:bookmarkEnd w:id="470"/>
      <w:bookmarkEnd w:id="471"/>
      <w:bookmarkEnd w:id="472"/>
      <w:bookmarkEnd w:id="473"/>
      <w:bookmarkEnd w:id="474"/>
    </w:p>
    <w:p w14:paraId="5FBABE33">
      <w:pPr>
        <w:keepNext/>
        <w:keepLines/>
        <w:spacing w:before="260" w:after="260" w:line="416" w:lineRule="auto"/>
        <w:outlineLvl w:val="2"/>
        <w:rPr>
          <w:rFonts w:ascii="宋体" w:hAnsi="宋体"/>
          <w:b/>
          <w:bCs/>
          <w:color w:val="auto"/>
          <w:kern w:val="0"/>
          <w:sz w:val="32"/>
          <w:szCs w:val="32"/>
          <w:highlight w:val="none"/>
        </w:rPr>
      </w:pPr>
      <w:bookmarkStart w:id="475" w:name="_Toc115179864"/>
      <w:bookmarkStart w:id="476" w:name="_Toc221950843"/>
      <w:r>
        <w:rPr>
          <w:rFonts w:hint="eastAsia" w:ascii="宋体" w:hAnsi="宋体"/>
          <w:b/>
          <w:bCs/>
          <w:color w:val="auto"/>
          <w:kern w:val="0"/>
          <w:sz w:val="32"/>
          <w:szCs w:val="32"/>
          <w:highlight w:val="none"/>
        </w:rPr>
        <w:t>10.1合同进度计划</w:t>
      </w:r>
      <w:bookmarkEnd w:id="475"/>
    </w:p>
    <w:p w14:paraId="6E164118">
      <w:pPr>
        <w:spacing w:line="400" w:lineRule="exact"/>
        <w:ind w:right="248" w:firstLine="480"/>
        <w:rPr>
          <w:rFonts w:ascii="宋体" w:hAnsi="宋体"/>
          <w:color w:val="auto"/>
          <w:szCs w:val="21"/>
          <w:highlight w:val="none"/>
        </w:rPr>
      </w:pPr>
      <w:r>
        <w:rPr>
          <w:rFonts w:hint="eastAsia" w:ascii="宋体" w:hAnsi="宋体"/>
          <w:color w:val="auto"/>
          <w:szCs w:val="21"/>
          <w:highlight w:val="none"/>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部分工程进度计划，报监理人审批。</w:t>
      </w:r>
    </w:p>
    <w:bookmarkEnd w:id="476"/>
    <w:p w14:paraId="1F9F2ABB">
      <w:pPr>
        <w:keepNext/>
        <w:keepLines/>
        <w:spacing w:before="260" w:after="260" w:line="416" w:lineRule="auto"/>
        <w:outlineLvl w:val="2"/>
        <w:rPr>
          <w:rFonts w:ascii="宋体" w:hAnsi="宋体"/>
          <w:b/>
          <w:bCs/>
          <w:color w:val="auto"/>
          <w:kern w:val="0"/>
          <w:sz w:val="32"/>
          <w:szCs w:val="32"/>
          <w:highlight w:val="none"/>
        </w:rPr>
      </w:pPr>
      <w:bookmarkStart w:id="477" w:name="_Toc115179865"/>
      <w:bookmarkStart w:id="478" w:name="_Toc221950845"/>
      <w:r>
        <w:rPr>
          <w:rFonts w:hint="eastAsia" w:ascii="宋体" w:hAnsi="宋体"/>
          <w:b/>
          <w:bCs/>
          <w:color w:val="auto"/>
          <w:kern w:val="0"/>
          <w:sz w:val="32"/>
          <w:szCs w:val="32"/>
          <w:highlight w:val="none"/>
        </w:rPr>
        <w:t>10.2合同进度计划的修订</w:t>
      </w:r>
      <w:bookmarkEnd w:id="477"/>
    </w:p>
    <w:p w14:paraId="46CEC64B">
      <w:pPr>
        <w:spacing w:line="400" w:lineRule="exact"/>
        <w:ind w:right="248" w:firstLine="480"/>
        <w:rPr>
          <w:rFonts w:ascii="宋体" w:hAnsi="宋体"/>
          <w:color w:val="auto"/>
          <w:szCs w:val="21"/>
          <w:highlight w:val="none"/>
        </w:rPr>
      </w:pPr>
      <w:r>
        <w:rPr>
          <w:rFonts w:hint="eastAsia" w:ascii="宋体" w:hAnsi="宋体"/>
          <w:color w:val="auto"/>
          <w:szCs w:val="21"/>
          <w:highlight w:val="none"/>
        </w:rPr>
        <w:t>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14:paraId="2D894962">
      <w:pPr>
        <w:spacing w:line="400" w:lineRule="exact"/>
        <w:ind w:right="248" w:firstLine="480"/>
        <w:rPr>
          <w:rFonts w:ascii="宋体" w:hAnsi="宋体"/>
          <w:color w:val="auto"/>
          <w:szCs w:val="21"/>
          <w:highlight w:val="none"/>
        </w:rPr>
      </w:pPr>
      <w:r>
        <w:rPr>
          <w:rFonts w:hint="eastAsia" w:ascii="宋体" w:hAnsi="宋体"/>
          <w:color w:val="auto"/>
          <w:szCs w:val="21"/>
          <w:highlight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bookmarkEnd w:id="478"/>
    </w:p>
    <w:p w14:paraId="7BF192A8">
      <w:pPr>
        <w:keepNext/>
        <w:keepLines/>
        <w:spacing w:before="260" w:after="260" w:line="416" w:lineRule="auto"/>
        <w:outlineLvl w:val="2"/>
        <w:rPr>
          <w:rFonts w:ascii="宋体" w:hAnsi="宋体"/>
          <w:b/>
          <w:bCs/>
          <w:color w:val="auto"/>
          <w:kern w:val="0"/>
          <w:sz w:val="32"/>
          <w:szCs w:val="32"/>
          <w:highlight w:val="none"/>
        </w:rPr>
      </w:pPr>
      <w:bookmarkStart w:id="479" w:name="_Toc115179866"/>
      <w:bookmarkStart w:id="480" w:name="_Toc221950846"/>
      <w:r>
        <w:rPr>
          <w:rFonts w:hint="eastAsia" w:ascii="宋体" w:hAnsi="宋体"/>
          <w:b/>
          <w:bCs/>
          <w:color w:val="auto"/>
          <w:kern w:val="0"/>
          <w:sz w:val="32"/>
          <w:szCs w:val="32"/>
          <w:highlight w:val="none"/>
        </w:rPr>
        <w:t>10.3  单位工程进度计划</w:t>
      </w:r>
      <w:bookmarkEnd w:id="479"/>
      <w:bookmarkEnd w:id="480"/>
    </w:p>
    <w:p w14:paraId="5AE5ACE9">
      <w:pPr>
        <w:spacing w:line="400" w:lineRule="exact"/>
        <w:ind w:right="248" w:firstLine="480"/>
        <w:rPr>
          <w:rFonts w:ascii="宋体" w:hAnsi="宋体"/>
          <w:color w:val="auto"/>
          <w:szCs w:val="21"/>
          <w:highlight w:val="none"/>
        </w:rPr>
      </w:pPr>
      <w:bookmarkStart w:id="481" w:name="_Toc221950847"/>
      <w:r>
        <w:rPr>
          <w:rFonts w:hint="eastAsia" w:ascii="宋体" w:hAnsi="宋体"/>
          <w:color w:val="auto"/>
          <w:szCs w:val="21"/>
          <w:highlight w:val="none"/>
        </w:rPr>
        <w:t>监理人认为有必要时，承包人应按监理人指示的内容和期限，并根据合同进度计划的进度控制要求，编制单位工程进度计划，提交监理人审批。</w:t>
      </w:r>
      <w:bookmarkEnd w:id="481"/>
    </w:p>
    <w:p w14:paraId="0B2F86B8">
      <w:pPr>
        <w:keepNext/>
        <w:keepLines/>
        <w:spacing w:before="260" w:after="260" w:line="416" w:lineRule="auto"/>
        <w:outlineLvl w:val="2"/>
        <w:rPr>
          <w:rFonts w:ascii="宋体" w:hAnsi="宋体"/>
          <w:b/>
          <w:bCs/>
          <w:color w:val="auto"/>
          <w:kern w:val="0"/>
          <w:sz w:val="32"/>
          <w:szCs w:val="32"/>
          <w:highlight w:val="none"/>
        </w:rPr>
      </w:pPr>
      <w:bookmarkStart w:id="482" w:name="_Toc221950848"/>
      <w:bookmarkStart w:id="483" w:name="_Toc115179867"/>
      <w:r>
        <w:rPr>
          <w:rFonts w:hint="eastAsia" w:ascii="宋体" w:hAnsi="宋体"/>
          <w:b/>
          <w:bCs/>
          <w:color w:val="auto"/>
          <w:kern w:val="0"/>
          <w:sz w:val="32"/>
          <w:szCs w:val="32"/>
          <w:highlight w:val="none"/>
        </w:rPr>
        <w:t>10</w:t>
      </w:r>
      <w:r>
        <w:rPr>
          <w:rFonts w:ascii="宋体" w:hAnsi="宋体"/>
          <w:b/>
          <w:bCs/>
          <w:color w:val="auto"/>
          <w:kern w:val="0"/>
          <w:sz w:val="32"/>
          <w:szCs w:val="32"/>
          <w:highlight w:val="none"/>
        </w:rPr>
        <w:t>.</w:t>
      </w:r>
      <w:r>
        <w:rPr>
          <w:rFonts w:hint="eastAsia" w:ascii="宋体" w:hAnsi="宋体"/>
          <w:b/>
          <w:bCs/>
          <w:color w:val="auto"/>
          <w:kern w:val="0"/>
          <w:sz w:val="32"/>
          <w:szCs w:val="32"/>
          <w:highlight w:val="none"/>
        </w:rPr>
        <w:t>4</w:t>
      </w:r>
      <w:r>
        <w:rPr>
          <w:rFonts w:ascii="宋体" w:hAnsi="宋体"/>
          <w:b/>
          <w:bCs/>
          <w:color w:val="auto"/>
          <w:kern w:val="0"/>
          <w:sz w:val="32"/>
          <w:szCs w:val="32"/>
          <w:highlight w:val="none"/>
        </w:rPr>
        <w:t xml:space="preserve">  </w:t>
      </w:r>
      <w:r>
        <w:rPr>
          <w:rFonts w:hint="eastAsia" w:ascii="宋体" w:hAnsi="宋体"/>
          <w:b/>
          <w:bCs/>
          <w:color w:val="auto"/>
          <w:kern w:val="0"/>
          <w:sz w:val="32"/>
          <w:szCs w:val="32"/>
          <w:highlight w:val="none"/>
        </w:rPr>
        <w:t>提交资金流估算表</w:t>
      </w:r>
      <w:bookmarkEnd w:id="482"/>
      <w:bookmarkEnd w:id="483"/>
      <w:r>
        <w:rPr>
          <w:rFonts w:hint="eastAsia" w:ascii="宋体" w:hAnsi="宋体"/>
          <w:b/>
          <w:bCs/>
          <w:color w:val="auto"/>
          <w:kern w:val="0"/>
          <w:sz w:val="32"/>
          <w:szCs w:val="32"/>
          <w:highlight w:val="none"/>
        </w:rPr>
        <w:t xml:space="preserve">  </w:t>
      </w:r>
    </w:p>
    <w:p w14:paraId="07ABD775">
      <w:pPr>
        <w:spacing w:line="400" w:lineRule="exact"/>
        <w:ind w:firstLine="420" w:firstLineChars="200"/>
        <w:rPr>
          <w:rFonts w:ascii="宋体" w:hAnsi="宋体"/>
          <w:color w:val="auto"/>
          <w:szCs w:val="21"/>
          <w:highlight w:val="none"/>
        </w:rPr>
      </w:pPr>
      <w:bookmarkStart w:id="484" w:name="_Toc221950849"/>
      <w:r>
        <w:rPr>
          <w:rFonts w:hint="eastAsia" w:ascii="宋体" w:hAnsi="宋体"/>
          <w:color w:val="auto"/>
          <w:szCs w:val="21"/>
          <w:highlight w:val="none"/>
        </w:rPr>
        <w:t>承包人应在按第10.</w:t>
      </w:r>
      <w:r>
        <w:rPr>
          <w:rFonts w:ascii="宋体" w:hAnsi="宋体"/>
          <w:color w:val="auto"/>
          <w:szCs w:val="21"/>
          <w:highlight w:val="none"/>
        </w:rPr>
        <w:t>1</w:t>
      </w:r>
      <w:r>
        <w:rPr>
          <w:rFonts w:hint="eastAsia" w:ascii="宋体" w:hAnsi="宋体"/>
          <w:color w:val="auto"/>
          <w:szCs w:val="21"/>
          <w:highlight w:val="none"/>
        </w:rPr>
        <w:t>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bookmarkEnd w:id="484"/>
    </w:p>
    <w:p w14:paraId="56D17910">
      <w:pPr>
        <w:spacing w:line="400" w:lineRule="exact"/>
        <w:ind w:right="248"/>
        <w:rPr>
          <w:rFonts w:ascii="宋体" w:hAnsi="宋体"/>
          <w:color w:val="auto"/>
          <w:sz w:val="23"/>
          <w:szCs w:val="23"/>
          <w:highlight w:val="none"/>
        </w:rPr>
      </w:pPr>
      <w:r>
        <w:rPr>
          <w:rFonts w:hint="eastAsia" w:ascii="宋体" w:hAnsi="宋体"/>
          <w:b/>
          <w:color w:val="auto"/>
          <w:sz w:val="23"/>
          <w:szCs w:val="23"/>
          <w:highlight w:val="none"/>
        </w:rPr>
        <w:t xml:space="preserve">                       </w:t>
      </w:r>
      <w:bookmarkStart w:id="485" w:name="_Toc221950850"/>
      <w:r>
        <w:rPr>
          <w:rFonts w:hint="eastAsia" w:ascii="宋体" w:hAnsi="宋体"/>
          <w:b/>
          <w:color w:val="auto"/>
          <w:sz w:val="23"/>
          <w:szCs w:val="23"/>
          <w:highlight w:val="none"/>
        </w:rPr>
        <w:t>资金流估算表</w:t>
      </w:r>
      <w:r>
        <w:rPr>
          <w:rFonts w:ascii="宋体" w:hAnsi="宋体"/>
          <w:b/>
          <w:color w:val="auto"/>
          <w:sz w:val="23"/>
          <w:szCs w:val="23"/>
          <w:highlight w:val="none"/>
        </w:rPr>
        <w:t>(</w:t>
      </w:r>
      <w:r>
        <w:rPr>
          <w:rFonts w:hint="eastAsia" w:ascii="宋体" w:hAnsi="宋体"/>
          <w:color w:val="auto"/>
          <w:sz w:val="23"/>
          <w:szCs w:val="23"/>
          <w:highlight w:val="none"/>
        </w:rPr>
        <w:t>参考格式</w:t>
      </w:r>
      <w:r>
        <w:rPr>
          <w:rFonts w:ascii="宋体" w:hAnsi="宋体"/>
          <w:b/>
          <w:color w:val="auto"/>
          <w:sz w:val="23"/>
          <w:szCs w:val="23"/>
          <w:highlight w:val="none"/>
        </w:rPr>
        <w:t>)</w:t>
      </w:r>
      <w:r>
        <w:rPr>
          <w:rFonts w:hint="eastAsia" w:ascii="宋体" w:hAnsi="宋体"/>
          <w:b/>
          <w:color w:val="auto"/>
          <w:sz w:val="23"/>
          <w:szCs w:val="23"/>
          <w:highlight w:val="none"/>
        </w:rPr>
        <w:t xml:space="preserve">         </w:t>
      </w:r>
      <w:r>
        <w:rPr>
          <w:rFonts w:hint="eastAsia" w:ascii="宋体" w:hAnsi="宋体"/>
          <w:color w:val="auto"/>
          <w:sz w:val="23"/>
          <w:szCs w:val="23"/>
          <w:highlight w:val="none"/>
        </w:rPr>
        <w:t xml:space="preserve"> 金额单位</w:t>
      </w:r>
      <w:bookmarkEnd w:id="485"/>
      <w:r>
        <w:rPr>
          <w:rFonts w:hint="eastAsia" w:ascii="宋体" w:hAnsi="宋体"/>
          <w:color w:val="auto"/>
          <w:sz w:val="23"/>
          <w:szCs w:val="23"/>
          <w:highlight w:val="none"/>
        </w:rPr>
        <w:t xml:space="preserve">       </w:t>
      </w:r>
    </w:p>
    <w:tbl>
      <w:tblPr>
        <w:tblStyle w:val="4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4"/>
        <w:gridCol w:w="414"/>
        <w:gridCol w:w="960"/>
        <w:gridCol w:w="1155"/>
        <w:gridCol w:w="945"/>
        <w:gridCol w:w="1050"/>
        <w:gridCol w:w="945"/>
        <w:gridCol w:w="945"/>
        <w:gridCol w:w="1050"/>
        <w:gridCol w:w="1155"/>
      </w:tblGrid>
      <w:tr w14:paraId="27EBF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4" w:type="dxa"/>
            <w:noWrap w:val="0"/>
            <w:vAlign w:val="center"/>
          </w:tcPr>
          <w:p w14:paraId="6E9D25B2">
            <w:pPr>
              <w:spacing w:line="400" w:lineRule="exact"/>
              <w:ind w:right="248"/>
              <w:jc w:val="center"/>
              <w:rPr>
                <w:rFonts w:ascii="宋体" w:hAnsi="宋体"/>
                <w:color w:val="auto"/>
                <w:szCs w:val="21"/>
                <w:highlight w:val="none"/>
              </w:rPr>
            </w:pPr>
            <w:bookmarkStart w:id="486" w:name="_Toc221950851"/>
            <w:r>
              <w:rPr>
                <w:rFonts w:hint="eastAsia" w:ascii="宋体" w:hAnsi="宋体"/>
                <w:color w:val="auto"/>
                <w:szCs w:val="21"/>
                <w:highlight w:val="none"/>
              </w:rPr>
              <w:t>年</w:t>
            </w:r>
            <w:bookmarkEnd w:id="486"/>
          </w:p>
        </w:tc>
        <w:tc>
          <w:tcPr>
            <w:tcW w:w="414" w:type="dxa"/>
            <w:noWrap w:val="0"/>
            <w:vAlign w:val="center"/>
          </w:tcPr>
          <w:p w14:paraId="6BD1899A">
            <w:pPr>
              <w:spacing w:line="400" w:lineRule="exact"/>
              <w:ind w:right="248"/>
              <w:jc w:val="center"/>
              <w:rPr>
                <w:rFonts w:ascii="宋体" w:hAnsi="宋体"/>
                <w:color w:val="auto"/>
                <w:szCs w:val="21"/>
                <w:highlight w:val="none"/>
              </w:rPr>
            </w:pPr>
            <w:bookmarkStart w:id="487" w:name="_Toc221950852"/>
            <w:r>
              <w:rPr>
                <w:rFonts w:hint="eastAsia" w:ascii="宋体" w:hAnsi="宋体"/>
                <w:color w:val="auto"/>
                <w:szCs w:val="21"/>
                <w:highlight w:val="none"/>
              </w:rPr>
              <w:t>月</w:t>
            </w:r>
            <w:bookmarkEnd w:id="487"/>
          </w:p>
        </w:tc>
        <w:tc>
          <w:tcPr>
            <w:tcW w:w="960" w:type="dxa"/>
            <w:noWrap w:val="0"/>
            <w:vAlign w:val="center"/>
          </w:tcPr>
          <w:p w14:paraId="00210311">
            <w:pPr>
              <w:spacing w:line="400" w:lineRule="exact"/>
              <w:ind w:right="7"/>
              <w:jc w:val="center"/>
              <w:rPr>
                <w:rFonts w:ascii="宋体" w:hAnsi="宋体"/>
                <w:color w:val="auto"/>
                <w:szCs w:val="21"/>
                <w:highlight w:val="none"/>
              </w:rPr>
            </w:pPr>
            <w:bookmarkStart w:id="488" w:name="_Toc221950853"/>
            <w:r>
              <w:rPr>
                <w:rFonts w:hint="eastAsia" w:ascii="宋体" w:hAnsi="宋体"/>
                <w:color w:val="auto"/>
                <w:szCs w:val="21"/>
                <w:highlight w:val="none"/>
              </w:rPr>
              <w:t>工程</w:t>
            </w:r>
            <w:bookmarkEnd w:id="488"/>
          </w:p>
          <w:p w14:paraId="00763428">
            <w:pPr>
              <w:spacing w:line="400" w:lineRule="exact"/>
              <w:ind w:right="7"/>
              <w:jc w:val="center"/>
              <w:rPr>
                <w:rFonts w:ascii="宋体" w:hAnsi="宋体"/>
                <w:color w:val="auto"/>
                <w:szCs w:val="21"/>
                <w:highlight w:val="none"/>
              </w:rPr>
            </w:pPr>
            <w:bookmarkStart w:id="489" w:name="_Toc221950854"/>
            <w:r>
              <w:rPr>
                <w:rFonts w:hint="eastAsia" w:ascii="宋体" w:hAnsi="宋体"/>
                <w:color w:val="auto"/>
                <w:szCs w:val="21"/>
                <w:highlight w:val="none"/>
              </w:rPr>
              <w:t>预付款</w:t>
            </w:r>
            <w:bookmarkEnd w:id="489"/>
          </w:p>
        </w:tc>
        <w:tc>
          <w:tcPr>
            <w:tcW w:w="1155" w:type="dxa"/>
            <w:noWrap w:val="0"/>
            <w:vAlign w:val="center"/>
          </w:tcPr>
          <w:p w14:paraId="449C89A5">
            <w:pPr>
              <w:spacing w:line="400" w:lineRule="exact"/>
              <w:jc w:val="center"/>
              <w:rPr>
                <w:rFonts w:ascii="宋体" w:hAnsi="宋体"/>
                <w:color w:val="auto"/>
                <w:szCs w:val="21"/>
                <w:highlight w:val="none"/>
              </w:rPr>
            </w:pPr>
            <w:bookmarkStart w:id="490" w:name="_Toc221950855"/>
            <w:r>
              <w:rPr>
                <w:rFonts w:hint="eastAsia" w:ascii="宋体" w:hAnsi="宋体"/>
                <w:color w:val="auto"/>
                <w:szCs w:val="21"/>
                <w:highlight w:val="none"/>
              </w:rPr>
              <w:t>完成工作量付款</w:t>
            </w:r>
            <w:bookmarkEnd w:id="490"/>
          </w:p>
        </w:tc>
        <w:tc>
          <w:tcPr>
            <w:tcW w:w="945" w:type="dxa"/>
            <w:noWrap w:val="0"/>
            <w:vAlign w:val="center"/>
          </w:tcPr>
          <w:p w14:paraId="6BA16786">
            <w:pPr>
              <w:spacing w:line="400" w:lineRule="exact"/>
              <w:jc w:val="center"/>
              <w:rPr>
                <w:rFonts w:ascii="宋体" w:hAnsi="宋体"/>
                <w:color w:val="auto"/>
                <w:szCs w:val="21"/>
                <w:highlight w:val="none"/>
              </w:rPr>
            </w:pPr>
            <w:bookmarkStart w:id="491" w:name="_Toc221950856"/>
            <w:r>
              <w:rPr>
                <w:rFonts w:hint="eastAsia" w:ascii="宋体" w:hAnsi="宋体"/>
                <w:color w:val="auto"/>
                <w:szCs w:val="21"/>
                <w:highlight w:val="none"/>
              </w:rPr>
              <w:t>保留金</w:t>
            </w:r>
            <w:bookmarkEnd w:id="491"/>
          </w:p>
          <w:p w14:paraId="709FE26D">
            <w:pPr>
              <w:spacing w:line="400" w:lineRule="exact"/>
              <w:jc w:val="center"/>
              <w:rPr>
                <w:rFonts w:ascii="宋体" w:hAnsi="宋体"/>
                <w:color w:val="auto"/>
                <w:szCs w:val="21"/>
                <w:highlight w:val="none"/>
              </w:rPr>
            </w:pPr>
            <w:bookmarkStart w:id="492" w:name="_Toc221950857"/>
            <w:r>
              <w:rPr>
                <w:rFonts w:hint="eastAsia" w:ascii="宋体" w:hAnsi="宋体"/>
                <w:color w:val="auto"/>
                <w:szCs w:val="21"/>
                <w:highlight w:val="none"/>
              </w:rPr>
              <w:t>扣留</w:t>
            </w:r>
            <w:bookmarkEnd w:id="492"/>
          </w:p>
        </w:tc>
        <w:tc>
          <w:tcPr>
            <w:tcW w:w="1050" w:type="dxa"/>
            <w:noWrap w:val="0"/>
            <w:vAlign w:val="center"/>
          </w:tcPr>
          <w:p w14:paraId="4F6045F9">
            <w:pPr>
              <w:spacing w:line="400" w:lineRule="exact"/>
              <w:ind w:right="-21"/>
              <w:jc w:val="center"/>
              <w:rPr>
                <w:rFonts w:ascii="宋体" w:hAnsi="宋体"/>
                <w:color w:val="auto"/>
                <w:szCs w:val="21"/>
                <w:highlight w:val="none"/>
              </w:rPr>
            </w:pPr>
            <w:bookmarkStart w:id="493" w:name="_Toc221950858"/>
            <w:r>
              <w:rPr>
                <w:rFonts w:hint="eastAsia" w:ascii="宋体" w:hAnsi="宋体"/>
                <w:color w:val="auto"/>
                <w:szCs w:val="21"/>
                <w:highlight w:val="none"/>
              </w:rPr>
              <w:t>材料款</w:t>
            </w:r>
            <w:bookmarkEnd w:id="493"/>
          </w:p>
          <w:p w14:paraId="2D675799">
            <w:pPr>
              <w:spacing w:line="400" w:lineRule="exact"/>
              <w:ind w:right="-21"/>
              <w:jc w:val="center"/>
              <w:rPr>
                <w:rFonts w:ascii="宋体" w:hAnsi="宋体"/>
                <w:color w:val="auto"/>
                <w:szCs w:val="21"/>
                <w:highlight w:val="none"/>
              </w:rPr>
            </w:pPr>
            <w:bookmarkStart w:id="494" w:name="_Toc221950859"/>
            <w:r>
              <w:rPr>
                <w:rFonts w:hint="eastAsia" w:ascii="宋体" w:hAnsi="宋体"/>
                <w:color w:val="auto"/>
                <w:szCs w:val="21"/>
                <w:highlight w:val="none"/>
              </w:rPr>
              <w:t>扣除</w:t>
            </w:r>
            <w:bookmarkEnd w:id="494"/>
          </w:p>
        </w:tc>
        <w:tc>
          <w:tcPr>
            <w:tcW w:w="945" w:type="dxa"/>
            <w:noWrap w:val="0"/>
            <w:vAlign w:val="center"/>
          </w:tcPr>
          <w:p w14:paraId="1628143E">
            <w:pPr>
              <w:spacing w:line="400" w:lineRule="exact"/>
              <w:ind w:right="-21"/>
              <w:jc w:val="center"/>
              <w:rPr>
                <w:rFonts w:ascii="宋体" w:hAnsi="宋体"/>
                <w:color w:val="auto"/>
                <w:szCs w:val="21"/>
                <w:highlight w:val="none"/>
              </w:rPr>
            </w:pPr>
            <w:bookmarkStart w:id="495" w:name="_Toc221950860"/>
            <w:r>
              <w:rPr>
                <w:rFonts w:hint="eastAsia" w:ascii="宋体" w:hAnsi="宋体"/>
                <w:color w:val="auto"/>
                <w:szCs w:val="21"/>
                <w:highlight w:val="none"/>
              </w:rPr>
              <w:t>预付款</w:t>
            </w:r>
            <w:bookmarkEnd w:id="495"/>
          </w:p>
          <w:p w14:paraId="353FEBF3">
            <w:pPr>
              <w:spacing w:line="400" w:lineRule="exact"/>
              <w:jc w:val="center"/>
              <w:rPr>
                <w:rFonts w:ascii="宋体" w:hAnsi="宋体"/>
                <w:color w:val="auto"/>
                <w:szCs w:val="21"/>
                <w:highlight w:val="none"/>
              </w:rPr>
            </w:pPr>
            <w:bookmarkStart w:id="496" w:name="_Toc221950861"/>
            <w:r>
              <w:rPr>
                <w:rFonts w:hint="eastAsia" w:ascii="宋体" w:hAnsi="宋体"/>
                <w:color w:val="auto"/>
                <w:szCs w:val="21"/>
                <w:highlight w:val="none"/>
              </w:rPr>
              <w:t>扣还</w:t>
            </w:r>
            <w:bookmarkEnd w:id="496"/>
          </w:p>
        </w:tc>
        <w:tc>
          <w:tcPr>
            <w:tcW w:w="945" w:type="dxa"/>
            <w:noWrap w:val="0"/>
            <w:vAlign w:val="center"/>
          </w:tcPr>
          <w:p w14:paraId="5DB878AD">
            <w:pPr>
              <w:spacing w:line="400" w:lineRule="exact"/>
              <w:jc w:val="center"/>
              <w:rPr>
                <w:rFonts w:ascii="宋体" w:hAnsi="宋体"/>
                <w:color w:val="auto"/>
                <w:szCs w:val="21"/>
                <w:highlight w:val="none"/>
              </w:rPr>
            </w:pPr>
            <w:bookmarkStart w:id="497" w:name="_Toc221950862"/>
            <w:r>
              <w:rPr>
                <w:rFonts w:hint="eastAsia" w:ascii="宋体" w:hAnsi="宋体"/>
                <w:color w:val="auto"/>
                <w:szCs w:val="21"/>
                <w:highlight w:val="none"/>
              </w:rPr>
              <w:t>其他</w:t>
            </w:r>
            <w:bookmarkEnd w:id="497"/>
          </w:p>
        </w:tc>
        <w:tc>
          <w:tcPr>
            <w:tcW w:w="1050" w:type="dxa"/>
            <w:noWrap w:val="0"/>
            <w:vAlign w:val="center"/>
          </w:tcPr>
          <w:p w14:paraId="397C0E84">
            <w:pPr>
              <w:spacing w:line="400" w:lineRule="exact"/>
              <w:jc w:val="center"/>
              <w:rPr>
                <w:rFonts w:ascii="宋体" w:hAnsi="宋体"/>
                <w:color w:val="auto"/>
                <w:szCs w:val="21"/>
                <w:highlight w:val="none"/>
              </w:rPr>
            </w:pPr>
            <w:bookmarkStart w:id="498" w:name="_Toc221950863"/>
            <w:r>
              <w:rPr>
                <w:rFonts w:hint="eastAsia" w:ascii="宋体" w:hAnsi="宋体"/>
                <w:color w:val="auto"/>
                <w:szCs w:val="21"/>
                <w:highlight w:val="none"/>
              </w:rPr>
              <w:t>应收款</w:t>
            </w:r>
            <w:bookmarkEnd w:id="498"/>
          </w:p>
        </w:tc>
        <w:tc>
          <w:tcPr>
            <w:tcW w:w="1155" w:type="dxa"/>
            <w:noWrap w:val="0"/>
            <w:vAlign w:val="center"/>
          </w:tcPr>
          <w:p w14:paraId="790EE99A">
            <w:pPr>
              <w:spacing w:line="400" w:lineRule="exact"/>
              <w:jc w:val="center"/>
              <w:rPr>
                <w:rFonts w:ascii="宋体" w:hAnsi="宋体"/>
                <w:color w:val="auto"/>
                <w:szCs w:val="21"/>
                <w:highlight w:val="none"/>
              </w:rPr>
            </w:pPr>
            <w:bookmarkStart w:id="499" w:name="_Toc221950864"/>
            <w:r>
              <w:rPr>
                <w:rFonts w:hint="eastAsia" w:ascii="宋体" w:hAnsi="宋体"/>
                <w:color w:val="auto"/>
                <w:szCs w:val="21"/>
                <w:highlight w:val="none"/>
              </w:rPr>
              <w:t>累计</w:t>
            </w:r>
            <w:bookmarkEnd w:id="499"/>
          </w:p>
          <w:p w14:paraId="086A1343">
            <w:pPr>
              <w:spacing w:line="400" w:lineRule="exact"/>
              <w:jc w:val="center"/>
              <w:rPr>
                <w:rFonts w:ascii="宋体" w:hAnsi="宋体"/>
                <w:color w:val="auto"/>
                <w:szCs w:val="21"/>
                <w:highlight w:val="none"/>
              </w:rPr>
            </w:pPr>
            <w:bookmarkStart w:id="500" w:name="_Toc221950865"/>
            <w:r>
              <w:rPr>
                <w:rFonts w:hint="eastAsia" w:ascii="宋体" w:hAnsi="宋体"/>
                <w:color w:val="auto"/>
                <w:szCs w:val="21"/>
                <w:highlight w:val="none"/>
              </w:rPr>
              <w:t>应收款</w:t>
            </w:r>
            <w:bookmarkEnd w:id="500"/>
          </w:p>
        </w:tc>
      </w:tr>
      <w:tr w14:paraId="095B51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4" w:type="dxa"/>
            <w:noWrap w:val="0"/>
            <w:vAlign w:val="center"/>
          </w:tcPr>
          <w:p w14:paraId="1B3A9B8E">
            <w:pPr>
              <w:spacing w:line="400" w:lineRule="exact"/>
              <w:ind w:right="248"/>
              <w:jc w:val="center"/>
              <w:rPr>
                <w:rFonts w:ascii="宋体" w:hAnsi="宋体"/>
                <w:color w:val="auto"/>
                <w:szCs w:val="21"/>
                <w:highlight w:val="none"/>
              </w:rPr>
            </w:pPr>
          </w:p>
        </w:tc>
        <w:tc>
          <w:tcPr>
            <w:tcW w:w="414" w:type="dxa"/>
            <w:noWrap w:val="0"/>
            <w:vAlign w:val="center"/>
          </w:tcPr>
          <w:p w14:paraId="20B9909B">
            <w:pPr>
              <w:spacing w:line="400" w:lineRule="exact"/>
              <w:ind w:right="248"/>
              <w:jc w:val="center"/>
              <w:rPr>
                <w:rFonts w:ascii="宋体" w:hAnsi="宋体"/>
                <w:color w:val="auto"/>
                <w:szCs w:val="21"/>
                <w:highlight w:val="none"/>
              </w:rPr>
            </w:pPr>
          </w:p>
        </w:tc>
        <w:tc>
          <w:tcPr>
            <w:tcW w:w="960" w:type="dxa"/>
            <w:noWrap w:val="0"/>
            <w:vAlign w:val="center"/>
          </w:tcPr>
          <w:p w14:paraId="461B6683">
            <w:pPr>
              <w:spacing w:line="400" w:lineRule="exact"/>
              <w:ind w:right="248"/>
              <w:jc w:val="center"/>
              <w:rPr>
                <w:rFonts w:ascii="宋体" w:hAnsi="宋体"/>
                <w:color w:val="auto"/>
                <w:szCs w:val="21"/>
                <w:highlight w:val="none"/>
              </w:rPr>
            </w:pPr>
          </w:p>
        </w:tc>
        <w:tc>
          <w:tcPr>
            <w:tcW w:w="1155" w:type="dxa"/>
            <w:noWrap w:val="0"/>
            <w:vAlign w:val="center"/>
          </w:tcPr>
          <w:p w14:paraId="3670C24C">
            <w:pPr>
              <w:spacing w:line="400" w:lineRule="exact"/>
              <w:ind w:right="248"/>
              <w:jc w:val="center"/>
              <w:rPr>
                <w:rFonts w:ascii="宋体" w:hAnsi="宋体"/>
                <w:color w:val="auto"/>
                <w:szCs w:val="21"/>
                <w:highlight w:val="none"/>
              </w:rPr>
            </w:pPr>
          </w:p>
        </w:tc>
        <w:tc>
          <w:tcPr>
            <w:tcW w:w="945" w:type="dxa"/>
            <w:noWrap w:val="0"/>
            <w:vAlign w:val="center"/>
          </w:tcPr>
          <w:p w14:paraId="684D20B6">
            <w:pPr>
              <w:spacing w:line="400" w:lineRule="exact"/>
              <w:ind w:right="248"/>
              <w:jc w:val="center"/>
              <w:rPr>
                <w:rFonts w:ascii="宋体" w:hAnsi="宋体"/>
                <w:color w:val="auto"/>
                <w:szCs w:val="21"/>
                <w:highlight w:val="none"/>
              </w:rPr>
            </w:pPr>
          </w:p>
        </w:tc>
        <w:tc>
          <w:tcPr>
            <w:tcW w:w="1050" w:type="dxa"/>
            <w:noWrap w:val="0"/>
            <w:vAlign w:val="center"/>
          </w:tcPr>
          <w:p w14:paraId="4836A832">
            <w:pPr>
              <w:spacing w:line="400" w:lineRule="exact"/>
              <w:ind w:right="248"/>
              <w:jc w:val="center"/>
              <w:rPr>
                <w:rFonts w:ascii="宋体" w:hAnsi="宋体"/>
                <w:color w:val="auto"/>
                <w:szCs w:val="21"/>
                <w:highlight w:val="none"/>
              </w:rPr>
            </w:pPr>
          </w:p>
        </w:tc>
        <w:tc>
          <w:tcPr>
            <w:tcW w:w="945" w:type="dxa"/>
            <w:noWrap w:val="0"/>
            <w:vAlign w:val="center"/>
          </w:tcPr>
          <w:p w14:paraId="6D5A619E">
            <w:pPr>
              <w:spacing w:line="400" w:lineRule="exact"/>
              <w:ind w:right="248"/>
              <w:jc w:val="center"/>
              <w:rPr>
                <w:rFonts w:ascii="宋体" w:hAnsi="宋体"/>
                <w:color w:val="auto"/>
                <w:szCs w:val="21"/>
                <w:highlight w:val="none"/>
              </w:rPr>
            </w:pPr>
          </w:p>
        </w:tc>
        <w:tc>
          <w:tcPr>
            <w:tcW w:w="945" w:type="dxa"/>
            <w:noWrap w:val="0"/>
            <w:vAlign w:val="top"/>
          </w:tcPr>
          <w:p w14:paraId="44144911">
            <w:pPr>
              <w:spacing w:line="400" w:lineRule="exact"/>
              <w:ind w:right="248"/>
              <w:jc w:val="center"/>
              <w:rPr>
                <w:rFonts w:ascii="宋体" w:hAnsi="宋体"/>
                <w:color w:val="auto"/>
                <w:szCs w:val="21"/>
                <w:highlight w:val="none"/>
              </w:rPr>
            </w:pPr>
          </w:p>
        </w:tc>
        <w:tc>
          <w:tcPr>
            <w:tcW w:w="1050" w:type="dxa"/>
            <w:noWrap w:val="0"/>
            <w:vAlign w:val="top"/>
          </w:tcPr>
          <w:p w14:paraId="20C9270B">
            <w:pPr>
              <w:spacing w:line="400" w:lineRule="exact"/>
              <w:ind w:right="248"/>
              <w:jc w:val="center"/>
              <w:rPr>
                <w:rFonts w:ascii="宋体" w:hAnsi="宋体"/>
                <w:color w:val="auto"/>
                <w:szCs w:val="21"/>
                <w:highlight w:val="none"/>
              </w:rPr>
            </w:pPr>
          </w:p>
        </w:tc>
        <w:tc>
          <w:tcPr>
            <w:tcW w:w="1155" w:type="dxa"/>
            <w:noWrap w:val="0"/>
            <w:vAlign w:val="center"/>
          </w:tcPr>
          <w:p w14:paraId="0C2DF94E">
            <w:pPr>
              <w:spacing w:line="400" w:lineRule="exact"/>
              <w:ind w:right="248"/>
              <w:jc w:val="center"/>
              <w:rPr>
                <w:rFonts w:ascii="宋体" w:hAnsi="宋体"/>
                <w:color w:val="auto"/>
                <w:szCs w:val="21"/>
                <w:highlight w:val="none"/>
              </w:rPr>
            </w:pPr>
          </w:p>
        </w:tc>
      </w:tr>
      <w:tr w14:paraId="6AE11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4" w:type="dxa"/>
            <w:noWrap w:val="0"/>
            <w:vAlign w:val="center"/>
          </w:tcPr>
          <w:p w14:paraId="277EDFB9">
            <w:pPr>
              <w:spacing w:line="400" w:lineRule="exact"/>
              <w:ind w:right="248"/>
              <w:jc w:val="center"/>
              <w:rPr>
                <w:rFonts w:ascii="宋体" w:hAnsi="宋体"/>
                <w:color w:val="auto"/>
                <w:szCs w:val="21"/>
                <w:highlight w:val="none"/>
              </w:rPr>
            </w:pPr>
          </w:p>
        </w:tc>
        <w:tc>
          <w:tcPr>
            <w:tcW w:w="414" w:type="dxa"/>
            <w:noWrap w:val="0"/>
            <w:vAlign w:val="center"/>
          </w:tcPr>
          <w:p w14:paraId="05BC47F6">
            <w:pPr>
              <w:spacing w:line="400" w:lineRule="exact"/>
              <w:ind w:right="248"/>
              <w:jc w:val="center"/>
              <w:rPr>
                <w:rFonts w:ascii="宋体" w:hAnsi="宋体"/>
                <w:color w:val="auto"/>
                <w:szCs w:val="21"/>
                <w:highlight w:val="none"/>
              </w:rPr>
            </w:pPr>
          </w:p>
        </w:tc>
        <w:tc>
          <w:tcPr>
            <w:tcW w:w="960" w:type="dxa"/>
            <w:noWrap w:val="0"/>
            <w:vAlign w:val="center"/>
          </w:tcPr>
          <w:p w14:paraId="5AC0E79D">
            <w:pPr>
              <w:spacing w:line="400" w:lineRule="exact"/>
              <w:ind w:right="248"/>
              <w:jc w:val="center"/>
              <w:rPr>
                <w:rFonts w:ascii="宋体" w:hAnsi="宋体"/>
                <w:color w:val="auto"/>
                <w:szCs w:val="21"/>
                <w:highlight w:val="none"/>
              </w:rPr>
            </w:pPr>
          </w:p>
        </w:tc>
        <w:tc>
          <w:tcPr>
            <w:tcW w:w="1155" w:type="dxa"/>
            <w:noWrap w:val="0"/>
            <w:vAlign w:val="center"/>
          </w:tcPr>
          <w:p w14:paraId="32B4B125">
            <w:pPr>
              <w:spacing w:line="400" w:lineRule="exact"/>
              <w:ind w:right="248"/>
              <w:jc w:val="center"/>
              <w:rPr>
                <w:rFonts w:ascii="宋体" w:hAnsi="宋体"/>
                <w:color w:val="auto"/>
                <w:szCs w:val="21"/>
                <w:highlight w:val="none"/>
              </w:rPr>
            </w:pPr>
          </w:p>
        </w:tc>
        <w:tc>
          <w:tcPr>
            <w:tcW w:w="945" w:type="dxa"/>
            <w:noWrap w:val="0"/>
            <w:vAlign w:val="center"/>
          </w:tcPr>
          <w:p w14:paraId="7A1CEF4B">
            <w:pPr>
              <w:spacing w:line="400" w:lineRule="exact"/>
              <w:ind w:right="248"/>
              <w:jc w:val="center"/>
              <w:rPr>
                <w:rFonts w:ascii="宋体" w:hAnsi="宋体"/>
                <w:color w:val="auto"/>
                <w:szCs w:val="21"/>
                <w:highlight w:val="none"/>
              </w:rPr>
            </w:pPr>
          </w:p>
        </w:tc>
        <w:tc>
          <w:tcPr>
            <w:tcW w:w="1050" w:type="dxa"/>
            <w:noWrap w:val="0"/>
            <w:vAlign w:val="center"/>
          </w:tcPr>
          <w:p w14:paraId="107F2B66">
            <w:pPr>
              <w:spacing w:line="400" w:lineRule="exact"/>
              <w:ind w:right="248"/>
              <w:jc w:val="center"/>
              <w:rPr>
                <w:rFonts w:ascii="宋体" w:hAnsi="宋体"/>
                <w:color w:val="auto"/>
                <w:szCs w:val="21"/>
                <w:highlight w:val="none"/>
              </w:rPr>
            </w:pPr>
          </w:p>
        </w:tc>
        <w:tc>
          <w:tcPr>
            <w:tcW w:w="945" w:type="dxa"/>
            <w:noWrap w:val="0"/>
            <w:vAlign w:val="center"/>
          </w:tcPr>
          <w:p w14:paraId="62128962">
            <w:pPr>
              <w:spacing w:line="400" w:lineRule="exact"/>
              <w:ind w:right="248"/>
              <w:jc w:val="center"/>
              <w:rPr>
                <w:rFonts w:ascii="宋体" w:hAnsi="宋体"/>
                <w:color w:val="auto"/>
                <w:szCs w:val="21"/>
                <w:highlight w:val="none"/>
              </w:rPr>
            </w:pPr>
          </w:p>
        </w:tc>
        <w:tc>
          <w:tcPr>
            <w:tcW w:w="945" w:type="dxa"/>
            <w:noWrap w:val="0"/>
            <w:vAlign w:val="top"/>
          </w:tcPr>
          <w:p w14:paraId="44E3D6F0">
            <w:pPr>
              <w:spacing w:line="400" w:lineRule="exact"/>
              <w:ind w:right="248"/>
              <w:jc w:val="center"/>
              <w:rPr>
                <w:rFonts w:ascii="宋体" w:hAnsi="宋体"/>
                <w:color w:val="auto"/>
                <w:szCs w:val="21"/>
                <w:highlight w:val="none"/>
              </w:rPr>
            </w:pPr>
          </w:p>
        </w:tc>
        <w:tc>
          <w:tcPr>
            <w:tcW w:w="1050" w:type="dxa"/>
            <w:noWrap w:val="0"/>
            <w:vAlign w:val="top"/>
          </w:tcPr>
          <w:p w14:paraId="4DAEC8E0">
            <w:pPr>
              <w:spacing w:line="400" w:lineRule="exact"/>
              <w:ind w:right="248"/>
              <w:jc w:val="center"/>
              <w:rPr>
                <w:rFonts w:ascii="宋体" w:hAnsi="宋体"/>
                <w:color w:val="auto"/>
                <w:szCs w:val="21"/>
                <w:highlight w:val="none"/>
              </w:rPr>
            </w:pPr>
          </w:p>
        </w:tc>
        <w:tc>
          <w:tcPr>
            <w:tcW w:w="1155" w:type="dxa"/>
            <w:noWrap w:val="0"/>
            <w:vAlign w:val="center"/>
          </w:tcPr>
          <w:p w14:paraId="15DCAC45">
            <w:pPr>
              <w:spacing w:line="400" w:lineRule="exact"/>
              <w:ind w:right="248"/>
              <w:jc w:val="center"/>
              <w:rPr>
                <w:rFonts w:ascii="宋体" w:hAnsi="宋体"/>
                <w:color w:val="auto"/>
                <w:szCs w:val="21"/>
                <w:highlight w:val="none"/>
              </w:rPr>
            </w:pPr>
          </w:p>
        </w:tc>
      </w:tr>
    </w:tbl>
    <w:p w14:paraId="2147E415">
      <w:pPr>
        <w:numPr>
          <w:ilvl w:val="0"/>
          <w:numId w:val="18"/>
        </w:numPr>
        <w:spacing w:before="260" w:after="260" w:line="400" w:lineRule="exact"/>
        <w:outlineLvl w:val="1"/>
        <w:rPr>
          <w:rFonts w:ascii="宋体" w:hAnsi="宋体" w:eastAsia="黑体"/>
          <w:color w:val="auto"/>
          <w:kern w:val="44"/>
          <w:sz w:val="27"/>
          <w:szCs w:val="27"/>
          <w:highlight w:val="none"/>
        </w:rPr>
      </w:pPr>
      <w:bookmarkStart w:id="501" w:name="_Toc11442"/>
      <w:bookmarkStart w:id="502" w:name="_Toc221950866"/>
      <w:bookmarkStart w:id="503" w:name="_Toc222031014"/>
      <w:bookmarkStart w:id="504" w:name="_Toc115179868"/>
      <w:bookmarkStart w:id="505" w:name="_Toc483383011"/>
      <w:bookmarkStart w:id="506" w:name="_Toc259524359"/>
      <w:bookmarkStart w:id="507" w:name="_Toc229305372"/>
      <w:bookmarkStart w:id="508" w:name="_Toc222032681"/>
      <w:bookmarkStart w:id="509" w:name="_Toc222029512"/>
      <w:bookmarkStart w:id="510" w:name="_Toc222033863"/>
      <w:r>
        <w:rPr>
          <w:rFonts w:ascii="宋体" w:hAnsi="宋体" w:eastAsia="黑体"/>
          <w:color w:val="auto"/>
          <w:kern w:val="44"/>
          <w:sz w:val="27"/>
          <w:szCs w:val="27"/>
          <w:highlight w:val="none"/>
        </w:rPr>
        <w:t xml:space="preserve">11. </w:t>
      </w:r>
      <w:r>
        <w:rPr>
          <w:rFonts w:hint="eastAsia" w:ascii="宋体" w:hAnsi="宋体" w:eastAsia="黑体"/>
          <w:color w:val="auto"/>
          <w:kern w:val="44"/>
          <w:sz w:val="27"/>
          <w:szCs w:val="27"/>
          <w:highlight w:val="none"/>
        </w:rPr>
        <w:t>开工和竣工</w:t>
      </w:r>
      <w:bookmarkEnd w:id="501"/>
      <w:bookmarkEnd w:id="502"/>
      <w:bookmarkEnd w:id="503"/>
      <w:bookmarkEnd w:id="504"/>
      <w:bookmarkEnd w:id="505"/>
      <w:bookmarkEnd w:id="506"/>
      <w:bookmarkEnd w:id="507"/>
      <w:bookmarkEnd w:id="508"/>
      <w:bookmarkEnd w:id="509"/>
      <w:bookmarkEnd w:id="510"/>
    </w:p>
    <w:p w14:paraId="38176FCD">
      <w:pPr>
        <w:keepNext/>
        <w:keepLines/>
        <w:spacing w:before="260" w:after="260" w:line="416" w:lineRule="auto"/>
        <w:outlineLvl w:val="2"/>
        <w:rPr>
          <w:rFonts w:ascii="宋体" w:hAnsi="宋体"/>
          <w:b/>
          <w:bCs/>
          <w:color w:val="auto"/>
          <w:kern w:val="0"/>
          <w:sz w:val="32"/>
          <w:szCs w:val="32"/>
          <w:highlight w:val="none"/>
        </w:rPr>
      </w:pPr>
      <w:bookmarkStart w:id="511" w:name="_Toc115179869"/>
      <w:bookmarkStart w:id="512" w:name="_Toc221950869"/>
      <w:r>
        <w:rPr>
          <w:rFonts w:hint="eastAsia" w:ascii="宋体" w:hAnsi="宋体"/>
          <w:b/>
          <w:bCs/>
          <w:color w:val="auto"/>
          <w:kern w:val="0"/>
          <w:sz w:val="32"/>
          <w:szCs w:val="32"/>
          <w:highlight w:val="none"/>
        </w:rPr>
        <w:t>11.1开工</w:t>
      </w:r>
      <w:bookmarkEnd w:id="511"/>
    </w:p>
    <w:p w14:paraId="1AFCACA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11.1.1 监理人应在开工日期7 天前向承包人发出开工通知。监理人在发出开工通知前应获得发包人同意。工期自监理人发出的开工通知中载明的开工日期起计算。承包人应在开工日期后尽快施工。</w:t>
      </w:r>
    </w:p>
    <w:p w14:paraId="142EBB1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11.1.2 承包人应按第10.1 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64A261E9">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11.1.3  若发包人未能按合同约定向承包人提供开工的必要条件，承包人有权要求延长工期。监理人应在收到承包人的书面要求后，按第3.5款的约定，与合同双方商定或确定增加的费用和延长的工期。</w:t>
      </w:r>
      <w:bookmarkEnd w:id="512"/>
    </w:p>
    <w:p w14:paraId="423A366D">
      <w:pPr>
        <w:spacing w:line="400" w:lineRule="exact"/>
        <w:ind w:firstLine="420" w:firstLineChars="200"/>
        <w:rPr>
          <w:rFonts w:ascii="宋体" w:hAnsi="宋体"/>
          <w:color w:val="auto"/>
          <w:szCs w:val="21"/>
          <w:highlight w:val="none"/>
        </w:rPr>
      </w:pPr>
      <w:bookmarkStart w:id="513" w:name="_Toc221950870"/>
      <w:r>
        <w:rPr>
          <w:rFonts w:hint="eastAsia" w:ascii="宋体" w:hAnsi="宋体"/>
          <w:color w:val="auto"/>
          <w:szCs w:val="21"/>
          <w:highlight w:val="none"/>
        </w:rPr>
        <w:t>11.1.4  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bookmarkEnd w:id="513"/>
    </w:p>
    <w:p w14:paraId="55C54996">
      <w:pPr>
        <w:keepNext/>
        <w:keepLines/>
        <w:spacing w:before="260" w:after="260" w:line="416" w:lineRule="auto"/>
        <w:outlineLvl w:val="2"/>
        <w:rPr>
          <w:rFonts w:ascii="宋体" w:hAnsi="宋体"/>
          <w:b/>
          <w:bCs/>
          <w:color w:val="auto"/>
          <w:kern w:val="0"/>
          <w:sz w:val="32"/>
          <w:szCs w:val="32"/>
          <w:highlight w:val="none"/>
        </w:rPr>
      </w:pPr>
      <w:bookmarkStart w:id="514" w:name="_Toc115179870"/>
      <w:r>
        <w:rPr>
          <w:rFonts w:hint="eastAsia" w:ascii="宋体" w:hAnsi="宋体"/>
          <w:b/>
          <w:bCs/>
          <w:color w:val="auto"/>
          <w:kern w:val="0"/>
          <w:sz w:val="32"/>
          <w:szCs w:val="32"/>
          <w:highlight w:val="none"/>
        </w:rPr>
        <w:t>11.2 竣工（完工）</w:t>
      </w:r>
      <w:bookmarkEnd w:id="514"/>
    </w:p>
    <w:p w14:paraId="58444839">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承包人应在第1.1.4.3目约定的期限内完成合同工程。合同工程实际完工日期在合同工程完工证书中明确。</w:t>
      </w:r>
    </w:p>
    <w:p w14:paraId="53B96C6B">
      <w:pPr>
        <w:keepNext/>
        <w:keepLines/>
        <w:spacing w:before="260" w:after="260" w:line="416" w:lineRule="auto"/>
        <w:outlineLvl w:val="2"/>
        <w:rPr>
          <w:rFonts w:ascii="宋体" w:hAnsi="宋体"/>
          <w:b/>
          <w:bCs/>
          <w:color w:val="auto"/>
          <w:kern w:val="0"/>
          <w:sz w:val="32"/>
          <w:szCs w:val="32"/>
          <w:highlight w:val="none"/>
        </w:rPr>
      </w:pPr>
      <w:bookmarkStart w:id="515" w:name="_Toc115179871"/>
      <w:r>
        <w:rPr>
          <w:rFonts w:hint="eastAsia" w:ascii="宋体" w:hAnsi="宋体"/>
          <w:b/>
          <w:bCs/>
          <w:color w:val="auto"/>
          <w:kern w:val="0"/>
          <w:sz w:val="32"/>
          <w:szCs w:val="32"/>
          <w:highlight w:val="none"/>
        </w:rPr>
        <w:t>11.3 发包人的工期延误</w:t>
      </w:r>
      <w:bookmarkEnd w:id="515"/>
    </w:p>
    <w:p w14:paraId="6A65570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在履行合同过程中，由于发包人的下列原因造成工期延误的，承包人有权要求发包人延长工期和（或）增加费用，并支付合理利润。需要修订合同进度计划的，按照第10.2 款的约定办理。</w:t>
      </w:r>
    </w:p>
    <w:p w14:paraId="0984664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(l）增加合同工作内容；</w:t>
      </w:r>
    </w:p>
    <w:p w14:paraId="74ED415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(2）改变合同中任何一项工作的质量要求或其他特性；</w:t>
      </w:r>
    </w:p>
    <w:p w14:paraId="1CA6EF3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(3）发包人迟延提供材料、工程设备或变更交货地点的；</w:t>
      </w:r>
    </w:p>
    <w:p w14:paraId="1A4C05E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(4）因发包人原因导致的暂停施工；</w:t>
      </w:r>
    </w:p>
    <w:p w14:paraId="2CC478F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(5）提供图纸延误；</w:t>
      </w:r>
    </w:p>
    <w:p w14:paraId="7F1C0AC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(6）未按合同约定及时支付预付款、进度款；</w:t>
      </w:r>
    </w:p>
    <w:p w14:paraId="25A3EA9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(7）发包人造成工期延误的其他原因。</w:t>
      </w:r>
    </w:p>
    <w:p w14:paraId="0CF02C23">
      <w:pPr>
        <w:keepNext/>
        <w:keepLines/>
        <w:spacing w:before="260" w:after="260" w:line="416" w:lineRule="auto"/>
        <w:outlineLvl w:val="2"/>
        <w:rPr>
          <w:rFonts w:ascii="宋体" w:hAnsi="宋体"/>
          <w:b/>
          <w:bCs/>
          <w:color w:val="auto"/>
          <w:kern w:val="0"/>
          <w:sz w:val="32"/>
          <w:szCs w:val="32"/>
          <w:highlight w:val="none"/>
        </w:rPr>
      </w:pPr>
      <w:bookmarkStart w:id="516" w:name="_Toc115179872"/>
      <w:r>
        <w:rPr>
          <w:rFonts w:hint="eastAsia" w:ascii="宋体" w:hAnsi="宋体"/>
          <w:b/>
          <w:bCs/>
          <w:color w:val="auto"/>
          <w:kern w:val="0"/>
          <w:sz w:val="32"/>
          <w:szCs w:val="32"/>
          <w:highlight w:val="none"/>
        </w:rPr>
        <w:t>11.4异常恶劣的气候条件</w:t>
      </w:r>
      <w:bookmarkEnd w:id="516"/>
    </w:p>
    <w:p w14:paraId="75CA8544">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11.4.1当工程所在地发生危及施工安全的异常恶劣气候时，发包人和承包人应按本合同通用合同条款第12条的约定，及时采取暂停施工或部分暂停施工措施。异常恶劣气候条件解除后，承包人应及时安排复工。</w:t>
      </w:r>
    </w:p>
    <w:p w14:paraId="2FD2ECA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11.4.2异常恶劣气候条件造成的工期延误和工程损坏，应由发包人与承包人参照本合同通用合同条款第21.3款的约定共同协商处理。</w:t>
      </w:r>
    </w:p>
    <w:p w14:paraId="12331FA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11.4.3 本合同工程界定异常恶劣气候条件的范围在专用合同条款中约定。</w:t>
      </w:r>
    </w:p>
    <w:p w14:paraId="59800009">
      <w:pPr>
        <w:keepNext/>
        <w:keepLines/>
        <w:spacing w:before="260" w:after="260" w:line="416" w:lineRule="auto"/>
        <w:outlineLvl w:val="2"/>
        <w:rPr>
          <w:rFonts w:ascii="宋体" w:hAnsi="宋体"/>
          <w:b/>
          <w:bCs/>
          <w:color w:val="auto"/>
          <w:kern w:val="0"/>
          <w:sz w:val="32"/>
          <w:szCs w:val="32"/>
          <w:highlight w:val="none"/>
        </w:rPr>
      </w:pPr>
      <w:bookmarkStart w:id="517" w:name="_Toc115179873"/>
      <w:bookmarkStart w:id="518" w:name="_Toc221950882"/>
      <w:r>
        <w:rPr>
          <w:rFonts w:hint="eastAsia" w:ascii="宋体" w:hAnsi="宋体"/>
          <w:b/>
          <w:bCs/>
          <w:color w:val="auto"/>
          <w:kern w:val="0"/>
          <w:sz w:val="32"/>
          <w:szCs w:val="32"/>
          <w:highlight w:val="none"/>
        </w:rPr>
        <w:t>11.5 承包人的工期延误</w:t>
      </w:r>
      <w:bookmarkEnd w:id="517"/>
    </w:p>
    <w:p w14:paraId="3227A60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361351AB">
      <w:pPr>
        <w:keepNext/>
        <w:keepLines/>
        <w:spacing w:before="260" w:after="260" w:line="416" w:lineRule="auto"/>
        <w:outlineLvl w:val="2"/>
        <w:rPr>
          <w:rFonts w:ascii="宋体" w:hAnsi="宋体"/>
          <w:b/>
          <w:bCs/>
          <w:color w:val="auto"/>
          <w:kern w:val="0"/>
          <w:sz w:val="32"/>
          <w:szCs w:val="32"/>
          <w:highlight w:val="none"/>
        </w:rPr>
      </w:pPr>
      <w:bookmarkStart w:id="519" w:name="_Toc115179874"/>
      <w:r>
        <w:rPr>
          <w:rFonts w:hint="eastAsia" w:ascii="宋体" w:hAnsi="宋体"/>
          <w:b/>
          <w:bCs/>
          <w:color w:val="auto"/>
          <w:kern w:val="0"/>
          <w:sz w:val="32"/>
          <w:szCs w:val="32"/>
          <w:highlight w:val="none"/>
        </w:rPr>
        <w:t>11.6工期提前</w:t>
      </w:r>
      <w:bookmarkEnd w:id="519"/>
    </w:p>
    <w:p w14:paraId="0EB6494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14:paraId="5F2CC2EF">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发包人要求提前</w:t>
      </w:r>
      <w:bookmarkEnd w:id="518"/>
      <w:r>
        <w:rPr>
          <w:rFonts w:hint="eastAsia" w:ascii="宋体" w:hAnsi="宋体"/>
          <w:color w:val="auto"/>
          <w:szCs w:val="21"/>
          <w:highlight w:val="none"/>
        </w:rPr>
        <w:t>完工的，双方协商一致后应签订提前完工协议，协议内容包括：</w:t>
      </w:r>
    </w:p>
    <w:p w14:paraId="0047B419">
      <w:pPr>
        <w:spacing w:line="400" w:lineRule="exact"/>
        <w:ind w:firstLine="420" w:firstLineChars="200"/>
        <w:rPr>
          <w:rFonts w:ascii="宋体" w:hAnsi="宋体"/>
          <w:color w:val="auto"/>
          <w:szCs w:val="21"/>
          <w:highlight w:val="none"/>
        </w:rPr>
      </w:pPr>
      <w:bookmarkStart w:id="520" w:name="_Toc221950883"/>
      <w:r>
        <w:rPr>
          <w:rFonts w:hint="eastAsia" w:ascii="宋体" w:hAnsi="宋体"/>
          <w:color w:val="auto"/>
          <w:szCs w:val="21"/>
          <w:highlight w:val="none"/>
        </w:rPr>
        <w:t>（1）提前的时间和修订后的进度计划</w:t>
      </w:r>
      <w:bookmarkEnd w:id="520"/>
      <w:r>
        <w:rPr>
          <w:rFonts w:hint="eastAsia" w:ascii="宋体" w:hAnsi="宋体"/>
          <w:color w:val="auto"/>
          <w:szCs w:val="21"/>
          <w:highlight w:val="none"/>
        </w:rPr>
        <w:t>；</w:t>
      </w:r>
    </w:p>
    <w:p w14:paraId="4C78A63A">
      <w:pPr>
        <w:spacing w:line="400" w:lineRule="exact"/>
        <w:ind w:firstLine="420" w:firstLineChars="200"/>
        <w:rPr>
          <w:rFonts w:ascii="宋体" w:hAnsi="宋体"/>
          <w:color w:val="auto"/>
          <w:szCs w:val="21"/>
          <w:highlight w:val="none"/>
        </w:rPr>
      </w:pPr>
      <w:bookmarkStart w:id="521" w:name="_Toc221950884"/>
      <w:r>
        <w:rPr>
          <w:rFonts w:hint="eastAsia" w:ascii="宋体" w:hAnsi="宋体"/>
          <w:color w:val="auto"/>
          <w:szCs w:val="21"/>
          <w:highlight w:val="none"/>
        </w:rPr>
        <w:t>（2）承包人的赶工措施</w:t>
      </w:r>
      <w:bookmarkEnd w:id="521"/>
      <w:r>
        <w:rPr>
          <w:rFonts w:hint="eastAsia" w:ascii="宋体" w:hAnsi="宋体"/>
          <w:color w:val="auto"/>
          <w:szCs w:val="21"/>
          <w:highlight w:val="none"/>
        </w:rPr>
        <w:t>；</w:t>
      </w:r>
    </w:p>
    <w:p w14:paraId="5DFC4FB3">
      <w:pPr>
        <w:spacing w:line="400" w:lineRule="exact"/>
        <w:ind w:firstLine="420" w:firstLineChars="200"/>
        <w:rPr>
          <w:rFonts w:ascii="宋体" w:hAnsi="宋体"/>
          <w:color w:val="auto"/>
          <w:szCs w:val="21"/>
          <w:highlight w:val="none"/>
        </w:rPr>
      </w:pPr>
      <w:bookmarkStart w:id="522" w:name="_Toc221950885"/>
      <w:r>
        <w:rPr>
          <w:rFonts w:hint="eastAsia" w:ascii="宋体" w:hAnsi="宋体"/>
          <w:color w:val="auto"/>
          <w:szCs w:val="21"/>
          <w:highlight w:val="none"/>
        </w:rPr>
        <w:t>（3）发包人为赶工提供的条件</w:t>
      </w:r>
      <w:bookmarkEnd w:id="522"/>
      <w:r>
        <w:rPr>
          <w:rFonts w:hint="eastAsia" w:ascii="宋体" w:hAnsi="宋体"/>
          <w:color w:val="auto"/>
          <w:szCs w:val="21"/>
          <w:highlight w:val="none"/>
        </w:rPr>
        <w:t>；</w:t>
      </w:r>
    </w:p>
    <w:p w14:paraId="39E9F69D">
      <w:pPr>
        <w:spacing w:line="400" w:lineRule="exact"/>
        <w:ind w:firstLine="420" w:firstLineChars="200"/>
        <w:rPr>
          <w:rFonts w:ascii="宋体" w:hAnsi="宋体"/>
          <w:color w:val="auto"/>
          <w:szCs w:val="21"/>
          <w:highlight w:val="none"/>
        </w:rPr>
      </w:pPr>
      <w:bookmarkStart w:id="523" w:name="_Toc221950886"/>
      <w:r>
        <w:rPr>
          <w:rFonts w:hint="eastAsia" w:ascii="宋体" w:hAnsi="宋体"/>
          <w:color w:val="auto"/>
          <w:szCs w:val="21"/>
          <w:highlight w:val="none"/>
        </w:rPr>
        <w:t>（4）</w:t>
      </w:r>
      <w:bookmarkEnd w:id="523"/>
      <w:r>
        <w:rPr>
          <w:rFonts w:hint="eastAsia" w:ascii="宋体" w:hAnsi="宋体"/>
          <w:color w:val="auto"/>
          <w:szCs w:val="21"/>
          <w:highlight w:val="none"/>
        </w:rPr>
        <w:t>赶工费用（包括利润和奖金）。</w:t>
      </w:r>
    </w:p>
    <w:p w14:paraId="368A1CEC">
      <w:pPr>
        <w:numPr>
          <w:ilvl w:val="0"/>
          <w:numId w:val="18"/>
        </w:numPr>
        <w:spacing w:before="260" w:after="260" w:line="400" w:lineRule="exact"/>
        <w:outlineLvl w:val="1"/>
        <w:rPr>
          <w:rFonts w:ascii="宋体" w:hAnsi="宋体" w:eastAsia="黑体"/>
          <w:color w:val="auto"/>
          <w:kern w:val="44"/>
          <w:sz w:val="27"/>
          <w:szCs w:val="27"/>
          <w:highlight w:val="none"/>
        </w:rPr>
      </w:pPr>
      <w:bookmarkStart w:id="524" w:name="_Toc221950888"/>
      <w:bookmarkStart w:id="525" w:name="_Toc259524360"/>
      <w:bookmarkStart w:id="526" w:name="_Toc5670"/>
      <w:bookmarkStart w:id="527" w:name="_Toc222033864"/>
      <w:bookmarkStart w:id="528" w:name="_Toc222029513"/>
      <w:bookmarkStart w:id="529" w:name="_Toc483383012"/>
      <w:bookmarkStart w:id="530" w:name="_Toc115179875"/>
      <w:bookmarkStart w:id="531" w:name="_Toc229305373"/>
      <w:bookmarkStart w:id="532" w:name="_Toc222032682"/>
      <w:bookmarkStart w:id="533" w:name="_Toc222031015"/>
      <w:r>
        <w:rPr>
          <w:rFonts w:ascii="宋体" w:hAnsi="宋体" w:eastAsia="黑体"/>
          <w:color w:val="auto"/>
          <w:kern w:val="44"/>
          <w:sz w:val="27"/>
          <w:szCs w:val="27"/>
          <w:highlight w:val="none"/>
        </w:rPr>
        <w:t xml:space="preserve">12. </w:t>
      </w:r>
      <w:r>
        <w:rPr>
          <w:rFonts w:hint="eastAsia" w:ascii="宋体" w:hAnsi="宋体" w:eastAsia="黑体"/>
          <w:color w:val="auto"/>
          <w:kern w:val="44"/>
          <w:sz w:val="27"/>
          <w:szCs w:val="27"/>
          <w:highlight w:val="none"/>
        </w:rPr>
        <w:t>暂停施工</w:t>
      </w:r>
      <w:bookmarkEnd w:id="524"/>
      <w:bookmarkEnd w:id="525"/>
      <w:bookmarkEnd w:id="526"/>
      <w:bookmarkEnd w:id="527"/>
      <w:bookmarkEnd w:id="528"/>
      <w:bookmarkEnd w:id="529"/>
      <w:bookmarkEnd w:id="530"/>
      <w:bookmarkEnd w:id="531"/>
      <w:bookmarkEnd w:id="532"/>
      <w:bookmarkEnd w:id="533"/>
    </w:p>
    <w:p w14:paraId="53A6FD6B">
      <w:pPr>
        <w:keepNext/>
        <w:keepLines/>
        <w:spacing w:before="260" w:after="260" w:line="416" w:lineRule="auto"/>
        <w:outlineLvl w:val="2"/>
        <w:rPr>
          <w:rFonts w:ascii="宋体" w:hAnsi="宋体"/>
          <w:b/>
          <w:bCs/>
          <w:color w:val="auto"/>
          <w:kern w:val="0"/>
          <w:sz w:val="32"/>
          <w:szCs w:val="32"/>
          <w:highlight w:val="none"/>
        </w:rPr>
      </w:pPr>
      <w:bookmarkStart w:id="534" w:name="_Toc115179876"/>
      <w:bookmarkStart w:id="535" w:name="_Toc221950893"/>
      <w:r>
        <w:rPr>
          <w:rFonts w:hint="eastAsia" w:ascii="宋体" w:hAnsi="宋体"/>
          <w:b/>
          <w:bCs/>
          <w:color w:val="auto"/>
          <w:kern w:val="0"/>
          <w:sz w:val="32"/>
          <w:szCs w:val="32"/>
          <w:highlight w:val="none"/>
        </w:rPr>
        <w:t>12.1 承包人暂停施工的责任</w:t>
      </w:r>
      <w:bookmarkEnd w:id="534"/>
    </w:p>
    <w:p w14:paraId="6F3DDA2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因下列暂停施工增加的费用和（或）工期延误由承包人承担：</w:t>
      </w:r>
    </w:p>
    <w:p w14:paraId="21F5354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(1）承包人违约引起的暂停施工；</w:t>
      </w:r>
    </w:p>
    <w:p w14:paraId="20C91AE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(2）由于承包人原因为工程合理施工和安全保障所必需的暂停施工；</w:t>
      </w:r>
    </w:p>
    <w:p w14:paraId="3E4740D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(3）承包人擅自暂停施工；</w:t>
      </w:r>
    </w:p>
    <w:p w14:paraId="372AD83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(4）承包人其他原因引起的暂停施工；</w:t>
      </w:r>
    </w:p>
    <w:p w14:paraId="7F56F2F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(5）专用合同条款约定由承包人承担的其他暂停施工。</w:t>
      </w:r>
    </w:p>
    <w:p w14:paraId="05AE3810">
      <w:pPr>
        <w:keepNext/>
        <w:keepLines/>
        <w:spacing w:before="260" w:after="260" w:line="416" w:lineRule="auto"/>
        <w:outlineLvl w:val="2"/>
        <w:rPr>
          <w:rFonts w:ascii="宋体" w:hAnsi="宋体"/>
          <w:b/>
          <w:bCs/>
          <w:color w:val="auto"/>
          <w:kern w:val="0"/>
          <w:sz w:val="32"/>
          <w:szCs w:val="32"/>
          <w:highlight w:val="none"/>
        </w:rPr>
      </w:pPr>
      <w:bookmarkStart w:id="536" w:name="_Toc115179877"/>
      <w:r>
        <w:rPr>
          <w:rFonts w:hint="eastAsia" w:ascii="宋体" w:hAnsi="宋体"/>
          <w:b/>
          <w:bCs/>
          <w:color w:val="auto"/>
          <w:kern w:val="0"/>
          <w:sz w:val="32"/>
          <w:szCs w:val="32"/>
          <w:highlight w:val="none"/>
        </w:rPr>
        <w:t>12.2发包人暂停施工的责任</w:t>
      </w:r>
      <w:bookmarkEnd w:id="536"/>
    </w:p>
    <w:p w14:paraId="5451D2C6">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由于发包人原因引起的暂停施工造成工期延误的，承包人有权要求发包人延长工期和（或）增加费用，并支付合理利润。</w:t>
      </w:r>
    </w:p>
    <w:p w14:paraId="588FA286">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属于下列任何一种情况引起的暂停施工，均为发包人的责任：</w:t>
      </w:r>
      <w:bookmarkEnd w:id="535"/>
    </w:p>
    <w:p w14:paraId="4334E1B9">
      <w:pPr>
        <w:spacing w:line="400" w:lineRule="exact"/>
        <w:ind w:firstLine="420" w:firstLineChars="200"/>
        <w:rPr>
          <w:rFonts w:ascii="宋体" w:hAnsi="宋体"/>
          <w:color w:val="auto"/>
          <w:szCs w:val="21"/>
          <w:highlight w:val="none"/>
        </w:rPr>
      </w:pPr>
      <w:bookmarkStart w:id="537" w:name="_Toc221950894"/>
      <w:r>
        <w:rPr>
          <w:rFonts w:hint="eastAsia" w:ascii="宋体" w:hAnsi="宋体"/>
          <w:color w:val="auto"/>
          <w:szCs w:val="21"/>
          <w:highlight w:val="none"/>
        </w:rPr>
        <w:t>(1)由于发包人违约引起的暂停施工。</w:t>
      </w:r>
      <w:bookmarkEnd w:id="537"/>
    </w:p>
    <w:p w14:paraId="55A56887">
      <w:pPr>
        <w:spacing w:line="400" w:lineRule="exact"/>
        <w:ind w:firstLine="420" w:firstLineChars="200"/>
        <w:rPr>
          <w:rFonts w:ascii="宋体" w:hAnsi="宋体"/>
          <w:color w:val="auto"/>
          <w:szCs w:val="21"/>
          <w:highlight w:val="none"/>
        </w:rPr>
      </w:pPr>
      <w:bookmarkStart w:id="538" w:name="_Toc221950895"/>
      <w:r>
        <w:rPr>
          <w:rFonts w:hint="eastAsia" w:ascii="宋体" w:hAnsi="宋体"/>
          <w:color w:val="auto"/>
          <w:szCs w:val="21"/>
          <w:highlight w:val="none"/>
        </w:rPr>
        <w:t>(2)由于不可抗力的自然或社会因素引起的暂停施工。</w:t>
      </w:r>
      <w:bookmarkEnd w:id="538"/>
    </w:p>
    <w:p w14:paraId="3AAF7654">
      <w:pPr>
        <w:spacing w:line="400" w:lineRule="exact"/>
        <w:ind w:firstLine="420" w:firstLineChars="200"/>
        <w:rPr>
          <w:rFonts w:ascii="宋体" w:hAnsi="宋体"/>
          <w:color w:val="auto"/>
          <w:szCs w:val="21"/>
          <w:highlight w:val="none"/>
        </w:rPr>
      </w:pPr>
      <w:bookmarkStart w:id="539" w:name="_Toc221950896"/>
      <w:r>
        <w:rPr>
          <w:rFonts w:hint="eastAsia" w:ascii="宋体" w:hAnsi="宋体"/>
          <w:color w:val="auto"/>
          <w:szCs w:val="21"/>
          <w:highlight w:val="none"/>
        </w:rPr>
        <w:t>(3)专用合同条款中约定的其它由于发包人原因引起的暂停施工。</w:t>
      </w:r>
      <w:bookmarkEnd w:id="539"/>
    </w:p>
    <w:p w14:paraId="27C1D0D5">
      <w:pPr>
        <w:keepNext/>
        <w:keepLines/>
        <w:spacing w:before="260" w:after="260" w:line="416" w:lineRule="auto"/>
        <w:outlineLvl w:val="2"/>
        <w:rPr>
          <w:rFonts w:ascii="宋体" w:hAnsi="宋体"/>
          <w:b/>
          <w:bCs/>
          <w:color w:val="auto"/>
          <w:kern w:val="0"/>
          <w:sz w:val="32"/>
          <w:szCs w:val="32"/>
          <w:highlight w:val="none"/>
        </w:rPr>
      </w:pPr>
      <w:bookmarkStart w:id="540" w:name="_Toc115179878"/>
      <w:r>
        <w:rPr>
          <w:rFonts w:hint="eastAsia" w:ascii="宋体" w:hAnsi="宋体"/>
          <w:b/>
          <w:bCs/>
          <w:color w:val="auto"/>
          <w:kern w:val="0"/>
          <w:sz w:val="32"/>
          <w:szCs w:val="32"/>
          <w:highlight w:val="none"/>
        </w:rPr>
        <w:t>12.3 监理人暂停施工指示</w:t>
      </w:r>
      <w:bookmarkEnd w:id="540"/>
    </w:p>
    <w:p w14:paraId="280D04B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12.3.1 监理人认为有必要时，可向承包人作出暂停施工的指示，承包人应按监理人指示暂停施工。不论由于何种原因引起的暂停施工，暂停施工期间承包人应负责妥善保护工程并提供安全保障。</w:t>
      </w:r>
    </w:p>
    <w:p w14:paraId="573FB1F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74314B3C">
      <w:pPr>
        <w:keepNext/>
        <w:keepLines/>
        <w:spacing w:before="260" w:after="260" w:line="416" w:lineRule="auto"/>
        <w:outlineLvl w:val="2"/>
        <w:rPr>
          <w:rFonts w:ascii="宋体" w:hAnsi="宋体"/>
          <w:b/>
          <w:bCs/>
          <w:color w:val="auto"/>
          <w:kern w:val="0"/>
          <w:sz w:val="32"/>
          <w:szCs w:val="32"/>
          <w:highlight w:val="none"/>
        </w:rPr>
      </w:pPr>
      <w:bookmarkStart w:id="541" w:name="_Toc115179879"/>
      <w:r>
        <w:rPr>
          <w:rFonts w:hint="eastAsia" w:ascii="宋体" w:hAnsi="宋体"/>
          <w:b/>
          <w:bCs/>
          <w:color w:val="auto"/>
          <w:kern w:val="0"/>
          <w:sz w:val="32"/>
          <w:szCs w:val="32"/>
          <w:highlight w:val="none"/>
        </w:rPr>
        <w:t>12.4 暂停施工后的复工</w:t>
      </w:r>
      <w:bookmarkEnd w:id="541"/>
    </w:p>
    <w:p w14:paraId="7CB2CE9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14:paraId="1D8A17B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12.4.2 承包人无故拖延和拒绝复工的，由此增加的费用和工期延误由承包人承担；因发包人原因无法按时复工的，承包人有权要求发包人延长工期和（或）增加费用，并支付合理利润。</w:t>
      </w:r>
    </w:p>
    <w:p w14:paraId="5C3CA558">
      <w:pPr>
        <w:keepNext/>
        <w:keepLines/>
        <w:spacing w:before="260" w:after="260" w:line="416" w:lineRule="auto"/>
        <w:outlineLvl w:val="2"/>
        <w:rPr>
          <w:rFonts w:ascii="宋体" w:hAnsi="宋体"/>
          <w:b/>
          <w:bCs/>
          <w:color w:val="auto"/>
          <w:kern w:val="0"/>
          <w:sz w:val="32"/>
          <w:szCs w:val="32"/>
          <w:highlight w:val="none"/>
        </w:rPr>
      </w:pPr>
      <w:bookmarkStart w:id="542" w:name="_Toc115179880"/>
      <w:r>
        <w:rPr>
          <w:rFonts w:hint="eastAsia" w:ascii="宋体" w:hAnsi="宋体"/>
          <w:b/>
          <w:bCs/>
          <w:color w:val="auto"/>
          <w:kern w:val="0"/>
          <w:sz w:val="32"/>
          <w:szCs w:val="32"/>
          <w:highlight w:val="none"/>
        </w:rPr>
        <w:t>12.5 暂停施工持续56 天以上</w:t>
      </w:r>
      <w:bookmarkEnd w:id="542"/>
    </w:p>
    <w:p w14:paraId="1474444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12.5.1 监理人发出暂停施工指示后56 天内未向承包人发出复工通知，除了该项停工属于第12.1 款的情况外，承包人可向监理人提交书面通知，要求监理人在收到书面通知后28天内准许已暂停施工的工程或其中一部分工程继续施工。如监理人逾期不予批准，则承包人可以通知监理人，将工程受影响的部分视为按第15.1(l）项的可取消工作。如暂停施工影响到整个工程，可视为发包人违约，应按第22.2 款的规定办理。</w:t>
      </w:r>
    </w:p>
    <w:p w14:paraId="36C2B1A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12.5.2 由于承包人责任引起的暂停施工，如承包人在收到监理人暂停施工指示后56 天内不认真采取有效的复工措施，造成工期延误，可视为承包人违约，应按第22.1 款的规定办理。</w:t>
      </w:r>
    </w:p>
    <w:p w14:paraId="09F7435F">
      <w:pPr>
        <w:numPr>
          <w:ilvl w:val="0"/>
          <w:numId w:val="18"/>
        </w:numPr>
        <w:spacing w:before="260" w:after="260" w:line="400" w:lineRule="exact"/>
        <w:outlineLvl w:val="1"/>
        <w:rPr>
          <w:rFonts w:ascii="宋体" w:hAnsi="宋体" w:eastAsia="黑体"/>
          <w:color w:val="auto"/>
          <w:kern w:val="44"/>
          <w:sz w:val="27"/>
          <w:szCs w:val="27"/>
          <w:highlight w:val="none"/>
        </w:rPr>
      </w:pPr>
      <w:bookmarkStart w:id="543" w:name="_Toc115179881"/>
      <w:bookmarkStart w:id="544" w:name="_Toc222031016"/>
      <w:bookmarkStart w:id="545" w:name="_Toc222032683"/>
      <w:bookmarkStart w:id="546" w:name="_Toc229305374"/>
      <w:bookmarkStart w:id="547" w:name="_Toc221950903"/>
      <w:bookmarkStart w:id="548" w:name="_Toc222033865"/>
      <w:bookmarkStart w:id="549" w:name="_Toc222029514"/>
      <w:bookmarkStart w:id="550" w:name="_Toc19206"/>
      <w:bookmarkStart w:id="551" w:name="_Toc259524361"/>
      <w:bookmarkStart w:id="552" w:name="_Toc483383013"/>
      <w:r>
        <w:rPr>
          <w:rFonts w:ascii="宋体" w:hAnsi="宋体" w:eastAsia="黑体"/>
          <w:color w:val="auto"/>
          <w:kern w:val="44"/>
          <w:sz w:val="27"/>
          <w:szCs w:val="27"/>
          <w:highlight w:val="none"/>
        </w:rPr>
        <w:t xml:space="preserve">13. </w:t>
      </w:r>
      <w:r>
        <w:rPr>
          <w:rFonts w:hint="eastAsia" w:ascii="宋体" w:hAnsi="宋体" w:eastAsia="黑体"/>
          <w:color w:val="auto"/>
          <w:kern w:val="44"/>
          <w:sz w:val="27"/>
          <w:szCs w:val="27"/>
          <w:highlight w:val="none"/>
        </w:rPr>
        <w:t>工程质量</w:t>
      </w:r>
      <w:bookmarkEnd w:id="543"/>
      <w:bookmarkEnd w:id="544"/>
      <w:bookmarkEnd w:id="545"/>
      <w:bookmarkEnd w:id="546"/>
      <w:bookmarkEnd w:id="547"/>
      <w:bookmarkEnd w:id="548"/>
      <w:bookmarkEnd w:id="549"/>
      <w:bookmarkEnd w:id="550"/>
      <w:bookmarkEnd w:id="551"/>
      <w:bookmarkEnd w:id="552"/>
    </w:p>
    <w:p w14:paraId="4DC23CFD">
      <w:pPr>
        <w:keepNext/>
        <w:keepLines/>
        <w:spacing w:before="260" w:after="260" w:line="416" w:lineRule="auto"/>
        <w:outlineLvl w:val="2"/>
        <w:rPr>
          <w:rFonts w:ascii="宋体" w:hAnsi="宋体"/>
          <w:b/>
          <w:bCs/>
          <w:color w:val="auto"/>
          <w:kern w:val="0"/>
          <w:sz w:val="32"/>
          <w:szCs w:val="32"/>
          <w:highlight w:val="none"/>
        </w:rPr>
      </w:pPr>
      <w:bookmarkStart w:id="553" w:name="_Toc115179882"/>
      <w:bookmarkStart w:id="554" w:name="_Toc221950906"/>
      <w:r>
        <w:rPr>
          <w:rFonts w:hint="eastAsia" w:ascii="宋体" w:hAnsi="宋体"/>
          <w:b/>
          <w:bCs/>
          <w:color w:val="auto"/>
          <w:kern w:val="0"/>
          <w:sz w:val="32"/>
          <w:szCs w:val="32"/>
          <w:highlight w:val="none"/>
        </w:rPr>
        <w:t>13.1 工程质量要求</w:t>
      </w:r>
      <w:bookmarkEnd w:id="553"/>
    </w:p>
    <w:p w14:paraId="6EE5C15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13.1.1 工程质量验收按合同约定验收标准执行。</w:t>
      </w:r>
    </w:p>
    <w:p w14:paraId="675D725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13.1.2 因承包人原因造成工程质量达不到合同约定验收标准的，监理人有权要求承包人返工直至符合合同要求为止，由此造成的费用增加和（或）工期延误由承包人承担。</w:t>
      </w:r>
    </w:p>
    <w:p w14:paraId="551609D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13.1.3 因发包人原因造成工程质量达不到合同约定验收标准的，发包人应承担由于承包人返工造成的费用增加和（或）工期延误，并支付承包人合理利润。</w:t>
      </w:r>
    </w:p>
    <w:p w14:paraId="06309671">
      <w:pPr>
        <w:keepNext/>
        <w:keepLines/>
        <w:spacing w:before="260" w:after="260" w:line="416" w:lineRule="auto"/>
        <w:outlineLvl w:val="2"/>
        <w:rPr>
          <w:rFonts w:ascii="宋体" w:hAnsi="宋体"/>
          <w:b/>
          <w:bCs/>
          <w:color w:val="auto"/>
          <w:kern w:val="0"/>
          <w:sz w:val="32"/>
          <w:szCs w:val="32"/>
          <w:highlight w:val="none"/>
        </w:rPr>
      </w:pPr>
      <w:bookmarkStart w:id="555" w:name="_Toc115179883"/>
      <w:r>
        <w:rPr>
          <w:rFonts w:ascii="宋体" w:hAnsi="宋体"/>
          <w:b/>
          <w:bCs/>
          <w:color w:val="auto"/>
          <w:kern w:val="0"/>
          <w:sz w:val="32"/>
          <w:szCs w:val="32"/>
          <w:highlight w:val="none"/>
        </w:rPr>
        <w:t xml:space="preserve">13.2 </w:t>
      </w:r>
      <w:r>
        <w:rPr>
          <w:rFonts w:hint="eastAsia" w:ascii="宋体" w:hAnsi="宋体"/>
          <w:b/>
          <w:bCs/>
          <w:color w:val="auto"/>
          <w:kern w:val="0"/>
          <w:sz w:val="32"/>
          <w:szCs w:val="32"/>
          <w:highlight w:val="none"/>
        </w:rPr>
        <w:t>承包人的质量管理</w:t>
      </w:r>
      <w:bookmarkEnd w:id="554"/>
      <w:bookmarkEnd w:id="555"/>
    </w:p>
    <w:p w14:paraId="698873E7">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13.2.1 承包人应在施工场地设置专门的质量检查机构，配备专职质量检查人员，建立完善的质量检查制度。</w:t>
      </w:r>
      <w:bookmarkStart w:id="556" w:name="_Toc221950914"/>
      <w:r>
        <w:rPr>
          <w:rFonts w:hint="eastAsia" w:ascii="宋体" w:hAnsi="宋体"/>
          <w:color w:val="auto"/>
          <w:szCs w:val="21"/>
          <w:highlight w:val="none"/>
        </w:rPr>
        <w:t>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约定的期限内批复承包人。</w:t>
      </w:r>
    </w:p>
    <w:p w14:paraId="24080E9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13.2.2 承包人应加强对施工人员的质量教育和技术培训，定期考核施工人员的劳动技能，严格执行规范和操作规程。</w:t>
      </w:r>
    </w:p>
    <w:p w14:paraId="5361B00D">
      <w:pPr>
        <w:keepNext/>
        <w:keepLines/>
        <w:spacing w:before="260" w:after="260" w:line="416" w:lineRule="auto"/>
        <w:outlineLvl w:val="2"/>
        <w:rPr>
          <w:rFonts w:ascii="宋体" w:hAnsi="宋体"/>
          <w:b/>
          <w:bCs/>
          <w:color w:val="auto"/>
          <w:kern w:val="0"/>
          <w:sz w:val="32"/>
          <w:szCs w:val="32"/>
          <w:highlight w:val="none"/>
        </w:rPr>
      </w:pPr>
      <w:bookmarkStart w:id="557" w:name="_Toc115179884"/>
      <w:r>
        <w:rPr>
          <w:rFonts w:hint="eastAsia" w:ascii="宋体" w:hAnsi="宋体"/>
          <w:b/>
          <w:bCs/>
          <w:color w:val="auto"/>
          <w:kern w:val="0"/>
          <w:sz w:val="32"/>
          <w:szCs w:val="32"/>
          <w:highlight w:val="none"/>
        </w:rPr>
        <w:t>13.3 承包人的质量检查</w:t>
      </w:r>
      <w:bookmarkEnd w:id="557"/>
    </w:p>
    <w:p w14:paraId="5CC491F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承包人应按合同约定对材料、工程设备以及工程的所有部位及其施工工艺进行全过程的质量检查和检验，并作详细记录，编制工程质量报表，报送监理人审查。</w:t>
      </w:r>
    </w:p>
    <w:p w14:paraId="07053F55">
      <w:pPr>
        <w:keepNext/>
        <w:keepLines/>
        <w:spacing w:before="260" w:after="260" w:line="416" w:lineRule="auto"/>
        <w:outlineLvl w:val="2"/>
        <w:rPr>
          <w:rFonts w:ascii="宋体" w:hAnsi="宋体"/>
          <w:b/>
          <w:bCs/>
          <w:color w:val="auto"/>
          <w:kern w:val="0"/>
          <w:sz w:val="32"/>
          <w:szCs w:val="32"/>
          <w:highlight w:val="none"/>
        </w:rPr>
      </w:pPr>
      <w:bookmarkStart w:id="558" w:name="_Toc115179885"/>
      <w:r>
        <w:rPr>
          <w:rFonts w:hint="eastAsia" w:ascii="宋体" w:hAnsi="宋体"/>
          <w:b/>
          <w:bCs/>
          <w:color w:val="auto"/>
          <w:kern w:val="0"/>
          <w:sz w:val="32"/>
          <w:szCs w:val="32"/>
          <w:highlight w:val="none"/>
        </w:rPr>
        <w:t>13.4 监理人的质量检查</w:t>
      </w:r>
      <w:bookmarkEnd w:id="558"/>
    </w:p>
    <w:p w14:paraId="5803065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0033F82F">
      <w:pPr>
        <w:keepNext/>
        <w:keepLines/>
        <w:spacing w:before="260" w:after="260" w:line="416" w:lineRule="auto"/>
        <w:outlineLvl w:val="2"/>
        <w:rPr>
          <w:rFonts w:ascii="宋体" w:hAnsi="宋体"/>
          <w:b/>
          <w:bCs/>
          <w:color w:val="auto"/>
          <w:kern w:val="0"/>
          <w:sz w:val="32"/>
          <w:szCs w:val="32"/>
          <w:highlight w:val="none"/>
        </w:rPr>
      </w:pPr>
      <w:bookmarkStart w:id="559" w:name="_Toc115179886"/>
      <w:r>
        <w:rPr>
          <w:rFonts w:hint="eastAsia" w:ascii="宋体" w:hAnsi="宋体"/>
          <w:b/>
          <w:bCs/>
          <w:color w:val="auto"/>
          <w:kern w:val="0"/>
          <w:sz w:val="32"/>
          <w:szCs w:val="32"/>
          <w:highlight w:val="none"/>
        </w:rPr>
        <w:t>13.5 工程隐蔽部位覆盖前的检查</w:t>
      </w:r>
      <w:bookmarkEnd w:id="559"/>
    </w:p>
    <w:p w14:paraId="5D110785">
      <w:pPr>
        <w:ind w:firstLine="420" w:firstLineChars="200"/>
        <w:rPr>
          <w:rFonts w:ascii="宋体" w:hAnsi="宋体"/>
          <w:color w:val="auto"/>
          <w:highlight w:val="none"/>
        </w:rPr>
      </w:pPr>
      <w:r>
        <w:rPr>
          <w:rFonts w:hint="eastAsia" w:ascii="宋体" w:hAnsi="宋体"/>
          <w:color w:val="auto"/>
          <w:highlight w:val="none"/>
        </w:rPr>
        <w:t>13.5.1 通知监理人检查</w:t>
      </w:r>
    </w:p>
    <w:p w14:paraId="1D86897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543E491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13.5.2 监理人未到场检查</w:t>
      </w:r>
    </w:p>
    <w:p w14:paraId="40387A0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监理人未按第13.5.l 项约定的时间进行检查的，除监理人另有指示外，承包人可自行完成覆盖工作，并作相应记录报送监理人，监理人应签字确认。监理人事后对检查记录有疑问的，可按第13.5.3 项的约定重新检查。</w:t>
      </w:r>
    </w:p>
    <w:p w14:paraId="337AE33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13.5.3 监理人重新检查</w:t>
      </w:r>
    </w:p>
    <w:p w14:paraId="5A80D85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承包人按第13.5.1 项或第13.5.2 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1E5F828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13.5.4 承包人私自覆盖</w:t>
      </w:r>
    </w:p>
    <w:p w14:paraId="75C668D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承包人未通知监理人到场检查，私自将工程隐蔽部位覆盖的，监理人有权指示承包人钻孔探测或揭开检查，由此增加的费用和（或）工期延误由承包人承担。</w:t>
      </w:r>
    </w:p>
    <w:p w14:paraId="2B7FD6FD">
      <w:pPr>
        <w:keepNext/>
        <w:keepLines/>
        <w:spacing w:before="260" w:after="260" w:line="416" w:lineRule="auto"/>
        <w:outlineLvl w:val="2"/>
        <w:rPr>
          <w:rFonts w:ascii="宋体" w:hAnsi="宋体"/>
          <w:b/>
          <w:bCs/>
          <w:color w:val="auto"/>
          <w:kern w:val="0"/>
          <w:sz w:val="32"/>
          <w:szCs w:val="32"/>
          <w:highlight w:val="none"/>
        </w:rPr>
      </w:pPr>
      <w:bookmarkStart w:id="560" w:name="_Toc115179887"/>
      <w:r>
        <w:rPr>
          <w:rFonts w:hint="eastAsia" w:ascii="宋体" w:hAnsi="宋体"/>
          <w:b/>
          <w:bCs/>
          <w:color w:val="auto"/>
          <w:kern w:val="0"/>
          <w:sz w:val="32"/>
          <w:szCs w:val="32"/>
          <w:highlight w:val="none"/>
        </w:rPr>
        <w:t>13.6 清除不合格工程</w:t>
      </w:r>
      <w:bookmarkEnd w:id="560"/>
    </w:p>
    <w:p w14:paraId="658A25F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41682C4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13.6.2 由于发包人提供的材料或工程设备不合格造成的工程不合格，需要承包人采取措施补救的，发包人应承担由此增加的费用和（或）工期延误，并支付承包人合理利润。</w:t>
      </w:r>
    </w:p>
    <w:bookmarkEnd w:id="556"/>
    <w:p w14:paraId="63FBAC9B">
      <w:pPr>
        <w:keepNext/>
        <w:keepLines/>
        <w:spacing w:before="260" w:after="260" w:line="416" w:lineRule="auto"/>
        <w:outlineLvl w:val="2"/>
        <w:rPr>
          <w:rFonts w:ascii="宋体" w:hAnsi="宋体"/>
          <w:b/>
          <w:bCs/>
          <w:color w:val="auto"/>
          <w:kern w:val="0"/>
          <w:sz w:val="32"/>
          <w:szCs w:val="32"/>
          <w:highlight w:val="none"/>
        </w:rPr>
      </w:pPr>
      <w:bookmarkStart w:id="561" w:name="_Toc115179888"/>
      <w:bookmarkStart w:id="562" w:name="_Toc221950917"/>
      <w:bookmarkStart w:id="563" w:name="_Toc222033866"/>
      <w:bookmarkStart w:id="564" w:name="_Toc222032684"/>
      <w:bookmarkStart w:id="565" w:name="_Toc222031017"/>
      <w:bookmarkStart w:id="566" w:name="_Toc229305375"/>
      <w:bookmarkStart w:id="567" w:name="_Toc222029515"/>
      <w:r>
        <w:rPr>
          <w:rFonts w:ascii="宋体" w:hAnsi="宋体"/>
          <w:b/>
          <w:bCs/>
          <w:color w:val="auto"/>
          <w:kern w:val="0"/>
          <w:sz w:val="32"/>
          <w:szCs w:val="32"/>
          <w:highlight w:val="none"/>
        </w:rPr>
        <w:t xml:space="preserve">13.7 </w:t>
      </w:r>
      <w:r>
        <w:rPr>
          <w:rFonts w:hint="eastAsia" w:ascii="宋体" w:hAnsi="宋体"/>
          <w:b/>
          <w:bCs/>
          <w:color w:val="auto"/>
          <w:kern w:val="0"/>
          <w:sz w:val="32"/>
          <w:szCs w:val="32"/>
          <w:highlight w:val="none"/>
        </w:rPr>
        <w:t>质量评定</w:t>
      </w:r>
      <w:bookmarkEnd w:id="561"/>
    </w:p>
    <w:p w14:paraId="6F554AD9">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13.7.1发包人应组织承包人进行工程项目划分，并确定单位工程、主要分部工程、重要隐蔽单元工程和关键部位单元工程。</w:t>
      </w:r>
    </w:p>
    <w:p w14:paraId="69C6ECB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13.7.2工程实施过程中，单位工程、主要分部工程、重要隐蔽单元工程和关键部位单元工程的项目划分需要调整时，承包人应报发包人确认。</w:t>
      </w:r>
    </w:p>
    <w:p w14:paraId="039B5EF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13.7.3承包人应在单元（工序）工程质量自评合格后，报监理人核定质量等级并签证认可。</w:t>
      </w:r>
    </w:p>
    <w:p w14:paraId="7EE755A7">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13.7.4除专用合同条款另有约定外，承包人应在重要隐蔽单元工程和关键部位单元工程质量自评合格以及监理人抽检后，由监理人组织承包人等单位组成的联合小组，共同检查核定其质量等级并填写签证表。发包人按有关规定完成质量结论报工程质量监督机构核备手续。</w:t>
      </w:r>
    </w:p>
    <w:p w14:paraId="29E140F8">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13.7.5承包人应在分部工程质量自评合格后，报监理人复核和发包人认定</w:t>
      </w:r>
      <w:r>
        <w:rPr>
          <w:rFonts w:ascii="宋体" w:hAnsi="宋体"/>
          <w:color w:val="auto"/>
          <w:szCs w:val="21"/>
          <w:highlight w:val="none"/>
        </w:rPr>
        <w:t>。</w:t>
      </w:r>
      <w:r>
        <w:rPr>
          <w:rFonts w:hint="eastAsia" w:ascii="宋体" w:hAnsi="宋体"/>
          <w:color w:val="auto"/>
          <w:szCs w:val="21"/>
          <w:highlight w:val="none"/>
        </w:rPr>
        <w:t>发包人负责按有关规定完成分部工程质量结论报工程质量监督机构核备（核定）手续。</w:t>
      </w:r>
    </w:p>
    <w:p w14:paraId="6D47EBF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13.7.6承包人应在单位工程质量自评合格后，报监理人复核和发包人认定。发包人负责按有关规定完成单位工程质量结论报工程质量监督机构核定手续</w:t>
      </w:r>
      <w:r>
        <w:rPr>
          <w:rFonts w:ascii="宋体" w:hAnsi="宋体"/>
          <w:color w:val="auto"/>
          <w:szCs w:val="21"/>
          <w:highlight w:val="none"/>
        </w:rPr>
        <w:t>。</w:t>
      </w:r>
    </w:p>
    <w:p w14:paraId="6521CE4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13.7.7除专用合同条款另有约定外，工程质量等级分为合格和优良，应分别达到约定的标准</w:t>
      </w:r>
      <w:r>
        <w:rPr>
          <w:rFonts w:ascii="宋体" w:hAnsi="宋体"/>
          <w:color w:val="auto"/>
          <w:szCs w:val="21"/>
          <w:highlight w:val="none"/>
        </w:rPr>
        <w:t>。</w:t>
      </w:r>
    </w:p>
    <w:p w14:paraId="53B85616">
      <w:pPr>
        <w:keepNext/>
        <w:keepLines/>
        <w:spacing w:before="260" w:after="260" w:line="416" w:lineRule="auto"/>
        <w:outlineLvl w:val="2"/>
        <w:rPr>
          <w:rFonts w:ascii="宋体" w:hAnsi="宋体"/>
          <w:b/>
          <w:bCs/>
          <w:color w:val="auto"/>
          <w:kern w:val="0"/>
          <w:sz w:val="32"/>
          <w:szCs w:val="32"/>
          <w:highlight w:val="none"/>
        </w:rPr>
      </w:pPr>
      <w:bookmarkStart w:id="568" w:name="_Toc115179889"/>
      <w:r>
        <w:rPr>
          <w:rFonts w:hint="eastAsia" w:ascii="宋体" w:hAnsi="宋体"/>
          <w:b/>
          <w:bCs/>
          <w:color w:val="auto"/>
          <w:kern w:val="0"/>
          <w:sz w:val="32"/>
          <w:szCs w:val="32"/>
          <w:highlight w:val="none"/>
        </w:rPr>
        <w:t>13.8 质量事故处理</w:t>
      </w:r>
      <w:bookmarkEnd w:id="568"/>
    </w:p>
    <w:p w14:paraId="0A59D56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13.8.1发生质量事故时，承包人应及时向发包人和监理人报告。</w:t>
      </w:r>
    </w:p>
    <w:p w14:paraId="0D77BBB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13.8.2质量事故调查处理由发包人按相关规定履行手续，承包人应配合。</w:t>
      </w:r>
    </w:p>
    <w:p w14:paraId="01DBD58B">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13.8.3承包人应对质量缺陷进行备案。发包人委托监理人对质量缺陷备案情况进行监督检查并履行相关手续。</w:t>
      </w:r>
    </w:p>
    <w:p w14:paraId="4ACDDFB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13.8.4除专用合同条款另有约定外，工程竣工验收时，发包人负责向竣工验收委员会汇报并提交历次质量缺陷处理的备案资料。</w:t>
      </w:r>
    </w:p>
    <w:p w14:paraId="2E26F623">
      <w:pPr>
        <w:spacing w:before="260" w:after="260" w:line="400" w:lineRule="exact"/>
        <w:outlineLvl w:val="1"/>
        <w:rPr>
          <w:rFonts w:ascii="宋体" w:hAnsi="宋体" w:eastAsia="黑体"/>
          <w:color w:val="auto"/>
          <w:kern w:val="44"/>
          <w:sz w:val="31"/>
          <w:szCs w:val="31"/>
          <w:highlight w:val="none"/>
        </w:rPr>
      </w:pPr>
      <w:bookmarkStart w:id="569" w:name="_Toc259524362"/>
      <w:bookmarkStart w:id="570" w:name="_Toc115179890"/>
      <w:bookmarkStart w:id="571" w:name="_Toc483383014"/>
      <w:bookmarkStart w:id="572" w:name="_Toc13923"/>
      <w:r>
        <w:rPr>
          <w:rFonts w:ascii="宋体" w:hAnsi="宋体" w:eastAsia="黑体"/>
          <w:color w:val="auto"/>
          <w:kern w:val="44"/>
          <w:sz w:val="31"/>
          <w:szCs w:val="31"/>
          <w:highlight w:val="none"/>
        </w:rPr>
        <w:t xml:space="preserve">14. </w:t>
      </w:r>
      <w:r>
        <w:rPr>
          <w:rFonts w:hint="eastAsia" w:ascii="宋体" w:hAnsi="宋体" w:eastAsia="黑体"/>
          <w:color w:val="auto"/>
          <w:kern w:val="44"/>
          <w:sz w:val="31"/>
          <w:szCs w:val="31"/>
          <w:highlight w:val="none"/>
        </w:rPr>
        <w:t>试验和检验</w:t>
      </w:r>
      <w:bookmarkEnd w:id="562"/>
      <w:bookmarkEnd w:id="563"/>
      <w:bookmarkEnd w:id="564"/>
      <w:bookmarkEnd w:id="565"/>
      <w:bookmarkEnd w:id="566"/>
      <w:bookmarkEnd w:id="567"/>
      <w:bookmarkEnd w:id="569"/>
      <w:bookmarkEnd w:id="570"/>
      <w:bookmarkEnd w:id="571"/>
      <w:bookmarkEnd w:id="572"/>
    </w:p>
    <w:p w14:paraId="1F44C109">
      <w:pPr>
        <w:keepNext/>
        <w:keepLines/>
        <w:spacing w:before="260" w:after="260" w:line="416" w:lineRule="auto"/>
        <w:outlineLvl w:val="2"/>
        <w:rPr>
          <w:rFonts w:ascii="宋体" w:hAnsi="宋体"/>
          <w:b/>
          <w:bCs/>
          <w:color w:val="auto"/>
          <w:kern w:val="0"/>
          <w:sz w:val="32"/>
          <w:szCs w:val="32"/>
          <w:highlight w:val="none"/>
        </w:rPr>
      </w:pPr>
      <w:bookmarkStart w:id="573" w:name="_Toc115179891"/>
      <w:r>
        <w:rPr>
          <w:rFonts w:hint="eastAsia" w:ascii="宋体" w:hAnsi="宋体"/>
          <w:b/>
          <w:bCs/>
          <w:color w:val="auto"/>
          <w:kern w:val="0"/>
          <w:sz w:val="32"/>
          <w:szCs w:val="32"/>
          <w:highlight w:val="none"/>
        </w:rPr>
        <w:t>14.1材料、工程设备和工程的试验和检验</w:t>
      </w:r>
      <w:bookmarkEnd w:id="573"/>
    </w:p>
    <w:p w14:paraId="28D8915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6422776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14.1.2 监理人未按合同约定派员参加试验和检验的，除监理人另有指示外，承包人可自行试验和检验，并应立即将试验和检验结果报送监理人，监理人应签字确认。</w:t>
      </w:r>
    </w:p>
    <w:p w14:paraId="4D2CC0E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56851C4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14.1.4承包人应按相关规定和标准对水泥、钢材等原材料与中间产品质量进行检验，并报监理人复核。</w:t>
      </w:r>
    </w:p>
    <w:p w14:paraId="65DD42E4">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14.1.5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14:paraId="04B37E6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14.1.6对专用合同条款约定的试块、试件及有关材料，监理人实行见证取样。见证取样资料由承包人制备，记录应真实齐全，监理人、承包人等参与见证取样人员均应在相关文件上签字。</w:t>
      </w:r>
    </w:p>
    <w:p w14:paraId="10E40F88">
      <w:pPr>
        <w:keepNext/>
        <w:keepLines/>
        <w:spacing w:before="260" w:after="260" w:line="416" w:lineRule="auto"/>
        <w:outlineLvl w:val="2"/>
        <w:rPr>
          <w:rFonts w:ascii="宋体" w:hAnsi="宋体"/>
          <w:b/>
          <w:bCs/>
          <w:color w:val="auto"/>
          <w:kern w:val="0"/>
          <w:sz w:val="32"/>
          <w:szCs w:val="32"/>
          <w:highlight w:val="none"/>
        </w:rPr>
      </w:pPr>
      <w:bookmarkStart w:id="574" w:name="_Toc115179892"/>
      <w:r>
        <w:rPr>
          <w:rFonts w:hint="eastAsia" w:ascii="宋体" w:hAnsi="宋体"/>
          <w:b/>
          <w:bCs/>
          <w:color w:val="auto"/>
          <w:kern w:val="0"/>
          <w:sz w:val="32"/>
          <w:szCs w:val="32"/>
          <w:highlight w:val="none"/>
        </w:rPr>
        <w:t>14.2 现场材料试验</w:t>
      </w:r>
      <w:bookmarkEnd w:id="574"/>
    </w:p>
    <w:p w14:paraId="74293BA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14.2.1 承包人根据合同约定或监理人指示进行的现场材料试验，应由承包人提供试验场所、试验人员、试验设备器材以及其他必要的试验条件。</w:t>
      </w:r>
    </w:p>
    <w:p w14:paraId="3BC5155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14.2.2 监理人在必要时可以使用承包人的试验场所、试验设备器材以及其他试验条件，进行以工程质量检查为目的的复核性材料试验，承包人应予以协助。</w:t>
      </w:r>
    </w:p>
    <w:p w14:paraId="09763F5D">
      <w:pPr>
        <w:keepNext/>
        <w:keepLines/>
        <w:spacing w:before="260" w:after="260" w:line="416" w:lineRule="auto"/>
        <w:outlineLvl w:val="2"/>
        <w:rPr>
          <w:rFonts w:ascii="宋体" w:hAnsi="宋体"/>
          <w:b/>
          <w:bCs/>
          <w:color w:val="auto"/>
          <w:kern w:val="0"/>
          <w:sz w:val="32"/>
          <w:szCs w:val="32"/>
          <w:highlight w:val="none"/>
        </w:rPr>
      </w:pPr>
      <w:bookmarkStart w:id="575" w:name="_Toc115179893"/>
      <w:r>
        <w:rPr>
          <w:rFonts w:hint="eastAsia" w:ascii="宋体" w:hAnsi="宋体"/>
          <w:b/>
          <w:bCs/>
          <w:color w:val="auto"/>
          <w:kern w:val="0"/>
          <w:sz w:val="32"/>
          <w:szCs w:val="32"/>
          <w:highlight w:val="none"/>
        </w:rPr>
        <w:t>14.3 现场工艺试验</w:t>
      </w:r>
      <w:bookmarkEnd w:id="575"/>
    </w:p>
    <w:p w14:paraId="7D86407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53ADC480">
      <w:pPr>
        <w:spacing w:before="260" w:after="260" w:line="400" w:lineRule="exact"/>
        <w:outlineLvl w:val="1"/>
        <w:rPr>
          <w:rFonts w:ascii="宋体" w:hAnsi="宋体" w:eastAsia="黑体"/>
          <w:color w:val="auto"/>
          <w:kern w:val="44"/>
          <w:sz w:val="31"/>
          <w:szCs w:val="31"/>
          <w:highlight w:val="none"/>
        </w:rPr>
      </w:pPr>
      <w:bookmarkStart w:id="576" w:name="_Toc222031018"/>
      <w:bookmarkStart w:id="577" w:name="_Toc483383015"/>
      <w:bookmarkStart w:id="578" w:name="_Toc221950924"/>
      <w:bookmarkStart w:id="579" w:name="_Toc229305376"/>
      <w:bookmarkStart w:id="580" w:name="_Toc115179894"/>
      <w:bookmarkStart w:id="581" w:name="_Toc259524363"/>
      <w:bookmarkStart w:id="582" w:name="_Toc222029516"/>
      <w:bookmarkStart w:id="583" w:name="_Toc222033867"/>
      <w:bookmarkStart w:id="584" w:name="_Toc222032685"/>
      <w:r>
        <w:rPr>
          <w:rFonts w:ascii="宋体" w:hAnsi="宋体" w:eastAsia="黑体"/>
          <w:color w:val="auto"/>
          <w:kern w:val="44"/>
          <w:sz w:val="31"/>
          <w:szCs w:val="31"/>
          <w:highlight w:val="none"/>
        </w:rPr>
        <w:t xml:space="preserve">15. </w:t>
      </w:r>
      <w:r>
        <w:rPr>
          <w:rFonts w:hint="eastAsia" w:ascii="宋体" w:hAnsi="宋体" w:eastAsia="黑体"/>
          <w:color w:val="auto"/>
          <w:kern w:val="44"/>
          <w:sz w:val="31"/>
          <w:szCs w:val="31"/>
          <w:highlight w:val="none"/>
        </w:rPr>
        <w:t>变更</w:t>
      </w:r>
      <w:bookmarkEnd w:id="576"/>
      <w:bookmarkEnd w:id="577"/>
      <w:bookmarkEnd w:id="578"/>
      <w:bookmarkEnd w:id="579"/>
      <w:bookmarkEnd w:id="580"/>
      <w:bookmarkEnd w:id="581"/>
      <w:bookmarkEnd w:id="582"/>
      <w:bookmarkEnd w:id="583"/>
      <w:bookmarkEnd w:id="584"/>
    </w:p>
    <w:p w14:paraId="767E527A">
      <w:pPr>
        <w:keepNext/>
        <w:keepLines/>
        <w:spacing w:before="260" w:after="260" w:line="416" w:lineRule="auto"/>
        <w:outlineLvl w:val="2"/>
        <w:rPr>
          <w:rFonts w:ascii="宋体" w:hAnsi="宋体"/>
          <w:b/>
          <w:bCs/>
          <w:color w:val="auto"/>
          <w:kern w:val="0"/>
          <w:sz w:val="32"/>
          <w:szCs w:val="32"/>
          <w:highlight w:val="none"/>
        </w:rPr>
      </w:pPr>
      <w:bookmarkStart w:id="585" w:name="_Toc115179895"/>
      <w:bookmarkStart w:id="586" w:name="_Toc221950925"/>
      <w:r>
        <w:rPr>
          <w:rFonts w:ascii="宋体" w:hAnsi="宋体"/>
          <w:b/>
          <w:bCs/>
          <w:color w:val="auto"/>
          <w:kern w:val="0"/>
          <w:sz w:val="32"/>
          <w:szCs w:val="32"/>
          <w:highlight w:val="none"/>
        </w:rPr>
        <w:t xml:space="preserve">15.1 </w:t>
      </w:r>
      <w:r>
        <w:rPr>
          <w:rFonts w:hint="eastAsia" w:ascii="宋体" w:hAnsi="宋体"/>
          <w:b/>
          <w:bCs/>
          <w:color w:val="auto"/>
          <w:kern w:val="0"/>
          <w:sz w:val="32"/>
          <w:szCs w:val="32"/>
          <w:highlight w:val="none"/>
        </w:rPr>
        <w:t>变更的范围和内容</w:t>
      </w:r>
      <w:bookmarkEnd w:id="585"/>
      <w:bookmarkEnd w:id="586"/>
    </w:p>
    <w:p w14:paraId="5FD3AB84">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在履行合同中发生以下情形之一，应按照本条款规定进行变更。</w:t>
      </w:r>
    </w:p>
    <w:p w14:paraId="4068F3B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（1）取消合同中任何一项工作，但被取消的工作不能转由发包人或其它人施工；</w:t>
      </w:r>
    </w:p>
    <w:p w14:paraId="5F87F5C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（2）改变合同中任何一项工作的质量或其它特性；</w:t>
      </w:r>
    </w:p>
    <w:p w14:paraId="0C07914D">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（3）改变合同工程的基线、标高、位置或尺寸；</w:t>
      </w:r>
    </w:p>
    <w:p w14:paraId="2D8918CD">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（4）改变合同中任何一项工作的施工试件或改变已批准的施工工艺或顺序；</w:t>
      </w:r>
    </w:p>
    <w:p w14:paraId="6903927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（5）为完成工程需要追加的额外工作；</w:t>
      </w:r>
    </w:p>
    <w:p w14:paraId="77C5EAFD">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（6）增加或减少专用合同条款中约定的关键项目工程量超过其工程总量的一定数量百分比。</w:t>
      </w:r>
    </w:p>
    <w:p w14:paraId="3A5EBB99">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上述第（1）～（6）项目的变更内容引起工程施工组织和进度计划发生实质性变动和影响其原定的价格时，才予调整该项目的单价。第（6）目情形下调整方式在专用合同条款中约定。</w:t>
      </w:r>
    </w:p>
    <w:p w14:paraId="7DBA16E9">
      <w:pPr>
        <w:keepNext/>
        <w:keepLines/>
        <w:spacing w:before="260" w:after="260" w:line="416" w:lineRule="auto"/>
        <w:outlineLvl w:val="2"/>
        <w:rPr>
          <w:rFonts w:ascii="宋体" w:hAnsi="宋体"/>
          <w:b/>
          <w:bCs/>
          <w:color w:val="auto"/>
          <w:kern w:val="0"/>
          <w:sz w:val="32"/>
          <w:szCs w:val="32"/>
          <w:highlight w:val="none"/>
        </w:rPr>
      </w:pPr>
      <w:bookmarkStart w:id="587" w:name="_Toc115179896"/>
      <w:r>
        <w:rPr>
          <w:rFonts w:hint="eastAsia" w:ascii="宋体" w:hAnsi="宋体"/>
          <w:b/>
          <w:bCs/>
          <w:color w:val="auto"/>
          <w:kern w:val="0"/>
          <w:sz w:val="32"/>
          <w:szCs w:val="32"/>
          <w:highlight w:val="none"/>
        </w:rPr>
        <w:t>15.2 变更权</w:t>
      </w:r>
      <w:bookmarkEnd w:id="587"/>
    </w:p>
    <w:p w14:paraId="13A8096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在履行合同过程中，经发包人同意，监理人可按第15.3 款约定的变更程序向承包人作出变更指示，承包人应遵照执行。没有监理人的变更指示，承包人不得擅自变更。</w:t>
      </w:r>
    </w:p>
    <w:p w14:paraId="22715D45">
      <w:pPr>
        <w:keepNext/>
        <w:keepLines/>
        <w:spacing w:before="260" w:after="260" w:line="416" w:lineRule="auto"/>
        <w:outlineLvl w:val="2"/>
        <w:rPr>
          <w:rFonts w:ascii="宋体" w:hAnsi="宋体"/>
          <w:b/>
          <w:bCs/>
          <w:color w:val="auto"/>
          <w:kern w:val="0"/>
          <w:sz w:val="32"/>
          <w:szCs w:val="32"/>
          <w:highlight w:val="none"/>
        </w:rPr>
      </w:pPr>
      <w:bookmarkStart w:id="588" w:name="_Toc115179897"/>
      <w:r>
        <w:rPr>
          <w:rFonts w:hint="eastAsia" w:ascii="宋体" w:hAnsi="宋体"/>
          <w:b/>
          <w:bCs/>
          <w:color w:val="auto"/>
          <w:kern w:val="0"/>
          <w:sz w:val="32"/>
          <w:szCs w:val="32"/>
          <w:highlight w:val="none"/>
        </w:rPr>
        <w:t xml:space="preserve">15.3 </w:t>
      </w:r>
      <w:r>
        <w:rPr>
          <w:rFonts w:hint="eastAsia" w:ascii="宋体" w:hAnsi="宋体"/>
          <w:b/>
          <w:bCs/>
          <w:color w:val="auto"/>
          <w:kern w:val="0"/>
          <w:sz w:val="32"/>
          <w:szCs w:val="21"/>
          <w:highlight w:val="none"/>
        </w:rPr>
        <w:t>变</w:t>
      </w:r>
      <w:r>
        <w:rPr>
          <w:rFonts w:hint="eastAsia" w:ascii="宋体" w:hAnsi="宋体"/>
          <w:b/>
          <w:bCs/>
          <w:color w:val="auto"/>
          <w:kern w:val="0"/>
          <w:sz w:val="32"/>
          <w:szCs w:val="32"/>
          <w:highlight w:val="none"/>
        </w:rPr>
        <w:t>更程序</w:t>
      </w:r>
      <w:bookmarkEnd w:id="588"/>
    </w:p>
    <w:p w14:paraId="16847F8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15.3.1变更的提出</w:t>
      </w:r>
    </w:p>
    <w:p w14:paraId="7DE9BBC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(1）在合同履行过程中，可能发生第15.1 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 项约定发出变更指示。</w:t>
      </w:r>
    </w:p>
    <w:p w14:paraId="48E3655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(2）在合同履行过程中，发生第15.1 款约定情形的，监理人应按照第15.3.3 项约定向承包人发出变更指示。</w:t>
      </w:r>
    </w:p>
    <w:p w14:paraId="6D3A1D6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(3）承包人收到监理人按合同约定发出的图纸和文件，经检查认为其中存在第15.1 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14:paraId="09458A1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(4）若承包人收到监理人的变更意向书后认为难以实施此项变更，应立即通知监理人，说明原因并附详细依据。监理人与承包人和发包人协商后确定撤销、改变或不改变原变更意向书。</w:t>
      </w:r>
    </w:p>
    <w:p w14:paraId="1A29D60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15.3.2 变更估价</w:t>
      </w:r>
    </w:p>
    <w:p w14:paraId="6EAA2B2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(l）除专用合同条款对期限另有约定外，承包人应在收到变更指示或变更意向书后的14 天内，向监理人提交变更报价书，报价内容应根据第15.4 款约定的估价原则，详细开列变更工作的价格组成及其依据，并附必要的施工方法说明和有关图纸。</w:t>
      </w:r>
    </w:p>
    <w:p w14:paraId="63E7DBF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(2）变更工作影响工期的，承包人应提出调整工期的具体细节。监理人认为有必要时，可要求承包人提交要求提前或延长工期的施工进度计划及相应施工措施等详细资料。</w:t>
      </w:r>
    </w:p>
    <w:p w14:paraId="4E79C7C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(3）除专用合同条款对期限另有约定外，监理人收到承包人变更报价书后的14 天内，根据第15.4 款约定的估价原则，按照第3.5 款商定或确定变更价格。</w:t>
      </w:r>
    </w:p>
    <w:p w14:paraId="325E45D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15.3.3 变更指示</w:t>
      </w:r>
    </w:p>
    <w:p w14:paraId="357C1D2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(l）变更指示只能由监理人发出。</w:t>
      </w:r>
    </w:p>
    <w:p w14:paraId="7081DEA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(2）变更指示应说明变更的目的、范围、变更内容以及变更的工程量及其进度和技术要求，并附有关图纸和文件。承包人收到变更指示后，应按变更指示进行变更工作。</w:t>
      </w:r>
    </w:p>
    <w:p w14:paraId="0D314ECE">
      <w:pPr>
        <w:keepNext/>
        <w:keepLines/>
        <w:spacing w:before="260" w:after="260" w:line="416" w:lineRule="auto"/>
        <w:outlineLvl w:val="2"/>
        <w:rPr>
          <w:rFonts w:ascii="宋体" w:hAnsi="宋体"/>
          <w:b/>
          <w:bCs/>
          <w:color w:val="auto"/>
          <w:kern w:val="0"/>
          <w:sz w:val="32"/>
          <w:szCs w:val="32"/>
          <w:highlight w:val="none"/>
        </w:rPr>
      </w:pPr>
      <w:bookmarkStart w:id="589" w:name="_Toc115179898"/>
      <w:r>
        <w:rPr>
          <w:rFonts w:hint="eastAsia" w:ascii="宋体" w:hAnsi="宋体"/>
          <w:b/>
          <w:bCs/>
          <w:color w:val="auto"/>
          <w:kern w:val="0"/>
          <w:sz w:val="32"/>
          <w:szCs w:val="32"/>
          <w:highlight w:val="none"/>
        </w:rPr>
        <w:t>15.4 变更的估价原则</w:t>
      </w:r>
      <w:bookmarkEnd w:id="589"/>
    </w:p>
    <w:p w14:paraId="38E7DC9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除专用合同条款另有约定外，因变更引起的价格调整按照本款约定处理。</w:t>
      </w:r>
    </w:p>
    <w:p w14:paraId="0A2125D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15.4.1 己标价工程量清单中有适用于变更工作的子目的，采用该子目的单价。</w:t>
      </w:r>
    </w:p>
    <w:p w14:paraId="7D61CA7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15.4.2 己标价工程量清单中无适用于变更工作的子目，但有类似子目的，可在合理范围内参照类似子目的单价，由监理人按第3.5 款商定或确定变更工作的单价。</w:t>
      </w:r>
    </w:p>
    <w:p w14:paraId="1302A65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15.4.3 己标价工程量清单中无适用或类似子目的单价，可按照成本加利润的原则，由监理人按第3. 5 款商定或确定变更工作的单价。</w:t>
      </w:r>
    </w:p>
    <w:p w14:paraId="0D5A7030">
      <w:pPr>
        <w:keepNext/>
        <w:keepLines/>
        <w:spacing w:before="260" w:after="260" w:line="416" w:lineRule="auto"/>
        <w:outlineLvl w:val="2"/>
        <w:rPr>
          <w:rFonts w:ascii="宋体" w:hAnsi="宋体"/>
          <w:b/>
          <w:bCs/>
          <w:color w:val="auto"/>
          <w:kern w:val="0"/>
          <w:sz w:val="32"/>
          <w:szCs w:val="32"/>
          <w:highlight w:val="none"/>
        </w:rPr>
      </w:pPr>
      <w:bookmarkStart w:id="590" w:name="_Toc115179899"/>
      <w:r>
        <w:rPr>
          <w:rFonts w:hint="eastAsia" w:ascii="宋体" w:hAnsi="宋体"/>
          <w:b/>
          <w:bCs/>
          <w:color w:val="auto"/>
          <w:kern w:val="0"/>
          <w:sz w:val="32"/>
          <w:szCs w:val="32"/>
          <w:highlight w:val="none"/>
        </w:rPr>
        <w:t>15.5 承包人的合理化建议</w:t>
      </w:r>
      <w:bookmarkEnd w:id="590"/>
    </w:p>
    <w:p w14:paraId="098236C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3965058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15.5.2 承包人提出的合理化建议降低了合同价格、缩短了工期或者提高了工程经济效益的，发包人可按国家有关规定在专用合同条款中约定给予奖励。</w:t>
      </w:r>
    </w:p>
    <w:p w14:paraId="76B56BD2">
      <w:pPr>
        <w:keepNext/>
        <w:keepLines/>
        <w:spacing w:before="260" w:after="260" w:line="416" w:lineRule="auto"/>
        <w:outlineLvl w:val="2"/>
        <w:rPr>
          <w:rFonts w:ascii="宋体" w:hAnsi="宋体"/>
          <w:b/>
          <w:bCs/>
          <w:color w:val="auto"/>
          <w:kern w:val="0"/>
          <w:sz w:val="32"/>
          <w:szCs w:val="32"/>
          <w:highlight w:val="none"/>
        </w:rPr>
      </w:pPr>
      <w:bookmarkStart w:id="591" w:name="_Toc115179900"/>
      <w:r>
        <w:rPr>
          <w:rFonts w:hint="eastAsia" w:ascii="宋体" w:hAnsi="宋体"/>
          <w:b/>
          <w:bCs/>
          <w:color w:val="auto"/>
          <w:kern w:val="0"/>
          <w:sz w:val="32"/>
          <w:szCs w:val="32"/>
          <w:highlight w:val="none"/>
        </w:rPr>
        <w:t>15.6 暂列金额</w:t>
      </w:r>
      <w:bookmarkEnd w:id="591"/>
    </w:p>
    <w:p w14:paraId="7A57E3D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暂列金额只能按照监理人的指示使用，并对合同价格进行相应调整。</w:t>
      </w:r>
    </w:p>
    <w:p w14:paraId="419A7174">
      <w:pPr>
        <w:keepNext/>
        <w:keepLines/>
        <w:spacing w:before="260" w:after="260" w:line="416" w:lineRule="auto"/>
        <w:outlineLvl w:val="2"/>
        <w:rPr>
          <w:rFonts w:ascii="宋体" w:hAnsi="宋体"/>
          <w:b/>
          <w:bCs/>
          <w:color w:val="auto"/>
          <w:kern w:val="0"/>
          <w:sz w:val="32"/>
          <w:szCs w:val="32"/>
          <w:highlight w:val="none"/>
        </w:rPr>
      </w:pPr>
      <w:bookmarkStart w:id="592" w:name="_Toc115179901"/>
      <w:r>
        <w:rPr>
          <w:rFonts w:hint="eastAsia" w:ascii="宋体" w:hAnsi="宋体"/>
          <w:b/>
          <w:bCs/>
          <w:color w:val="auto"/>
          <w:kern w:val="0"/>
          <w:sz w:val="32"/>
          <w:szCs w:val="32"/>
          <w:highlight w:val="none"/>
        </w:rPr>
        <w:t>15.7 计日工</w:t>
      </w:r>
      <w:bookmarkEnd w:id="592"/>
    </w:p>
    <w:p w14:paraId="1F3CD1A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15.7.1 发包人认为有必要时，由监理人通知承包人以计日工方式实施变更的零星工作。其价款按列入已标价工程量清单中的计日工计价子目及其单价进行计算．, </w:t>
      </w:r>
    </w:p>
    <w:p w14:paraId="1315FFC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15.7.2 采用计日工计价的任何一项变更工作，应从暂列金额中支付，承包人应在该项变更的实施过程中，每天提交以下报表和有关凭证报送监理人审批：</w:t>
      </w:r>
    </w:p>
    <w:p w14:paraId="551B97A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(l）工作名称、内容和数量；</w:t>
      </w:r>
    </w:p>
    <w:p w14:paraId="692E9B5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(2）投入该工作所有人员的姓名、工种、级别和耗用工时；</w:t>
      </w:r>
    </w:p>
    <w:p w14:paraId="1411F2B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(3）投入该工作的材料类别和数量；</w:t>
      </w:r>
    </w:p>
    <w:p w14:paraId="0C9285B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(4）投入该工作的施工设备型号、台数和耗用台时；</w:t>
      </w:r>
    </w:p>
    <w:p w14:paraId="57523B1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(5）监理人要求提交的其他资料和凭证。</w:t>
      </w:r>
    </w:p>
    <w:p w14:paraId="1CCDD3E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15.7.3 计日工由承包人汇总后，按第17.3 .2 项的约定列入进度付款申请单，由监理人复核并经发包人同意后列入进度付款。</w:t>
      </w:r>
    </w:p>
    <w:p w14:paraId="6576C74B">
      <w:pPr>
        <w:keepNext/>
        <w:keepLines/>
        <w:spacing w:before="260" w:after="260" w:line="416" w:lineRule="auto"/>
        <w:outlineLvl w:val="2"/>
        <w:rPr>
          <w:rFonts w:ascii="宋体" w:hAnsi="宋体"/>
          <w:b/>
          <w:bCs/>
          <w:color w:val="auto"/>
          <w:kern w:val="0"/>
          <w:sz w:val="32"/>
          <w:szCs w:val="32"/>
          <w:highlight w:val="none"/>
        </w:rPr>
      </w:pPr>
      <w:bookmarkStart w:id="593" w:name="_Toc115179902"/>
      <w:bookmarkStart w:id="594" w:name="_Toc221950942"/>
      <w:r>
        <w:rPr>
          <w:rFonts w:ascii="宋体" w:hAnsi="宋体"/>
          <w:b/>
          <w:bCs/>
          <w:color w:val="auto"/>
          <w:kern w:val="0"/>
          <w:sz w:val="32"/>
          <w:szCs w:val="32"/>
          <w:highlight w:val="none"/>
        </w:rPr>
        <w:t xml:space="preserve">15.8 </w:t>
      </w:r>
      <w:r>
        <w:rPr>
          <w:rFonts w:hint="eastAsia" w:ascii="宋体" w:hAnsi="宋体"/>
          <w:b/>
          <w:bCs/>
          <w:color w:val="auto"/>
          <w:kern w:val="0"/>
          <w:sz w:val="32"/>
          <w:szCs w:val="32"/>
          <w:highlight w:val="none"/>
        </w:rPr>
        <w:t>暂估价</w:t>
      </w:r>
      <w:bookmarkEnd w:id="593"/>
      <w:bookmarkEnd w:id="594"/>
    </w:p>
    <w:p w14:paraId="5D913FA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15.8.1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量清单中所列金额差以及相应的税金等其他费用列入合同价格。必须招标的暂估价项目招标组织形式、发包人和承包人组织招标时双方的权利义务关系在专用合同条款中约定。</w:t>
      </w:r>
    </w:p>
    <w:p w14:paraId="5394D2A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15.8.2 发包人在工程量清单中给定暂估价的材料和工程设备不属于依法必须招标的范围或未达到规定的规模标准的，应由承包人按第5.1 款的约定提供。经监理人确认的材料、工程设备的价格与工程量清单中所列的暂估价的金额差以及相应的税金等其他费用列入合同价格。</w:t>
      </w:r>
    </w:p>
    <w:p w14:paraId="4152EA7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15.8.3发包人在工程量清单中给定暂估价的专业工程不属于依法必须招标的范围或未达到规定的规模标准的，由监理人按照第15.4 款进行估价，但专用合同条款另有约定的除外。经估价的专业工程与工程量清单中所列的暂估价的金额差以及相应的税金等其他费用列入合同价格。</w:t>
      </w:r>
    </w:p>
    <w:p w14:paraId="0DC32E16">
      <w:pPr>
        <w:spacing w:before="260" w:after="260" w:line="400" w:lineRule="exact"/>
        <w:outlineLvl w:val="1"/>
        <w:rPr>
          <w:rFonts w:ascii="宋体" w:hAnsi="宋体" w:eastAsia="黑体"/>
          <w:color w:val="auto"/>
          <w:kern w:val="44"/>
          <w:sz w:val="31"/>
          <w:szCs w:val="31"/>
          <w:highlight w:val="none"/>
        </w:rPr>
      </w:pPr>
      <w:bookmarkStart w:id="595" w:name="_Toc229305377"/>
      <w:bookmarkStart w:id="596" w:name="_Toc22755"/>
      <w:bookmarkStart w:id="597" w:name="_Toc222029517"/>
      <w:bookmarkStart w:id="598" w:name="_Toc221950944"/>
      <w:bookmarkStart w:id="599" w:name="_Toc115179903"/>
      <w:bookmarkStart w:id="600" w:name="_Toc222031019"/>
      <w:bookmarkStart w:id="601" w:name="_Toc483383016"/>
      <w:bookmarkStart w:id="602" w:name="_Toc222032686"/>
      <w:bookmarkStart w:id="603" w:name="_Toc222033868"/>
      <w:bookmarkStart w:id="604" w:name="_Toc259524364"/>
      <w:r>
        <w:rPr>
          <w:rFonts w:ascii="宋体" w:hAnsi="宋体" w:eastAsia="黑体"/>
          <w:color w:val="auto"/>
          <w:kern w:val="44"/>
          <w:sz w:val="31"/>
          <w:szCs w:val="31"/>
          <w:highlight w:val="none"/>
        </w:rPr>
        <w:t xml:space="preserve">16. </w:t>
      </w:r>
      <w:r>
        <w:rPr>
          <w:rFonts w:hint="eastAsia" w:ascii="宋体" w:hAnsi="宋体" w:eastAsia="黑体"/>
          <w:color w:val="auto"/>
          <w:kern w:val="44"/>
          <w:sz w:val="31"/>
          <w:szCs w:val="31"/>
          <w:highlight w:val="none"/>
        </w:rPr>
        <w:t>价格调整</w:t>
      </w:r>
      <w:bookmarkEnd w:id="595"/>
      <w:bookmarkEnd w:id="596"/>
      <w:bookmarkEnd w:id="597"/>
      <w:bookmarkEnd w:id="598"/>
      <w:bookmarkEnd w:id="599"/>
      <w:bookmarkEnd w:id="600"/>
      <w:bookmarkEnd w:id="601"/>
      <w:bookmarkEnd w:id="602"/>
      <w:bookmarkEnd w:id="603"/>
      <w:bookmarkEnd w:id="604"/>
    </w:p>
    <w:p w14:paraId="77AB15A4">
      <w:pPr>
        <w:keepNext/>
        <w:keepLines/>
        <w:spacing w:before="260" w:after="260" w:line="416" w:lineRule="auto"/>
        <w:outlineLvl w:val="2"/>
        <w:rPr>
          <w:rFonts w:ascii="宋体" w:hAnsi="宋体"/>
          <w:b/>
          <w:bCs/>
          <w:color w:val="auto"/>
          <w:kern w:val="0"/>
          <w:sz w:val="32"/>
          <w:szCs w:val="32"/>
          <w:highlight w:val="none"/>
        </w:rPr>
      </w:pPr>
      <w:bookmarkStart w:id="605" w:name="_Toc115179904"/>
      <w:bookmarkStart w:id="606" w:name="_Toc221950945"/>
      <w:r>
        <w:rPr>
          <w:rFonts w:ascii="宋体" w:hAnsi="宋体"/>
          <w:b/>
          <w:bCs/>
          <w:color w:val="auto"/>
          <w:kern w:val="0"/>
          <w:sz w:val="32"/>
          <w:szCs w:val="32"/>
          <w:highlight w:val="none"/>
        </w:rPr>
        <w:t xml:space="preserve">16.1 </w:t>
      </w:r>
      <w:r>
        <w:rPr>
          <w:rFonts w:hint="eastAsia" w:ascii="宋体" w:hAnsi="宋体"/>
          <w:b/>
          <w:bCs/>
          <w:color w:val="auto"/>
          <w:kern w:val="0"/>
          <w:sz w:val="32"/>
          <w:szCs w:val="32"/>
          <w:highlight w:val="none"/>
        </w:rPr>
        <w:t>物价波动引起的价格调整</w:t>
      </w:r>
      <w:bookmarkEnd w:id="605"/>
      <w:bookmarkEnd w:id="606"/>
    </w:p>
    <w:p w14:paraId="31833D5C">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由于物价波动原因引起合同价格需要调整的，其价格调整方式在专用合同条款中约定。</w:t>
      </w:r>
    </w:p>
    <w:p w14:paraId="5104236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16.1.1 采用价格指数调整价格差额</w:t>
      </w:r>
    </w:p>
    <w:p w14:paraId="2A41871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16.1.1.1 价格调整公式</w:t>
      </w:r>
    </w:p>
    <w:p w14:paraId="1CEB093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因人工、材料和设备等价格波动影响合同价格时，根据投标函附录中的价格指数和权重表约定的数据，按以下公式计算差额并调整合同价格。</w:t>
      </w:r>
    </w:p>
    <w:p w14:paraId="2D6B58F2">
      <w:pPr>
        <w:spacing w:line="220" w:lineRule="exact"/>
        <w:ind w:firstLine="2205" w:firstLineChars="1050"/>
        <w:rPr>
          <w:rFonts w:ascii="宋体" w:hAnsi="宋体"/>
          <w:color w:val="auto"/>
          <w:szCs w:val="21"/>
          <w:highlight w:val="none"/>
        </w:rPr>
      </w:pPr>
      <w:r>
        <w:rPr>
          <w:rFonts w:hint="eastAsia" w:ascii="宋体" w:hAnsi="宋体"/>
          <w:color w:val="auto"/>
          <w:szCs w:val="21"/>
          <w:highlight w:val="none"/>
        </w:rPr>
        <w:t>F</w:t>
      </w:r>
      <w:r>
        <w:rPr>
          <w:rFonts w:hint="eastAsia" w:ascii="宋体" w:hAnsi="宋体"/>
          <w:color w:val="auto"/>
          <w:sz w:val="28"/>
          <w:szCs w:val="28"/>
          <w:highlight w:val="none"/>
          <w:vertAlign w:val="subscript"/>
        </w:rPr>
        <w:t>t1</w:t>
      </w:r>
      <w:r>
        <w:rPr>
          <w:rFonts w:hint="eastAsia" w:ascii="宋体" w:hAnsi="宋体"/>
          <w:color w:val="auto"/>
          <w:szCs w:val="21"/>
          <w:highlight w:val="none"/>
          <w:vertAlign w:val="subscript"/>
        </w:rPr>
        <w:t xml:space="preserve">        </w:t>
      </w:r>
      <w:r>
        <w:rPr>
          <w:rFonts w:hint="eastAsia" w:ascii="宋体" w:hAnsi="宋体"/>
          <w:color w:val="auto"/>
          <w:szCs w:val="21"/>
          <w:highlight w:val="none"/>
        </w:rPr>
        <w:t xml:space="preserve"> F</w:t>
      </w:r>
      <w:r>
        <w:rPr>
          <w:rFonts w:hint="eastAsia" w:ascii="宋体" w:hAnsi="宋体"/>
          <w:color w:val="auto"/>
          <w:sz w:val="28"/>
          <w:szCs w:val="28"/>
          <w:highlight w:val="none"/>
          <w:vertAlign w:val="subscript"/>
        </w:rPr>
        <w:t>t2</w:t>
      </w:r>
      <w:r>
        <w:rPr>
          <w:rFonts w:hint="eastAsia" w:ascii="宋体" w:hAnsi="宋体"/>
          <w:color w:val="auto"/>
          <w:szCs w:val="21"/>
          <w:highlight w:val="none"/>
          <w:vertAlign w:val="subscript"/>
        </w:rPr>
        <w:t xml:space="preserve">         </w:t>
      </w:r>
      <w:r>
        <w:rPr>
          <w:rFonts w:hint="eastAsia" w:ascii="宋体" w:hAnsi="宋体"/>
          <w:color w:val="auto"/>
          <w:szCs w:val="21"/>
          <w:highlight w:val="none"/>
        </w:rPr>
        <w:t>F</w:t>
      </w:r>
      <w:r>
        <w:rPr>
          <w:rFonts w:hint="eastAsia" w:ascii="宋体" w:hAnsi="宋体"/>
          <w:color w:val="auto"/>
          <w:sz w:val="28"/>
          <w:szCs w:val="28"/>
          <w:highlight w:val="none"/>
          <w:vertAlign w:val="subscript"/>
        </w:rPr>
        <w:t>t3</w:t>
      </w:r>
      <w:r>
        <w:rPr>
          <w:rFonts w:hint="eastAsia" w:ascii="宋体" w:hAnsi="宋体"/>
          <w:color w:val="auto"/>
          <w:szCs w:val="21"/>
          <w:highlight w:val="none"/>
          <w:vertAlign w:val="subscript"/>
        </w:rPr>
        <w:t xml:space="preserve">                 </w:t>
      </w:r>
      <w:r>
        <w:rPr>
          <w:rFonts w:hint="eastAsia" w:ascii="宋体" w:hAnsi="宋体"/>
          <w:color w:val="auto"/>
          <w:szCs w:val="21"/>
          <w:highlight w:val="none"/>
        </w:rPr>
        <w:t>F</w:t>
      </w:r>
      <w:r>
        <w:rPr>
          <w:rFonts w:hint="eastAsia" w:ascii="宋体" w:hAnsi="宋体"/>
          <w:color w:val="auto"/>
          <w:sz w:val="28"/>
          <w:szCs w:val="28"/>
          <w:highlight w:val="none"/>
          <w:vertAlign w:val="subscript"/>
        </w:rPr>
        <w:t>tn</w:t>
      </w:r>
    </w:p>
    <w:p w14:paraId="3D2DC1A4">
      <w:pPr>
        <w:numPr>
          <w:ilvl w:val="0"/>
          <w:numId w:val="21"/>
        </w:numPr>
        <w:tabs>
          <w:tab w:val="left" w:pos="780"/>
        </w:tabs>
        <w:spacing w:line="220" w:lineRule="exact"/>
        <w:ind w:left="780" w:hanging="360"/>
        <w:rPr>
          <w:rFonts w:ascii="宋体" w:hAnsi="宋体"/>
          <w:color w:val="auto"/>
          <w:szCs w:val="21"/>
          <w:highlight w:val="none"/>
        </w:rPr>
      </w:pPr>
      <w:r>
        <w:rPr>
          <w:rFonts w:hint="eastAsia" w:ascii="宋体" w:hAnsi="宋体"/>
          <w:color w:val="auto"/>
          <w:szCs w:val="21"/>
          <w:highlight w:val="none"/>
        </w:rPr>
        <w:t>P=P</w:t>
      </w:r>
      <w:r>
        <w:rPr>
          <w:rFonts w:hint="eastAsia" w:ascii="宋体" w:hAnsi="宋体"/>
          <w:color w:val="auto"/>
          <w:szCs w:val="21"/>
          <w:highlight w:val="none"/>
          <w:vertAlign w:val="subscript"/>
        </w:rPr>
        <w:t>O</w:t>
      </w:r>
      <w:r>
        <w:rPr>
          <w:rFonts w:hint="eastAsia" w:ascii="宋体" w:hAnsi="宋体"/>
          <w:color w:val="auto"/>
          <w:szCs w:val="21"/>
          <w:highlight w:val="none"/>
        </w:rPr>
        <w:t>［A+｛B</w:t>
      </w:r>
      <w:r>
        <w:rPr>
          <w:rFonts w:hint="eastAsia" w:ascii="宋体" w:hAnsi="宋体"/>
          <w:color w:val="auto"/>
          <w:szCs w:val="21"/>
          <w:highlight w:val="none"/>
          <w:vertAlign w:val="subscript"/>
        </w:rPr>
        <w:t>1</w:t>
      </w:r>
      <w:r>
        <w:rPr>
          <w:rFonts w:hint="eastAsia" w:ascii="宋体" w:hAnsi="宋体"/>
          <w:color w:val="auto"/>
          <w:szCs w:val="21"/>
          <w:highlight w:val="none"/>
        </w:rPr>
        <w:t>×—＋B</w:t>
      </w:r>
      <w:r>
        <w:rPr>
          <w:rFonts w:hint="eastAsia" w:ascii="宋体" w:hAnsi="宋体"/>
          <w:color w:val="auto"/>
          <w:szCs w:val="21"/>
          <w:highlight w:val="none"/>
          <w:vertAlign w:val="subscript"/>
        </w:rPr>
        <w:t>2</w:t>
      </w:r>
      <w:r>
        <w:rPr>
          <w:rFonts w:hint="eastAsia" w:ascii="宋体" w:hAnsi="宋体"/>
          <w:color w:val="auto"/>
          <w:szCs w:val="21"/>
          <w:highlight w:val="none"/>
        </w:rPr>
        <w:t>×—＋B</w:t>
      </w:r>
      <w:r>
        <w:rPr>
          <w:rFonts w:hint="eastAsia" w:ascii="宋体" w:hAnsi="宋体"/>
          <w:color w:val="auto"/>
          <w:szCs w:val="21"/>
          <w:highlight w:val="none"/>
          <w:vertAlign w:val="subscript"/>
        </w:rPr>
        <w:t>3</w:t>
      </w:r>
      <w:r>
        <w:rPr>
          <w:rFonts w:hint="eastAsia" w:ascii="宋体" w:hAnsi="宋体"/>
          <w:color w:val="auto"/>
          <w:szCs w:val="21"/>
          <w:highlight w:val="none"/>
        </w:rPr>
        <w:t>×—＋…＋B</w:t>
      </w:r>
      <w:r>
        <w:rPr>
          <w:rFonts w:hint="eastAsia" w:ascii="宋体" w:hAnsi="宋体"/>
          <w:color w:val="auto"/>
          <w:szCs w:val="21"/>
          <w:highlight w:val="none"/>
          <w:vertAlign w:val="subscript"/>
        </w:rPr>
        <w:t>n</w:t>
      </w: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 xml:space="preserve"> </w:t>
      </w:r>
    </w:p>
    <w:p w14:paraId="10579EAC">
      <w:pPr>
        <w:spacing w:line="220" w:lineRule="exact"/>
        <w:ind w:left="420" w:leftChars="200" w:firstLine="1785" w:firstLineChars="850"/>
        <w:rPr>
          <w:rFonts w:ascii="宋体" w:hAnsi="宋体"/>
          <w:color w:val="auto"/>
          <w:szCs w:val="21"/>
          <w:highlight w:val="none"/>
        </w:rPr>
      </w:pPr>
      <w:r>
        <w:rPr>
          <w:rFonts w:hint="eastAsia" w:ascii="宋体" w:hAnsi="宋体"/>
          <w:color w:val="auto"/>
          <w:szCs w:val="21"/>
          <w:highlight w:val="none"/>
        </w:rPr>
        <w:t>F</w:t>
      </w:r>
      <w:r>
        <w:rPr>
          <w:rFonts w:hint="eastAsia" w:ascii="宋体" w:hAnsi="宋体"/>
          <w:color w:val="auto"/>
          <w:sz w:val="28"/>
          <w:szCs w:val="28"/>
          <w:highlight w:val="none"/>
          <w:vertAlign w:val="subscript"/>
        </w:rPr>
        <w:t xml:space="preserve">01        </w:t>
      </w:r>
      <w:r>
        <w:rPr>
          <w:rFonts w:hint="eastAsia" w:ascii="宋体" w:hAnsi="宋体"/>
          <w:color w:val="auto"/>
          <w:szCs w:val="21"/>
          <w:highlight w:val="none"/>
        </w:rPr>
        <w:t>F</w:t>
      </w:r>
      <w:r>
        <w:rPr>
          <w:rFonts w:hint="eastAsia" w:ascii="宋体" w:hAnsi="宋体"/>
          <w:color w:val="auto"/>
          <w:sz w:val="28"/>
          <w:szCs w:val="28"/>
          <w:highlight w:val="none"/>
          <w:vertAlign w:val="subscript"/>
        </w:rPr>
        <w:t xml:space="preserve">02       </w:t>
      </w:r>
      <w:r>
        <w:rPr>
          <w:rFonts w:hint="eastAsia" w:ascii="宋体" w:hAnsi="宋体"/>
          <w:color w:val="auto"/>
          <w:szCs w:val="21"/>
          <w:highlight w:val="none"/>
        </w:rPr>
        <w:t>F</w:t>
      </w:r>
      <w:r>
        <w:rPr>
          <w:rFonts w:hint="eastAsia" w:ascii="宋体" w:hAnsi="宋体"/>
          <w:color w:val="auto"/>
          <w:sz w:val="28"/>
          <w:szCs w:val="28"/>
          <w:highlight w:val="none"/>
          <w:vertAlign w:val="subscript"/>
        </w:rPr>
        <w:t xml:space="preserve">03              </w:t>
      </w:r>
      <w:r>
        <w:rPr>
          <w:rFonts w:hint="eastAsia" w:ascii="宋体" w:hAnsi="宋体"/>
          <w:color w:val="auto"/>
          <w:szCs w:val="21"/>
          <w:highlight w:val="none"/>
        </w:rPr>
        <w:t>F</w:t>
      </w:r>
      <w:r>
        <w:rPr>
          <w:rFonts w:hint="eastAsia" w:ascii="宋体" w:hAnsi="宋体"/>
          <w:color w:val="auto"/>
          <w:sz w:val="28"/>
          <w:szCs w:val="28"/>
          <w:highlight w:val="none"/>
          <w:vertAlign w:val="subscript"/>
        </w:rPr>
        <w:t>04</w:t>
      </w:r>
    </w:p>
    <w:p w14:paraId="52A4A2F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式中：△ P 一需调整的价格差额；</w:t>
      </w:r>
    </w:p>
    <w:p w14:paraId="3ADED10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P</w:t>
      </w:r>
      <w:r>
        <w:rPr>
          <w:rFonts w:hint="eastAsia" w:ascii="宋体" w:hAnsi="宋体"/>
          <w:color w:val="auto"/>
          <w:szCs w:val="21"/>
          <w:highlight w:val="none"/>
          <w:vertAlign w:val="subscript"/>
        </w:rPr>
        <w:t>O</w:t>
      </w:r>
      <w:r>
        <w:rPr>
          <w:rFonts w:hint="eastAsia" w:ascii="宋体" w:hAnsi="宋体"/>
          <w:color w:val="auto"/>
          <w:szCs w:val="21"/>
          <w:highlight w:val="none"/>
        </w:rPr>
        <w:t>一第17.3.3 项、第17.5 .2 项和第17.6.2 项约定的付款证书中承包人应得到的已完成工程量的金额。此项金额应不包括价格调整、不计质量保证金的扣留和支付、预付款的支付和扣回。第15条约定的变更及其他金额已按现行价格计价的，也不计在内；</w:t>
      </w:r>
    </w:p>
    <w:p w14:paraId="728EAA74">
      <w:pPr>
        <w:ind w:firstLine="420" w:firstLineChars="200"/>
        <w:rPr>
          <w:rFonts w:ascii="宋体" w:hAnsi="宋体"/>
          <w:color w:val="auto"/>
          <w:szCs w:val="21"/>
          <w:highlight w:val="none"/>
        </w:rPr>
      </w:pPr>
      <w:r>
        <w:rPr>
          <w:rFonts w:hint="eastAsia" w:ascii="宋体" w:hAnsi="宋体"/>
          <w:color w:val="auto"/>
          <w:szCs w:val="21"/>
          <w:highlight w:val="none"/>
        </w:rPr>
        <w:t xml:space="preserve">A ---定值权重（即不调部分的权重）； </w:t>
      </w:r>
    </w:p>
    <w:p w14:paraId="450B70D1">
      <w:pPr>
        <w:ind w:firstLine="420" w:firstLineChars="200"/>
        <w:rPr>
          <w:rFonts w:ascii="宋体" w:hAnsi="宋体"/>
          <w:color w:val="auto"/>
          <w:szCs w:val="21"/>
          <w:highlight w:val="none"/>
        </w:rPr>
      </w:pPr>
      <w:r>
        <w:rPr>
          <w:rFonts w:hint="eastAsia" w:ascii="宋体" w:hAnsi="宋体"/>
          <w:color w:val="auto"/>
          <w:szCs w:val="21"/>
          <w:highlight w:val="none"/>
        </w:rPr>
        <w:t>B</w:t>
      </w:r>
      <w:r>
        <w:rPr>
          <w:rFonts w:hint="eastAsia" w:ascii="宋体" w:hAnsi="宋体"/>
          <w:color w:val="auto"/>
          <w:sz w:val="28"/>
          <w:szCs w:val="28"/>
          <w:highlight w:val="none"/>
          <w:vertAlign w:val="subscript"/>
        </w:rPr>
        <w:t>1</w:t>
      </w:r>
      <w:r>
        <w:rPr>
          <w:rFonts w:hint="eastAsia" w:ascii="宋体" w:hAnsi="宋体"/>
          <w:color w:val="auto"/>
          <w:szCs w:val="21"/>
          <w:highlight w:val="none"/>
        </w:rPr>
        <w:t>；B</w:t>
      </w:r>
      <w:r>
        <w:rPr>
          <w:rFonts w:hint="eastAsia" w:ascii="宋体" w:hAnsi="宋体"/>
          <w:color w:val="auto"/>
          <w:sz w:val="28"/>
          <w:szCs w:val="28"/>
          <w:highlight w:val="none"/>
          <w:vertAlign w:val="subscript"/>
        </w:rPr>
        <w:t>2</w:t>
      </w:r>
      <w:r>
        <w:rPr>
          <w:rFonts w:hint="eastAsia" w:ascii="宋体" w:hAnsi="宋体"/>
          <w:color w:val="auto"/>
          <w:szCs w:val="21"/>
          <w:highlight w:val="none"/>
        </w:rPr>
        <w:t>；B</w:t>
      </w:r>
      <w:r>
        <w:rPr>
          <w:rFonts w:hint="eastAsia" w:ascii="宋体" w:hAnsi="宋体"/>
          <w:color w:val="auto"/>
          <w:sz w:val="28"/>
          <w:szCs w:val="28"/>
          <w:highlight w:val="none"/>
          <w:vertAlign w:val="subscript"/>
        </w:rPr>
        <w:t>3</w:t>
      </w:r>
      <w:r>
        <w:rPr>
          <w:rFonts w:hint="eastAsia" w:ascii="宋体" w:hAnsi="宋体"/>
          <w:color w:val="auto"/>
          <w:szCs w:val="21"/>
          <w:highlight w:val="none"/>
        </w:rPr>
        <w:t>；……B</w:t>
      </w:r>
      <w:r>
        <w:rPr>
          <w:rFonts w:hint="eastAsia" w:ascii="宋体" w:hAnsi="宋体"/>
          <w:color w:val="auto"/>
          <w:sz w:val="28"/>
          <w:szCs w:val="28"/>
          <w:highlight w:val="none"/>
          <w:vertAlign w:val="subscript"/>
        </w:rPr>
        <w:t>n</w:t>
      </w:r>
      <w:r>
        <w:rPr>
          <w:rFonts w:hint="eastAsia" w:ascii="宋体" w:hAnsi="宋体"/>
          <w:color w:val="auto"/>
          <w:szCs w:val="21"/>
          <w:highlight w:val="none"/>
        </w:rPr>
        <w:t>---各可调因子的变值权重（即可调部分的权重）为各可调因子在投标函投标总报价中所占的比例；</w:t>
      </w:r>
    </w:p>
    <w:p w14:paraId="1B42358D">
      <w:pPr>
        <w:ind w:firstLine="420" w:firstLineChars="200"/>
        <w:rPr>
          <w:rFonts w:ascii="宋体" w:hAnsi="宋体"/>
          <w:color w:val="auto"/>
          <w:szCs w:val="21"/>
          <w:highlight w:val="none"/>
        </w:rPr>
      </w:pPr>
      <w:r>
        <w:rPr>
          <w:rFonts w:hint="eastAsia" w:ascii="宋体" w:hAnsi="宋体"/>
          <w:color w:val="auto"/>
          <w:szCs w:val="21"/>
          <w:highlight w:val="none"/>
        </w:rPr>
        <w:t>F</w:t>
      </w:r>
      <w:r>
        <w:rPr>
          <w:rFonts w:hint="eastAsia" w:ascii="宋体" w:hAnsi="宋体"/>
          <w:color w:val="auto"/>
          <w:sz w:val="28"/>
          <w:szCs w:val="28"/>
          <w:highlight w:val="none"/>
          <w:vertAlign w:val="subscript"/>
        </w:rPr>
        <w:t>t1</w:t>
      </w:r>
      <w:r>
        <w:rPr>
          <w:rFonts w:hint="eastAsia" w:ascii="宋体" w:hAnsi="宋体"/>
          <w:color w:val="auto"/>
          <w:szCs w:val="21"/>
          <w:highlight w:val="none"/>
        </w:rPr>
        <w:t>；F</w:t>
      </w:r>
      <w:r>
        <w:rPr>
          <w:rFonts w:hint="eastAsia" w:ascii="宋体" w:hAnsi="宋体"/>
          <w:color w:val="auto"/>
          <w:sz w:val="28"/>
          <w:szCs w:val="28"/>
          <w:highlight w:val="none"/>
          <w:vertAlign w:val="subscript"/>
        </w:rPr>
        <w:t>t2</w:t>
      </w:r>
      <w:r>
        <w:rPr>
          <w:rFonts w:hint="eastAsia" w:ascii="宋体" w:hAnsi="宋体"/>
          <w:color w:val="auto"/>
          <w:szCs w:val="21"/>
          <w:highlight w:val="none"/>
        </w:rPr>
        <w:t>；F</w:t>
      </w:r>
      <w:r>
        <w:rPr>
          <w:rFonts w:hint="eastAsia" w:ascii="宋体" w:hAnsi="宋体"/>
          <w:color w:val="auto"/>
          <w:sz w:val="28"/>
          <w:szCs w:val="28"/>
          <w:highlight w:val="none"/>
          <w:vertAlign w:val="subscript"/>
        </w:rPr>
        <w:t>t3</w:t>
      </w:r>
      <w:r>
        <w:rPr>
          <w:rFonts w:hint="eastAsia" w:ascii="宋体" w:hAnsi="宋体"/>
          <w:color w:val="auto"/>
          <w:szCs w:val="21"/>
          <w:highlight w:val="none"/>
        </w:rPr>
        <w:t>；……F</w:t>
      </w:r>
      <w:r>
        <w:rPr>
          <w:rFonts w:hint="eastAsia" w:ascii="宋体" w:hAnsi="宋体"/>
          <w:color w:val="auto"/>
          <w:sz w:val="28"/>
          <w:szCs w:val="28"/>
          <w:highlight w:val="none"/>
          <w:vertAlign w:val="subscript"/>
        </w:rPr>
        <w:t>tn</w:t>
      </w:r>
      <w:r>
        <w:rPr>
          <w:rFonts w:hint="eastAsia" w:ascii="宋体" w:hAnsi="宋体"/>
          <w:color w:val="auto"/>
          <w:szCs w:val="21"/>
          <w:highlight w:val="none"/>
        </w:rPr>
        <w:t>---各可调因子的现行价格指数，指第17.3.3 项、第17.5.2 项和第17.6.2 项约定的付款证书相关周期最后一天的前42天的各可调因子的价格指数；</w:t>
      </w:r>
    </w:p>
    <w:p w14:paraId="0FE846E1">
      <w:pPr>
        <w:ind w:firstLine="420" w:firstLineChars="200"/>
        <w:rPr>
          <w:rFonts w:ascii="宋体" w:hAnsi="宋体"/>
          <w:color w:val="auto"/>
          <w:szCs w:val="21"/>
          <w:highlight w:val="none"/>
        </w:rPr>
      </w:pPr>
      <w:r>
        <w:rPr>
          <w:rFonts w:hint="eastAsia" w:ascii="宋体" w:hAnsi="宋体"/>
          <w:color w:val="auto"/>
          <w:szCs w:val="21"/>
          <w:highlight w:val="none"/>
        </w:rPr>
        <w:t>F</w:t>
      </w:r>
      <w:r>
        <w:rPr>
          <w:rFonts w:hint="eastAsia" w:ascii="宋体" w:hAnsi="宋体"/>
          <w:color w:val="auto"/>
          <w:sz w:val="28"/>
          <w:szCs w:val="28"/>
          <w:highlight w:val="none"/>
          <w:vertAlign w:val="subscript"/>
        </w:rPr>
        <w:t>01</w:t>
      </w:r>
      <w:r>
        <w:rPr>
          <w:rFonts w:hint="eastAsia" w:ascii="宋体" w:hAnsi="宋体"/>
          <w:color w:val="auto"/>
          <w:szCs w:val="21"/>
          <w:highlight w:val="none"/>
        </w:rPr>
        <w:t>；F</w:t>
      </w:r>
      <w:r>
        <w:rPr>
          <w:rFonts w:hint="eastAsia" w:ascii="宋体" w:hAnsi="宋体"/>
          <w:color w:val="auto"/>
          <w:sz w:val="28"/>
          <w:szCs w:val="28"/>
          <w:highlight w:val="none"/>
          <w:vertAlign w:val="subscript"/>
        </w:rPr>
        <w:t>02</w:t>
      </w:r>
      <w:r>
        <w:rPr>
          <w:rFonts w:hint="eastAsia" w:ascii="宋体" w:hAnsi="宋体"/>
          <w:color w:val="auto"/>
          <w:szCs w:val="21"/>
          <w:highlight w:val="none"/>
        </w:rPr>
        <w:t>；F</w:t>
      </w:r>
      <w:r>
        <w:rPr>
          <w:rFonts w:hint="eastAsia" w:ascii="宋体" w:hAnsi="宋体"/>
          <w:color w:val="auto"/>
          <w:sz w:val="28"/>
          <w:szCs w:val="28"/>
          <w:highlight w:val="none"/>
          <w:vertAlign w:val="subscript"/>
        </w:rPr>
        <w:t>03</w:t>
      </w:r>
      <w:r>
        <w:rPr>
          <w:rFonts w:hint="eastAsia" w:ascii="宋体" w:hAnsi="宋体"/>
          <w:color w:val="auto"/>
          <w:szCs w:val="21"/>
          <w:highlight w:val="none"/>
        </w:rPr>
        <w:t>；……F</w:t>
      </w:r>
      <w:r>
        <w:rPr>
          <w:rFonts w:hint="eastAsia" w:ascii="宋体" w:hAnsi="宋体"/>
          <w:color w:val="auto"/>
          <w:sz w:val="28"/>
          <w:szCs w:val="28"/>
          <w:highlight w:val="none"/>
          <w:vertAlign w:val="subscript"/>
        </w:rPr>
        <w:t>0n</w:t>
      </w:r>
      <w:r>
        <w:rPr>
          <w:rFonts w:hint="eastAsia" w:ascii="宋体" w:hAnsi="宋体"/>
          <w:color w:val="auto"/>
          <w:szCs w:val="21"/>
          <w:highlight w:val="none"/>
        </w:rPr>
        <w:t>---各可调因子的基本价格指数，指基准日期的各可调因子的价格指数。</w:t>
      </w:r>
    </w:p>
    <w:p w14:paraId="593E85D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5AF6F67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16.1.1.2 暂时确定调整差额</w:t>
      </w:r>
    </w:p>
    <w:p w14:paraId="018EBA4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在计算调整差额时得不到现行价格指数的，可暂用上一次价格指数计算，并在以后的付款中再按实际价格指数进行调整。</w:t>
      </w:r>
    </w:p>
    <w:p w14:paraId="6ED3246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16.1.1.3 权重的调整</w:t>
      </w:r>
    </w:p>
    <w:p w14:paraId="60EF4C0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按第15.1 款约定的变更导致原定合同中的权重不合理时，由监理人与承包人和发包人协商后进行调整。</w:t>
      </w:r>
    </w:p>
    <w:p w14:paraId="13CFB05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16.1.1.4 承包人工期延误后的价格调整</w:t>
      </w:r>
    </w:p>
    <w:p w14:paraId="4FF59FC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由于承包人原因未在约定的工期内竣工的，则对原约定竣工日期后继续施工的工程，在使用第16.1.1. 1目价格调整公式时，应采用原约定竣工日期与实际竣工日期的两个价格指数中较低的一个作为现行价格指数。</w:t>
      </w:r>
    </w:p>
    <w:p w14:paraId="7978CA99">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16.1.2采用造价信息调整价格差额</w:t>
      </w:r>
    </w:p>
    <w:p w14:paraId="003E00A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施工期内，因人工、材料、设备和机械台班价格波动影响合同价格时，人工、机械使用费按国家或省（自治区、直辖市）建设行政管理部门、行业建设管理部门或其授权的工程造价管理机构发布的人工成本信息、机械台班单价或机械使用费系数进行调整；需要进行价格调整的材料，其单价和材料数应由监理人复核，监理人确认需调整的材料单价及数量，作为调整工程合同价格差额的依据。</w:t>
      </w:r>
    </w:p>
    <w:p w14:paraId="05F3654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工程造价信息的来源以及价格调整的项目和系数在专用合同条款中约定。</w:t>
      </w:r>
    </w:p>
    <w:p w14:paraId="26DF8B18">
      <w:pPr>
        <w:keepNext/>
        <w:keepLines/>
        <w:spacing w:before="260" w:after="260" w:line="416" w:lineRule="auto"/>
        <w:outlineLvl w:val="2"/>
        <w:rPr>
          <w:rFonts w:ascii="宋体" w:hAnsi="宋体"/>
          <w:b/>
          <w:bCs/>
          <w:color w:val="auto"/>
          <w:kern w:val="0"/>
          <w:sz w:val="32"/>
          <w:szCs w:val="32"/>
          <w:highlight w:val="none"/>
        </w:rPr>
      </w:pPr>
      <w:bookmarkStart w:id="607" w:name="_Toc115179905"/>
      <w:r>
        <w:rPr>
          <w:rFonts w:hint="eastAsia" w:ascii="宋体" w:hAnsi="宋体"/>
          <w:b/>
          <w:bCs/>
          <w:color w:val="auto"/>
          <w:kern w:val="0"/>
          <w:sz w:val="32"/>
          <w:szCs w:val="32"/>
          <w:highlight w:val="none"/>
        </w:rPr>
        <w:t>16.2 法律变化引起的价格调整</w:t>
      </w:r>
      <w:bookmarkEnd w:id="607"/>
    </w:p>
    <w:p w14:paraId="5C68BA9A">
      <w:pPr>
        <w:spacing w:line="360" w:lineRule="auto"/>
        <w:ind w:firstLine="420" w:firstLineChars="200"/>
        <w:rPr>
          <w:rFonts w:ascii="宋体" w:hAnsi="宋体"/>
          <w:bCs/>
          <w:color w:val="auto"/>
          <w:sz w:val="20"/>
          <w:szCs w:val="20"/>
          <w:highlight w:val="none"/>
        </w:rPr>
      </w:pPr>
      <w:r>
        <w:rPr>
          <w:rFonts w:hint="eastAsia" w:ascii="宋体" w:hAnsi="宋体"/>
          <w:color w:val="auto"/>
          <w:szCs w:val="21"/>
          <w:highlight w:val="none"/>
        </w:rPr>
        <w:t xml:space="preserve">在基准日后，因法律变化导致承包人在合同履行中所需要的工程费用发生除第16.1 款约定以外的增减时，监理人应根据法律、国家或省、自治区、直辖市有关部门的规定，按第3.5 款商定或确定需调整的合同价款。 </w:t>
      </w:r>
      <w:r>
        <w:rPr>
          <w:rFonts w:hint="eastAsia" w:ascii="宋体" w:hAnsi="宋体"/>
          <w:bCs/>
          <w:color w:val="auto"/>
          <w:sz w:val="20"/>
          <w:szCs w:val="20"/>
          <w:highlight w:val="none"/>
        </w:rPr>
        <w:t xml:space="preserve"> </w:t>
      </w:r>
    </w:p>
    <w:p w14:paraId="4D192D01">
      <w:pPr>
        <w:spacing w:before="260" w:after="260" w:line="400" w:lineRule="exact"/>
        <w:outlineLvl w:val="1"/>
        <w:rPr>
          <w:rFonts w:ascii="宋体" w:hAnsi="宋体" w:eastAsia="黑体"/>
          <w:color w:val="auto"/>
          <w:kern w:val="44"/>
          <w:sz w:val="31"/>
          <w:szCs w:val="31"/>
          <w:highlight w:val="none"/>
        </w:rPr>
      </w:pPr>
      <w:bookmarkStart w:id="608" w:name="_Toc259524365"/>
      <w:bookmarkStart w:id="609" w:name="_Toc115179906"/>
      <w:bookmarkStart w:id="610" w:name="_Toc222033869"/>
      <w:bookmarkStart w:id="611" w:name="_Toc5034"/>
      <w:bookmarkStart w:id="612" w:name="_Toc229305378"/>
      <w:bookmarkStart w:id="613" w:name="_Toc483383017"/>
      <w:bookmarkStart w:id="614" w:name="_Toc222029518"/>
      <w:bookmarkStart w:id="615" w:name="_Toc222032687"/>
      <w:bookmarkStart w:id="616" w:name="_Toc222031020"/>
      <w:bookmarkStart w:id="617" w:name="_Toc221950995"/>
      <w:r>
        <w:rPr>
          <w:rFonts w:ascii="宋体" w:hAnsi="宋体" w:eastAsia="黑体"/>
          <w:color w:val="auto"/>
          <w:kern w:val="44"/>
          <w:sz w:val="31"/>
          <w:szCs w:val="31"/>
          <w:highlight w:val="none"/>
        </w:rPr>
        <w:t xml:space="preserve">17. </w:t>
      </w:r>
      <w:r>
        <w:rPr>
          <w:rFonts w:hint="eastAsia" w:ascii="宋体" w:hAnsi="宋体" w:eastAsia="黑体"/>
          <w:color w:val="auto"/>
          <w:kern w:val="44"/>
          <w:sz w:val="31"/>
          <w:szCs w:val="31"/>
          <w:highlight w:val="none"/>
        </w:rPr>
        <w:t>计量与支付</w:t>
      </w:r>
      <w:bookmarkEnd w:id="608"/>
      <w:bookmarkEnd w:id="609"/>
      <w:bookmarkEnd w:id="610"/>
      <w:bookmarkEnd w:id="611"/>
      <w:bookmarkEnd w:id="612"/>
      <w:bookmarkEnd w:id="613"/>
      <w:bookmarkEnd w:id="614"/>
      <w:bookmarkEnd w:id="615"/>
      <w:bookmarkEnd w:id="616"/>
      <w:bookmarkEnd w:id="617"/>
    </w:p>
    <w:p w14:paraId="0A273C93">
      <w:pPr>
        <w:keepNext/>
        <w:keepLines/>
        <w:spacing w:before="260" w:after="260" w:line="416" w:lineRule="auto"/>
        <w:outlineLvl w:val="2"/>
        <w:rPr>
          <w:rFonts w:ascii="宋体" w:hAnsi="宋体"/>
          <w:b/>
          <w:bCs/>
          <w:color w:val="auto"/>
          <w:kern w:val="0"/>
          <w:sz w:val="32"/>
          <w:szCs w:val="32"/>
          <w:highlight w:val="none"/>
        </w:rPr>
      </w:pPr>
      <w:bookmarkStart w:id="618" w:name="_Toc115179907"/>
      <w:bookmarkStart w:id="619" w:name="_Toc221950996"/>
      <w:r>
        <w:rPr>
          <w:rFonts w:ascii="宋体" w:hAnsi="宋体"/>
          <w:b/>
          <w:bCs/>
          <w:color w:val="auto"/>
          <w:kern w:val="0"/>
          <w:sz w:val="32"/>
          <w:szCs w:val="32"/>
          <w:highlight w:val="none"/>
        </w:rPr>
        <w:t xml:space="preserve">17.1 </w:t>
      </w:r>
      <w:r>
        <w:rPr>
          <w:rFonts w:hint="eastAsia" w:ascii="宋体" w:hAnsi="宋体"/>
          <w:b/>
          <w:bCs/>
          <w:color w:val="auto"/>
          <w:kern w:val="0"/>
          <w:sz w:val="32"/>
          <w:szCs w:val="32"/>
          <w:highlight w:val="none"/>
        </w:rPr>
        <w:t>计量</w:t>
      </w:r>
      <w:bookmarkEnd w:id="618"/>
      <w:bookmarkEnd w:id="619"/>
    </w:p>
    <w:p w14:paraId="50DB63B5">
      <w:pPr>
        <w:spacing w:line="360" w:lineRule="auto"/>
        <w:ind w:firstLine="420" w:firstLineChars="200"/>
        <w:rPr>
          <w:rFonts w:ascii="宋体" w:hAnsi="宋体"/>
          <w:color w:val="auto"/>
          <w:szCs w:val="21"/>
          <w:highlight w:val="none"/>
        </w:rPr>
      </w:pPr>
      <w:bookmarkStart w:id="620" w:name="_Toc221951004"/>
      <w:r>
        <w:rPr>
          <w:rFonts w:hint="eastAsia" w:ascii="宋体" w:hAnsi="宋体"/>
          <w:color w:val="auto"/>
          <w:szCs w:val="21"/>
          <w:highlight w:val="none"/>
        </w:rPr>
        <w:t>17.1.1 计量单位</w:t>
      </w:r>
    </w:p>
    <w:p w14:paraId="6A4585C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计量采用国家法定的计量单位。</w:t>
      </w:r>
    </w:p>
    <w:p w14:paraId="40F4A62B">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17.1.2 计量方法</w:t>
      </w:r>
    </w:p>
    <w:p w14:paraId="1B05145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结算工程量应按工程量清单中约定的方法计量。</w:t>
      </w:r>
    </w:p>
    <w:p w14:paraId="550A6F3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17.1.3 计量周期</w:t>
      </w:r>
    </w:p>
    <w:p w14:paraId="135160F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除专用合同条款另有约定外，单价子目已完成工程量按月计量，总价子目的计量周期按批准的支付分解报告确定。</w:t>
      </w:r>
    </w:p>
    <w:p w14:paraId="23C158E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17.1.4 单价子目的计量</w:t>
      </w:r>
    </w:p>
    <w:p w14:paraId="4ACB0B4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(l）已标价工程量清单中的单价子目工程量为估算工程量。结算工程量是承包人实际完成的，并按合同约定的计量方法进行计量的工程量。</w:t>
      </w:r>
    </w:p>
    <w:p w14:paraId="5A07E6E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(2）承包人对已完成的工程进行计量，向监理人提交进度付款申请单、已完成工程量报表和有关计量资料。</w:t>
      </w:r>
    </w:p>
    <w:p w14:paraId="6EB6C25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(3）监理人对承包人提交的工程量报表进行复核，以确定实际完成的工程量。对数量有异议的，可要求承包人按第8.2 款约定进行共同复核和抽样复测。承包人应协助监理人进行复核并按监理人要求提供补充计量资料。承包人未按监理人要求参加复核，监理人复核或修正的工程量视为承包人实际完成的工程量。</w:t>
      </w:r>
    </w:p>
    <w:p w14:paraId="43A28B6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(4）监理人认为有必要时，可通知承包人共同进行联合测量、计量，承包人应遵照执行。</w:t>
      </w:r>
    </w:p>
    <w:p w14:paraId="35D4A2B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4EB4A51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(6）监理人应在收到承包人提交的工程量报表后的7 天内进行复核，监理人未在约定时间内复核的，承包人提交的工程量报表中的工程量视为承包人实际完成的工程量，据此计算工程价款。</w:t>
      </w:r>
    </w:p>
    <w:p w14:paraId="201C49BD">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17.1.5 总价子目的计量</w:t>
      </w:r>
    </w:p>
    <w:p w14:paraId="6CB7B44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总价子目的分解和计量按照下述约定进行。</w:t>
      </w:r>
    </w:p>
    <w:p w14:paraId="0459560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（1）总价子目的计量和支付应以总价为基础，不因第16.1款中的因素而进行调整。承包人实际完成的工程量，是进行工程目标管理和控制进度支付的依据。</w:t>
      </w:r>
    </w:p>
    <w:p w14:paraId="27B5A7B2">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 承包人应按工程量清单中的要求对总价子目进行分解，并在签订协议书后的28天内将各子目的总价支付分解表提交监理人审批。分解表应标明其所属子目和分阶段需支付的金额。承包人应按批准的各总价子目支付周期内，对已完成的总价子目进行计量，确定分项的应付金额列入进度付款申请单中。</w:t>
      </w:r>
    </w:p>
    <w:p w14:paraId="5B297176">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（3）监理人对承包人提交的上述资料进行复核，以确定分阶段实际完成的工程量和工程形象目标。对其有异议的，可要求承包人按第8.2款约定进行共同复核和抽样复测。</w:t>
      </w:r>
    </w:p>
    <w:p w14:paraId="6C7AC2F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（4）按照第15条约定的变更外，总价子目的工程量是承包人用于结算的最终工程量。</w:t>
      </w:r>
    </w:p>
    <w:p w14:paraId="2277C970">
      <w:pPr>
        <w:keepNext/>
        <w:keepLines/>
        <w:spacing w:before="260" w:after="260" w:line="416" w:lineRule="auto"/>
        <w:outlineLvl w:val="2"/>
        <w:rPr>
          <w:rFonts w:ascii="宋体" w:hAnsi="宋体"/>
          <w:b/>
          <w:bCs/>
          <w:color w:val="auto"/>
          <w:kern w:val="0"/>
          <w:sz w:val="32"/>
          <w:szCs w:val="32"/>
          <w:highlight w:val="none"/>
        </w:rPr>
      </w:pPr>
      <w:bookmarkStart w:id="621" w:name="_Toc115179908"/>
      <w:r>
        <w:rPr>
          <w:rFonts w:ascii="宋体" w:hAnsi="宋体"/>
          <w:b/>
          <w:bCs/>
          <w:color w:val="auto"/>
          <w:kern w:val="0"/>
          <w:sz w:val="32"/>
          <w:szCs w:val="32"/>
          <w:highlight w:val="none"/>
        </w:rPr>
        <w:t xml:space="preserve">17.2 </w:t>
      </w:r>
      <w:r>
        <w:rPr>
          <w:rFonts w:hint="eastAsia" w:ascii="宋体" w:hAnsi="宋体"/>
          <w:b/>
          <w:bCs/>
          <w:color w:val="auto"/>
          <w:kern w:val="0"/>
          <w:sz w:val="32"/>
          <w:szCs w:val="32"/>
          <w:highlight w:val="none"/>
        </w:rPr>
        <w:t>预付款</w:t>
      </w:r>
      <w:bookmarkEnd w:id="620"/>
      <w:bookmarkEnd w:id="621"/>
    </w:p>
    <w:p w14:paraId="62390F05">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17.2.1 预付款</w:t>
      </w:r>
    </w:p>
    <w:p w14:paraId="4AA00E6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预付款用于承包人为合同工程施工购置材料、工程设备、施工设备、修建临时设施以及组织施工队伍进场等，分为工程预付款和工程材料预付款。预付款必须专用于合同工程。预付款的额度和预付办法在专用合同条款中约定。 </w:t>
      </w:r>
    </w:p>
    <w:p w14:paraId="3EAB8AA5">
      <w:pPr>
        <w:spacing w:line="400" w:lineRule="exact"/>
        <w:ind w:firstLine="420" w:firstLineChars="200"/>
        <w:rPr>
          <w:rFonts w:ascii="宋体" w:hAnsi="宋体"/>
          <w:strike/>
          <w:color w:val="auto"/>
          <w:szCs w:val="21"/>
          <w:highlight w:val="none"/>
        </w:rPr>
      </w:pPr>
      <w:r>
        <w:rPr>
          <w:rFonts w:hint="eastAsia" w:ascii="宋体" w:hAnsi="宋体"/>
          <w:color w:val="auto"/>
          <w:szCs w:val="21"/>
          <w:highlight w:val="none"/>
        </w:rPr>
        <w:t xml:space="preserve"> </w:t>
      </w:r>
      <w:r>
        <w:rPr>
          <w:rFonts w:hint="eastAsia" w:ascii="宋体" w:hAnsi="宋体"/>
          <w:strike/>
          <w:color w:val="auto"/>
          <w:szCs w:val="21"/>
          <w:highlight w:val="none"/>
        </w:rPr>
        <w:t>17.2.2 预付款保函（担保）</w:t>
      </w:r>
    </w:p>
    <w:p w14:paraId="0DFCE828">
      <w:pPr>
        <w:spacing w:line="400" w:lineRule="exact"/>
        <w:ind w:firstLine="420" w:firstLineChars="200"/>
        <w:rPr>
          <w:rFonts w:ascii="宋体" w:hAnsi="宋体"/>
          <w:strike/>
          <w:color w:val="auto"/>
          <w:szCs w:val="21"/>
          <w:highlight w:val="none"/>
        </w:rPr>
      </w:pPr>
      <w:r>
        <w:rPr>
          <w:rFonts w:hint="eastAsia" w:ascii="宋体" w:hAnsi="宋体"/>
          <w:strike/>
          <w:color w:val="auto"/>
          <w:szCs w:val="21"/>
          <w:highlight w:val="none"/>
        </w:rPr>
        <w:t>（1）承包人应在收到第一次工程预付款的同时向发包人提交工程预付款担保，担保金额应与第一次工程预付款金额相同，工程预付款担保在第一次工程预付款被发包人扣回前一直有效。</w:t>
      </w:r>
    </w:p>
    <w:p w14:paraId="1D4F766A">
      <w:pPr>
        <w:spacing w:line="400" w:lineRule="exact"/>
        <w:ind w:firstLine="420" w:firstLineChars="200"/>
        <w:rPr>
          <w:rFonts w:ascii="宋体" w:hAnsi="宋体"/>
          <w:strike/>
          <w:color w:val="auto"/>
          <w:szCs w:val="21"/>
          <w:highlight w:val="none"/>
        </w:rPr>
      </w:pPr>
      <w:r>
        <w:rPr>
          <w:rFonts w:hint="eastAsia" w:ascii="宋体" w:hAnsi="宋体"/>
          <w:strike/>
          <w:color w:val="auto"/>
          <w:szCs w:val="21"/>
          <w:highlight w:val="none"/>
        </w:rPr>
        <w:t>（2）工程材料预付款的担保在专用合同条款中约定。</w:t>
      </w:r>
    </w:p>
    <w:p w14:paraId="09B62EC0">
      <w:pPr>
        <w:spacing w:line="400" w:lineRule="exact"/>
        <w:ind w:firstLine="420" w:firstLineChars="200"/>
        <w:rPr>
          <w:rFonts w:ascii="宋体" w:hAnsi="宋体"/>
          <w:strike/>
          <w:color w:val="auto"/>
          <w:szCs w:val="21"/>
          <w:highlight w:val="none"/>
        </w:rPr>
      </w:pPr>
      <w:r>
        <w:rPr>
          <w:rFonts w:hint="eastAsia" w:ascii="宋体" w:hAnsi="宋体"/>
          <w:strike/>
          <w:color w:val="auto"/>
          <w:szCs w:val="21"/>
          <w:highlight w:val="none"/>
        </w:rPr>
        <w:t>（3）预付款担保的担保金额可根据预付款扣回的金额相应递减。</w:t>
      </w:r>
    </w:p>
    <w:p w14:paraId="6F31E35C">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17.2.3 预付款的扣回与还清</w:t>
      </w:r>
    </w:p>
    <w:p w14:paraId="39D6A98C">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14:paraId="2D370487">
      <w:pPr>
        <w:keepNext/>
        <w:keepLines/>
        <w:spacing w:before="260" w:after="260" w:line="416" w:lineRule="auto"/>
        <w:outlineLvl w:val="2"/>
        <w:rPr>
          <w:rFonts w:ascii="宋体" w:hAnsi="宋体"/>
          <w:b/>
          <w:bCs/>
          <w:color w:val="auto"/>
          <w:kern w:val="0"/>
          <w:sz w:val="32"/>
          <w:szCs w:val="32"/>
          <w:highlight w:val="none"/>
        </w:rPr>
      </w:pPr>
      <w:bookmarkStart w:id="622" w:name="_Toc115179909"/>
      <w:bookmarkStart w:id="623" w:name="_Toc221951013"/>
      <w:r>
        <w:rPr>
          <w:rFonts w:hint="eastAsia" w:ascii="宋体" w:hAnsi="宋体"/>
          <w:b/>
          <w:bCs/>
          <w:color w:val="auto"/>
          <w:kern w:val="0"/>
          <w:sz w:val="32"/>
          <w:szCs w:val="32"/>
          <w:highlight w:val="none"/>
        </w:rPr>
        <w:t>17.3 工程进度付款</w:t>
      </w:r>
      <w:bookmarkEnd w:id="622"/>
    </w:p>
    <w:p w14:paraId="0DC906D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17.3.1 付款周期</w:t>
      </w:r>
    </w:p>
    <w:p w14:paraId="7ADCEA8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付款周期同计量周期。</w:t>
      </w:r>
    </w:p>
    <w:p w14:paraId="17CE573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17.3.2 进度付款申请单</w:t>
      </w:r>
    </w:p>
    <w:p w14:paraId="71173E8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4EF1BDB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(l）截至本次付款周期末已实施工程的价款；</w:t>
      </w:r>
    </w:p>
    <w:p w14:paraId="264992F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(2）根据第15条应增加和扣减的变更金额；</w:t>
      </w:r>
    </w:p>
    <w:p w14:paraId="659F90E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(3）根据第23 条应增加和扣减的索赔金额；</w:t>
      </w:r>
    </w:p>
    <w:p w14:paraId="6C31D36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(4）根据第17.2 款约定应支付的预付款和扣减的返还预付款；</w:t>
      </w:r>
    </w:p>
    <w:p w14:paraId="2BAEA0A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(5）根据第17.4.1 项约定应扣减的质量保证金；</w:t>
      </w:r>
    </w:p>
    <w:p w14:paraId="4229EE2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(6）根据合同应增加和扣减的其他金额。</w:t>
      </w:r>
    </w:p>
    <w:p w14:paraId="3925FD5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17.3.3 进度付款证书和支付时间</w:t>
      </w:r>
    </w:p>
    <w:p w14:paraId="239E0A8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024854D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(2）发包人应在监理人收到进度付款申请单后的28 天内，将进度应付款支付给承包人。发包人不按期支付的，按专用合同条款的约定支付逾期付款违约金。</w:t>
      </w:r>
    </w:p>
    <w:p w14:paraId="5C803BD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(3）监理人出具进度付款证书，不应视为监理人已同意、批准或接受了承包人完成的该部分工作。</w:t>
      </w:r>
    </w:p>
    <w:p w14:paraId="3EAAE3B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(4）进度付款涉及政府投资资金的，按照国库集中支付等国家相关规定和专用合同条款的约定办理。</w:t>
      </w:r>
    </w:p>
    <w:p w14:paraId="43A659C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17.3.4 工程进度付款的修正</w:t>
      </w:r>
    </w:p>
    <w:p w14:paraId="4A21499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3E7D4ACA">
      <w:pPr>
        <w:keepNext/>
        <w:keepLines/>
        <w:spacing w:before="260" w:after="260" w:line="416" w:lineRule="auto"/>
        <w:outlineLvl w:val="2"/>
        <w:rPr>
          <w:rFonts w:ascii="宋体" w:hAnsi="宋体"/>
          <w:b/>
          <w:bCs/>
          <w:color w:val="auto"/>
          <w:kern w:val="0"/>
          <w:sz w:val="32"/>
          <w:szCs w:val="32"/>
          <w:highlight w:val="none"/>
        </w:rPr>
      </w:pPr>
      <w:bookmarkStart w:id="624" w:name="_Toc115179910"/>
      <w:r>
        <w:rPr>
          <w:rFonts w:ascii="宋体" w:hAnsi="宋体"/>
          <w:b/>
          <w:bCs/>
          <w:color w:val="auto"/>
          <w:kern w:val="0"/>
          <w:sz w:val="32"/>
          <w:szCs w:val="32"/>
          <w:highlight w:val="none"/>
        </w:rPr>
        <w:t xml:space="preserve">17.4 </w:t>
      </w:r>
      <w:r>
        <w:rPr>
          <w:rFonts w:hint="eastAsia" w:ascii="宋体" w:hAnsi="宋体"/>
          <w:b/>
          <w:bCs/>
          <w:color w:val="auto"/>
          <w:kern w:val="0"/>
          <w:sz w:val="32"/>
          <w:szCs w:val="32"/>
          <w:highlight w:val="none"/>
        </w:rPr>
        <w:t>质量保证金</w:t>
      </w:r>
      <w:bookmarkEnd w:id="623"/>
      <w:bookmarkEnd w:id="624"/>
    </w:p>
    <w:p w14:paraId="3A64096D">
      <w:pPr>
        <w:spacing w:line="400" w:lineRule="exact"/>
        <w:ind w:firstLine="420" w:firstLineChars="200"/>
        <w:rPr>
          <w:rFonts w:ascii="宋体" w:hAnsi="宋体"/>
          <w:color w:val="auto"/>
          <w:szCs w:val="21"/>
          <w:highlight w:val="none"/>
        </w:rPr>
      </w:pPr>
      <w:bookmarkStart w:id="625" w:name="_Toc221951015"/>
      <w:r>
        <w:rPr>
          <w:rFonts w:hint="eastAsia" w:ascii="宋体" w:hAnsi="宋体"/>
          <w:color w:val="auto"/>
          <w:szCs w:val="21"/>
          <w:highlight w:val="none"/>
        </w:rPr>
        <w:t>17.4.1监理人应从第一个工程进度付款周期开始，在发包人的进度付款中，按专用合同条款约定扣留质量保证金，直至扣留的质量保证金总额达到专用合同条款约定的金额或比例为止。质量保证金的计算额度不包括预付款的支付与扣回金额。</w:t>
      </w:r>
    </w:p>
    <w:p w14:paraId="1583EDCD">
      <w:pPr>
        <w:spacing w:line="400" w:lineRule="exact"/>
        <w:ind w:firstLine="420" w:firstLineChars="200"/>
        <w:rPr>
          <w:rFonts w:ascii="宋体" w:hAnsi="宋体"/>
          <w:color w:val="auto"/>
          <w:szCs w:val="21"/>
          <w:highlight w:val="none"/>
        </w:rPr>
      </w:pPr>
      <w:r>
        <w:rPr>
          <w:rFonts w:ascii="宋体" w:hAnsi="宋体"/>
          <w:color w:val="auto"/>
          <w:szCs w:val="21"/>
          <w:highlight w:val="none"/>
        </w:rPr>
        <w:t>17.4.</w:t>
      </w:r>
      <w:r>
        <w:rPr>
          <w:rFonts w:hint="eastAsia" w:ascii="宋体" w:hAnsi="宋体"/>
          <w:color w:val="auto"/>
          <w:szCs w:val="21"/>
          <w:highlight w:val="none"/>
        </w:rPr>
        <w:t>2</w:t>
      </w:r>
      <w:r>
        <w:rPr>
          <w:rFonts w:ascii="宋体" w:hAnsi="宋体"/>
          <w:color w:val="auto"/>
          <w:szCs w:val="21"/>
          <w:highlight w:val="none"/>
        </w:rPr>
        <w:t xml:space="preserve"> </w:t>
      </w:r>
      <w:r>
        <w:rPr>
          <w:rFonts w:hint="eastAsia" w:ascii="宋体" w:hAnsi="宋体"/>
          <w:color w:val="auto"/>
          <w:szCs w:val="21"/>
          <w:highlight w:val="none"/>
        </w:rPr>
        <w:t>合同工程完工证书颁发后14天内，发包人将质量保证金总额的一半支付给承包人。在第1.1.4.5目约定的缺陷责任期（工程质量保修期）满时，发包人将在30个工作日内会同承包人按照合同约定的内容核实承包人是否完成保修责任。如无异议，发包人应当在核实后将剩余的质量保证金支付给承包人。</w:t>
      </w:r>
    </w:p>
    <w:p w14:paraId="1A5B0FF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17.4.3 在第1.1.4.5 目约定的缺陷责任期满时，承包人没有完成缺陷责任的，发包人有权扣留与未履行责任剩余工作所需金额相应的质量保证金余额，并有权根据第19.3 款约定要求延长缺陷责任期，直至完成剩余工作为止。</w:t>
      </w:r>
    </w:p>
    <w:p w14:paraId="2B6DBCC5">
      <w:pPr>
        <w:keepNext/>
        <w:keepLines/>
        <w:spacing w:before="260" w:after="260" w:line="416" w:lineRule="auto"/>
        <w:outlineLvl w:val="2"/>
        <w:rPr>
          <w:rFonts w:ascii="宋体" w:hAnsi="宋体"/>
          <w:b/>
          <w:bCs/>
          <w:color w:val="auto"/>
          <w:kern w:val="0"/>
          <w:sz w:val="32"/>
          <w:szCs w:val="32"/>
          <w:highlight w:val="none"/>
        </w:rPr>
      </w:pPr>
      <w:bookmarkStart w:id="626" w:name="_Toc115179911"/>
      <w:r>
        <w:rPr>
          <w:rFonts w:ascii="宋体" w:hAnsi="宋体"/>
          <w:b/>
          <w:bCs/>
          <w:color w:val="auto"/>
          <w:kern w:val="0"/>
          <w:sz w:val="32"/>
          <w:szCs w:val="32"/>
          <w:highlight w:val="none"/>
        </w:rPr>
        <w:t xml:space="preserve">17.5 </w:t>
      </w:r>
      <w:r>
        <w:rPr>
          <w:rFonts w:hint="eastAsia" w:ascii="宋体" w:hAnsi="宋体"/>
          <w:b/>
          <w:bCs/>
          <w:color w:val="auto"/>
          <w:kern w:val="0"/>
          <w:sz w:val="32"/>
          <w:szCs w:val="32"/>
          <w:highlight w:val="none"/>
        </w:rPr>
        <w:t>竣工结算</w:t>
      </w:r>
      <w:bookmarkEnd w:id="625"/>
      <w:r>
        <w:rPr>
          <w:rFonts w:hint="eastAsia" w:ascii="宋体" w:hAnsi="宋体"/>
          <w:b/>
          <w:bCs/>
          <w:color w:val="auto"/>
          <w:kern w:val="0"/>
          <w:sz w:val="32"/>
          <w:szCs w:val="32"/>
          <w:highlight w:val="none"/>
        </w:rPr>
        <w:t>（完工结算）</w:t>
      </w:r>
      <w:bookmarkEnd w:id="626"/>
    </w:p>
    <w:p w14:paraId="4CCFFA56">
      <w:pPr>
        <w:spacing w:line="400" w:lineRule="exact"/>
        <w:ind w:firstLine="420" w:firstLineChars="200"/>
        <w:rPr>
          <w:rFonts w:ascii="宋体" w:hAnsi="宋体"/>
          <w:color w:val="auto"/>
          <w:szCs w:val="21"/>
          <w:highlight w:val="none"/>
        </w:rPr>
      </w:pPr>
      <w:r>
        <w:rPr>
          <w:rFonts w:ascii="宋体" w:hAnsi="宋体"/>
          <w:color w:val="auto"/>
          <w:szCs w:val="21"/>
          <w:highlight w:val="none"/>
        </w:rPr>
        <w:t>17</w:t>
      </w: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 xml:space="preserve">  竣工（完工）付款申请单</w:t>
      </w:r>
    </w:p>
    <w:p w14:paraId="48C50A4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14:paraId="7915409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（2）监理人对完工付款申请单有异议的，有权要求承包人进行修正和提供补充资料。经监理人和承包人协商后，由承包人向监理人提交修正后的完工付款申请单。</w:t>
      </w:r>
    </w:p>
    <w:p w14:paraId="20DE29F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17.5.2 竣工（完工）付款证书及支付时间</w:t>
      </w:r>
    </w:p>
    <w:p w14:paraId="75684DE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14:paraId="2250DA18">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（2）发包人应在监理人出具完工付款证书后的14天内，将应支付款支付给承包人。发包人不安全支付的，按第17.3.3（2）目的约定，将逾期付款违约金支付给承包人。</w:t>
      </w:r>
    </w:p>
    <w:p w14:paraId="55E0D3D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（3）承包人对发包人签认的完工付款证书有异议的，发包人可出具完工付款申请单中承包人已同意部分的临时付款证书。存在争议的部分，按第24条的约定办理。</w:t>
      </w:r>
    </w:p>
    <w:p w14:paraId="23E71376">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（4）完工付款涉及振奋投资资金的，按第17.3.3（4）目的约定办理。</w:t>
      </w:r>
    </w:p>
    <w:p w14:paraId="6A567915">
      <w:pPr>
        <w:keepNext/>
        <w:keepLines/>
        <w:spacing w:before="260" w:after="260" w:line="416" w:lineRule="auto"/>
        <w:outlineLvl w:val="2"/>
        <w:rPr>
          <w:rFonts w:ascii="宋体" w:hAnsi="宋体"/>
          <w:b/>
          <w:bCs/>
          <w:color w:val="auto"/>
          <w:kern w:val="0"/>
          <w:sz w:val="32"/>
          <w:szCs w:val="32"/>
          <w:highlight w:val="none"/>
        </w:rPr>
      </w:pPr>
      <w:bookmarkStart w:id="627" w:name="_Toc115179912"/>
      <w:bookmarkStart w:id="628" w:name="_Toc221951017"/>
      <w:r>
        <w:rPr>
          <w:rFonts w:ascii="宋体" w:hAnsi="宋体"/>
          <w:b/>
          <w:bCs/>
          <w:color w:val="auto"/>
          <w:kern w:val="0"/>
          <w:sz w:val="32"/>
          <w:szCs w:val="32"/>
          <w:highlight w:val="none"/>
        </w:rPr>
        <w:t xml:space="preserve">17.6 </w:t>
      </w:r>
      <w:r>
        <w:rPr>
          <w:rFonts w:hint="eastAsia" w:ascii="宋体" w:hAnsi="宋体"/>
          <w:b/>
          <w:bCs/>
          <w:color w:val="auto"/>
          <w:kern w:val="0"/>
          <w:sz w:val="32"/>
          <w:szCs w:val="32"/>
          <w:highlight w:val="none"/>
        </w:rPr>
        <w:t>最终结清</w:t>
      </w:r>
      <w:bookmarkEnd w:id="627"/>
      <w:bookmarkEnd w:id="628"/>
    </w:p>
    <w:p w14:paraId="70787E2B">
      <w:pPr>
        <w:spacing w:line="400" w:lineRule="exact"/>
        <w:ind w:firstLine="420" w:firstLineChars="200"/>
        <w:rPr>
          <w:rFonts w:ascii="宋体" w:hAnsi="宋体"/>
          <w:color w:val="auto"/>
          <w:szCs w:val="21"/>
          <w:highlight w:val="none"/>
        </w:rPr>
      </w:pPr>
      <w:r>
        <w:rPr>
          <w:rFonts w:ascii="宋体" w:hAnsi="宋体"/>
          <w:color w:val="auto"/>
          <w:szCs w:val="21"/>
          <w:highlight w:val="none"/>
        </w:rPr>
        <w:t>17</w:t>
      </w: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 xml:space="preserve">  最终结清申请单</w:t>
      </w:r>
      <w:bookmarkStart w:id="629" w:name="_Toc222029519"/>
      <w:bookmarkStart w:id="630" w:name="_Toc222033870"/>
      <w:bookmarkStart w:id="631" w:name="_Toc222032688"/>
      <w:bookmarkStart w:id="632" w:name="_Toc221951019"/>
      <w:bookmarkStart w:id="633" w:name="_Toc229305379"/>
      <w:bookmarkStart w:id="634" w:name="_Toc222031021"/>
    </w:p>
    <w:p w14:paraId="790F3C8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（1）工程质量保修责任终止证书签发后，承包人应按监理人批准的格式提交最终结清申请单的份数在专用合同条款中约定</w:t>
      </w:r>
    </w:p>
    <w:p w14:paraId="344C5E88">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（2）发包人对最终结清申请单内容有异议的，有权要求承包人进行修正和提供补充资料，由承包人向监理人提交修正后的最终结清申请单。</w:t>
      </w:r>
    </w:p>
    <w:p w14:paraId="3196364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17.6.2 最终结清证书和支付时间</w:t>
      </w:r>
    </w:p>
    <w:p w14:paraId="4B3CDC9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14:paraId="3B23374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(2）发包人应在监理人出具最终结清证书后的14 天内，将应支付款支付给承包人。</w:t>
      </w:r>
    </w:p>
    <w:p w14:paraId="2B11134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发包人不按期支付的，按第17.3.3(2）目的约定，将逾期付款违约金支付给承包人。</w:t>
      </w:r>
    </w:p>
    <w:p w14:paraId="3F96279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(3）承包人对发包人签认的最终结清证书有异议的，按第24条的约定办理。</w:t>
      </w:r>
    </w:p>
    <w:p w14:paraId="54510D4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(4）最终结清付款涉及政府投资资金的，按第17.3.3(4）目的约定办理。</w:t>
      </w:r>
    </w:p>
    <w:p w14:paraId="5DBB80CB">
      <w:pPr>
        <w:keepNext/>
        <w:keepLines/>
        <w:spacing w:before="260" w:after="260" w:line="416" w:lineRule="auto"/>
        <w:outlineLvl w:val="2"/>
        <w:rPr>
          <w:rFonts w:ascii="宋体" w:hAnsi="宋体"/>
          <w:b/>
          <w:bCs/>
          <w:color w:val="auto"/>
          <w:kern w:val="0"/>
          <w:sz w:val="32"/>
          <w:szCs w:val="32"/>
          <w:highlight w:val="none"/>
        </w:rPr>
      </w:pPr>
      <w:bookmarkStart w:id="635" w:name="_Toc115179913"/>
      <w:r>
        <w:rPr>
          <w:rFonts w:hint="eastAsia" w:ascii="宋体" w:hAnsi="宋体"/>
          <w:b/>
          <w:bCs/>
          <w:color w:val="auto"/>
          <w:kern w:val="0"/>
          <w:sz w:val="32"/>
          <w:szCs w:val="32"/>
          <w:highlight w:val="none"/>
        </w:rPr>
        <w:t>17.7 竣工财务决算</w:t>
      </w:r>
      <w:bookmarkEnd w:id="635"/>
    </w:p>
    <w:p w14:paraId="41C18735">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发包人负责编制本工程项目竣工财务决算，承包人应按专用合同条款的约定提供竣工财务决算编制所需的相关材料。</w:t>
      </w:r>
    </w:p>
    <w:p w14:paraId="5161C786">
      <w:pPr>
        <w:keepNext/>
        <w:keepLines/>
        <w:spacing w:before="260" w:after="260" w:line="416" w:lineRule="auto"/>
        <w:outlineLvl w:val="2"/>
        <w:rPr>
          <w:rFonts w:ascii="宋体" w:hAnsi="宋体"/>
          <w:b/>
          <w:bCs/>
          <w:color w:val="auto"/>
          <w:kern w:val="0"/>
          <w:sz w:val="32"/>
          <w:szCs w:val="32"/>
          <w:highlight w:val="none"/>
        </w:rPr>
      </w:pPr>
      <w:bookmarkStart w:id="636" w:name="_Toc115179914"/>
      <w:r>
        <w:rPr>
          <w:rFonts w:hint="eastAsia" w:ascii="宋体" w:hAnsi="宋体"/>
          <w:b/>
          <w:bCs/>
          <w:color w:val="auto"/>
          <w:kern w:val="0"/>
          <w:sz w:val="32"/>
          <w:szCs w:val="32"/>
          <w:highlight w:val="none"/>
        </w:rPr>
        <w:t>17.8 竣工审计</w:t>
      </w:r>
      <w:bookmarkEnd w:id="636"/>
    </w:p>
    <w:p w14:paraId="41406132">
      <w:pPr>
        <w:spacing w:line="400" w:lineRule="exact"/>
        <w:rPr>
          <w:rFonts w:ascii="宋体" w:hAnsi="宋体"/>
          <w:color w:val="auto"/>
          <w:highlight w:val="none"/>
        </w:rPr>
      </w:pPr>
      <w:r>
        <w:rPr>
          <w:rFonts w:hint="eastAsia" w:ascii="宋体" w:hAnsi="宋体"/>
          <w:color w:val="auto"/>
          <w:szCs w:val="21"/>
          <w:highlight w:val="none"/>
        </w:rPr>
        <w:t>发包人负责完成本工程竣工审计手续，承包人应完成相关配合工作。</w:t>
      </w:r>
    </w:p>
    <w:p w14:paraId="365611B1">
      <w:pPr>
        <w:spacing w:before="260" w:after="260" w:line="400" w:lineRule="exact"/>
        <w:outlineLvl w:val="1"/>
        <w:rPr>
          <w:rFonts w:ascii="宋体" w:hAnsi="宋体" w:eastAsia="黑体"/>
          <w:color w:val="auto"/>
          <w:kern w:val="44"/>
          <w:sz w:val="31"/>
          <w:szCs w:val="31"/>
          <w:highlight w:val="none"/>
        </w:rPr>
      </w:pPr>
      <w:bookmarkStart w:id="637" w:name="_Toc115179915"/>
      <w:bookmarkStart w:id="638" w:name="_Toc7969"/>
      <w:bookmarkStart w:id="639" w:name="_Toc259524366"/>
      <w:bookmarkStart w:id="640" w:name="_Toc483383018"/>
      <w:r>
        <w:rPr>
          <w:rFonts w:ascii="宋体" w:hAnsi="宋体" w:eastAsia="黑体"/>
          <w:color w:val="auto"/>
          <w:kern w:val="44"/>
          <w:sz w:val="31"/>
          <w:szCs w:val="31"/>
          <w:highlight w:val="none"/>
        </w:rPr>
        <w:t xml:space="preserve">18. </w:t>
      </w:r>
      <w:r>
        <w:rPr>
          <w:rFonts w:hint="eastAsia" w:ascii="宋体" w:hAnsi="宋体" w:eastAsia="黑体"/>
          <w:color w:val="auto"/>
          <w:kern w:val="44"/>
          <w:sz w:val="31"/>
          <w:szCs w:val="31"/>
          <w:highlight w:val="none"/>
        </w:rPr>
        <w:t>竣工验收</w:t>
      </w:r>
      <w:bookmarkEnd w:id="629"/>
      <w:bookmarkEnd w:id="630"/>
      <w:bookmarkEnd w:id="631"/>
      <w:bookmarkEnd w:id="632"/>
      <w:bookmarkEnd w:id="633"/>
      <w:bookmarkEnd w:id="634"/>
      <w:bookmarkEnd w:id="637"/>
      <w:bookmarkEnd w:id="638"/>
      <w:bookmarkEnd w:id="639"/>
      <w:bookmarkEnd w:id="640"/>
    </w:p>
    <w:p w14:paraId="7BA6ECD0">
      <w:pPr>
        <w:keepNext/>
        <w:keepLines/>
        <w:spacing w:before="260" w:after="260" w:line="416" w:lineRule="auto"/>
        <w:outlineLvl w:val="2"/>
        <w:rPr>
          <w:rFonts w:ascii="宋体" w:hAnsi="宋体"/>
          <w:b/>
          <w:bCs/>
          <w:color w:val="auto"/>
          <w:kern w:val="0"/>
          <w:sz w:val="32"/>
          <w:szCs w:val="32"/>
          <w:highlight w:val="none"/>
        </w:rPr>
      </w:pPr>
      <w:bookmarkStart w:id="641" w:name="_Toc115179916"/>
      <w:bookmarkStart w:id="642" w:name="_Toc222033871"/>
      <w:bookmarkStart w:id="643" w:name="_Toc229305380"/>
      <w:bookmarkStart w:id="644" w:name="_Toc221951044"/>
      <w:bookmarkStart w:id="645" w:name="_Toc222029520"/>
      <w:bookmarkStart w:id="646" w:name="_Toc222032689"/>
      <w:bookmarkStart w:id="647" w:name="_Toc222031022"/>
      <w:r>
        <w:rPr>
          <w:rFonts w:ascii="宋体" w:hAnsi="宋体"/>
          <w:b/>
          <w:bCs/>
          <w:color w:val="auto"/>
          <w:kern w:val="0"/>
          <w:sz w:val="32"/>
          <w:szCs w:val="32"/>
          <w:highlight w:val="none"/>
        </w:rPr>
        <w:t xml:space="preserve">18.1 </w:t>
      </w:r>
      <w:r>
        <w:rPr>
          <w:rFonts w:hint="eastAsia" w:ascii="宋体" w:hAnsi="宋体"/>
          <w:b/>
          <w:bCs/>
          <w:color w:val="auto"/>
          <w:kern w:val="0"/>
          <w:sz w:val="32"/>
          <w:szCs w:val="32"/>
          <w:highlight w:val="none"/>
        </w:rPr>
        <w:t>验收及类别</w:t>
      </w:r>
      <w:bookmarkEnd w:id="641"/>
    </w:p>
    <w:p w14:paraId="2551B473">
      <w:pPr>
        <w:spacing w:line="400" w:lineRule="exact"/>
        <w:ind w:firstLine="315" w:firstLineChars="150"/>
        <w:rPr>
          <w:rFonts w:ascii="宋体" w:hAnsi="宋体"/>
          <w:color w:val="auto"/>
          <w:sz w:val="20"/>
          <w:szCs w:val="20"/>
          <w:highlight w:val="none"/>
        </w:rPr>
      </w:pPr>
      <w:r>
        <w:rPr>
          <w:rFonts w:hint="eastAsia" w:ascii="宋体" w:hAnsi="宋体"/>
          <w:color w:val="auto"/>
          <w:highlight w:val="none"/>
        </w:rPr>
        <w:t>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14:paraId="2160D964">
      <w:pPr>
        <w:keepNext/>
        <w:keepLines/>
        <w:spacing w:before="260" w:after="260" w:line="416" w:lineRule="auto"/>
        <w:outlineLvl w:val="2"/>
        <w:rPr>
          <w:rFonts w:ascii="宋体" w:hAnsi="宋体"/>
          <w:b/>
          <w:bCs/>
          <w:color w:val="auto"/>
          <w:kern w:val="0"/>
          <w:sz w:val="32"/>
          <w:szCs w:val="32"/>
          <w:highlight w:val="none"/>
        </w:rPr>
      </w:pPr>
      <w:bookmarkStart w:id="648" w:name="_Toc115179917"/>
      <w:r>
        <w:rPr>
          <w:rFonts w:ascii="宋体" w:hAnsi="宋体"/>
          <w:b/>
          <w:bCs/>
          <w:color w:val="auto"/>
          <w:kern w:val="0"/>
          <w:sz w:val="32"/>
          <w:szCs w:val="32"/>
          <w:highlight w:val="none"/>
        </w:rPr>
        <w:t>18.</w:t>
      </w:r>
      <w:r>
        <w:rPr>
          <w:rFonts w:hint="eastAsia" w:ascii="宋体" w:hAnsi="宋体"/>
          <w:b/>
          <w:bCs/>
          <w:color w:val="auto"/>
          <w:kern w:val="0"/>
          <w:sz w:val="32"/>
          <w:szCs w:val="32"/>
          <w:highlight w:val="none"/>
        </w:rPr>
        <w:t>2</w:t>
      </w:r>
      <w:r>
        <w:rPr>
          <w:rFonts w:ascii="宋体" w:hAnsi="宋体"/>
          <w:b/>
          <w:bCs/>
          <w:color w:val="auto"/>
          <w:kern w:val="0"/>
          <w:sz w:val="32"/>
          <w:szCs w:val="32"/>
          <w:highlight w:val="none"/>
        </w:rPr>
        <w:t xml:space="preserve"> </w:t>
      </w:r>
      <w:r>
        <w:rPr>
          <w:rFonts w:hint="eastAsia" w:ascii="宋体" w:hAnsi="宋体"/>
          <w:b/>
          <w:bCs/>
          <w:color w:val="auto"/>
          <w:kern w:val="0"/>
          <w:sz w:val="32"/>
          <w:szCs w:val="32"/>
          <w:highlight w:val="none"/>
        </w:rPr>
        <w:t>分部工程验收</w:t>
      </w:r>
      <w:bookmarkEnd w:id="648"/>
    </w:p>
    <w:p w14:paraId="62E63FB6">
      <w:pPr>
        <w:spacing w:line="400" w:lineRule="exact"/>
        <w:ind w:firstLine="420" w:firstLineChars="200"/>
        <w:rPr>
          <w:rFonts w:ascii="宋体" w:hAnsi="宋体"/>
          <w:color w:val="auto"/>
          <w:highlight w:val="none"/>
        </w:rPr>
      </w:pPr>
      <w:r>
        <w:rPr>
          <w:rFonts w:hint="eastAsia" w:ascii="宋体" w:hAnsi="宋体"/>
          <w:color w:val="auto"/>
          <w:highlight w:val="none"/>
        </w:rPr>
        <w:t>18.2.1 分部工程具备验收条件时，承包人应向发包人提交验收申请报告，发包人应在收到验收申请报告之日起10 个工作日内决定是否同意进行验收。</w:t>
      </w:r>
    </w:p>
    <w:p w14:paraId="4553E711">
      <w:pPr>
        <w:spacing w:line="400" w:lineRule="exact"/>
        <w:ind w:firstLine="420" w:firstLineChars="200"/>
        <w:rPr>
          <w:rFonts w:ascii="宋体" w:hAnsi="宋体"/>
          <w:color w:val="auto"/>
          <w:highlight w:val="none"/>
        </w:rPr>
      </w:pPr>
      <w:r>
        <w:rPr>
          <w:rFonts w:hint="eastAsia" w:ascii="宋体" w:hAnsi="宋体"/>
          <w:color w:val="auto"/>
          <w:highlight w:val="none"/>
        </w:rPr>
        <w:t>18.2.2 除专用合同条款另有约定外，监理人主持分部工程验收，承包人应派符合条件的代表参加验收工作组。</w:t>
      </w:r>
    </w:p>
    <w:p w14:paraId="2A66203B">
      <w:pPr>
        <w:spacing w:line="400" w:lineRule="exact"/>
        <w:ind w:firstLine="420" w:firstLineChars="200"/>
        <w:rPr>
          <w:rFonts w:ascii="宋体" w:hAnsi="宋体"/>
          <w:color w:val="auto"/>
          <w:highlight w:val="none"/>
        </w:rPr>
      </w:pPr>
      <w:r>
        <w:rPr>
          <w:rFonts w:hint="eastAsia" w:ascii="宋体" w:hAnsi="宋体"/>
          <w:color w:val="auto"/>
          <w:highlight w:val="none"/>
        </w:rPr>
        <w:t>18.2.3 分部工程验收通过后，发包人向承包人发送分部工程验收鉴定书。承包人应及时完成分部工程验收鉴定书载明应由承包人处理的遗留问题。</w:t>
      </w:r>
    </w:p>
    <w:p w14:paraId="7448D6BE">
      <w:pPr>
        <w:keepNext/>
        <w:keepLines/>
        <w:spacing w:before="260" w:after="260" w:line="416" w:lineRule="auto"/>
        <w:outlineLvl w:val="2"/>
        <w:rPr>
          <w:rFonts w:ascii="宋体" w:hAnsi="宋体"/>
          <w:b/>
          <w:bCs/>
          <w:color w:val="auto"/>
          <w:kern w:val="0"/>
          <w:sz w:val="32"/>
          <w:szCs w:val="32"/>
          <w:highlight w:val="none"/>
        </w:rPr>
      </w:pPr>
      <w:bookmarkStart w:id="649" w:name="_Toc115179918"/>
      <w:r>
        <w:rPr>
          <w:rFonts w:hint="eastAsia" w:ascii="宋体" w:hAnsi="宋体"/>
          <w:b/>
          <w:bCs/>
          <w:color w:val="auto"/>
          <w:kern w:val="0"/>
          <w:sz w:val="32"/>
          <w:szCs w:val="32"/>
          <w:highlight w:val="none"/>
        </w:rPr>
        <w:t>18.3 单位工程验收</w:t>
      </w:r>
      <w:bookmarkEnd w:id="649"/>
    </w:p>
    <w:p w14:paraId="6D58C9F4">
      <w:pPr>
        <w:spacing w:line="400" w:lineRule="exact"/>
        <w:ind w:firstLine="420" w:firstLineChars="200"/>
        <w:rPr>
          <w:rFonts w:ascii="宋体" w:hAnsi="宋体"/>
          <w:color w:val="auto"/>
          <w:highlight w:val="none"/>
        </w:rPr>
      </w:pPr>
      <w:r>
        <w:rPr>
          <w:rFonts w:hint="eastAsia" w:ascii="宋体" w:hAnsi="宋体"/>
          <w:color w:val="auto"/>
          <w:highlight w:val="none"/>
        </w:rPr>
        <w:t>18.3.1 单位工程具备验收条件时，承包人应向发包人提交验收申请报告，发包人应在收到验收申请报告之日起10 个工作日内决定是否同意进行验收。</w:t>
      </w:r>
    </w:p>
    <w:p w14:paraId="7CE1609B">
      <w:pPr>
        <w:spacing w:line="400" w:lineRule="exact"/>
        <w:ind w:firstLine="420" w:firstLineChars="200"/>
        <w:rPr>
          <w:rFonts w:ascii="宋体" w:hAnsi="宋体"/>
          <w:color w:val="auto"/>
          <w:highlight w:val="none"/>
        </w:rPr>
      </w:pPr>
      <w:r>
        <w:rPr>
          <w:rFonts w:hint="eastAsia" w:ascii="宋体" w:hAnsi="宋体"/>
          <w:color w:val="auto"/>
          <w:highlight w:val="none"/>
        </w:rPr>
        <w:t>18.3.2发包人主持单位工程验收，承包人应派符合条件的代表参加验收工作组。</w:t>
      </w:r>
    </w:p>
    <w:p w14:paraId="099D8C6C">
      <w:pPr>
        <w:spacing w:line="400" w:lineRule="exact"/>
        <w:ind w:firstLine="420" w:firstLineChars="200"/>
        <w:rPr>
          <w:rFonts w:ascii="宋体" w:hAnsi="宋体"/>
          <w:color w:val="auto"/>
          <w:highlight w:val="none"/>
        </w:rPr>
      </w:pPr>
      <w:r>
        <w:rPr>
          <w:rFonts w:hint="eastAsia" w:ascii="宋体" w:hAnsi="宋体"/>
          <w:color w:val="auto"/>
          <w:highlight w:val="none"/>
        </w:rPr>
        <w:t>18.3.3单位工程验收通过后，发包人向承包人发送单位工程验收鉴定书。承包人应及时完成单位工程验收鉴定书载明应由承包人处理的遗留问题。</w:t>
      </w:r>
    </w:p>
    <w:p w14:paraId="7B5E843A">
      <w:pPr>
        <w:spacing w:line="400" w:lineRule="exact"/>
        <w:ind w:firstLine="420" w:firstLineChars="200"/>
        <w:rPr>
          <w:rFonts w:ascii="宋体" w:hAnsi="宋体"/>
          <w:color w:val="auto"/>
          <w:highlight w:val="none"/>
        </w:rPr>
      </w:pPr>
      <w:r>
        <w:rPr>
          <w:rFonts w:hint="eastAsia" w:ascii="宋体" w:hAnsi="宋体"/>
          <w:color w:val="auto"/>
          <w:highlight w:val="none"/>
        </w:rPr>
        <w:t>18.3.4需提前投入使用的单位工程在专用合同条款中明确。</w:t>
      </w:r>
    </w:p>
    <w:p w14:paraId="06F4CEBB">
      <w:pPr>
        <w:keepNext/>
        <w:keepLines/>
        <w:spacing w:before="260" w:after="260" w:line="416" w:lineRule="auto"/>
        <w:outlineLvl w:val="2"/>
        <w:rPr>
          <w:rFonts w:ascii="宋体" w:hAnsi="宋体"/>
          <w:b/>
          <w:bCs/>
          <w:color w:val="auto"/>
          <w:kern w:val="0"/>
          <w:sz w:val="32"/>
          <w:szCs w:val="32"/>
          <w:highlight w:val="none"/>
        </w:rPr>
      </w:pPr>
      <w:bookmarkStart w:id="650" w:name="_Toc115179919"/>
      <w:r>
        <w:rPr>
          <w:rFonts w:hint="eastAsia" w:ascii="宋体" w:hAnsi="宋体"/>
          <w:b/>
          <w:bCs/>
          <w:color w:val="auto"/>
          <w:kern w:val="0"/>
          <w:sz w:val="32"/>
          <w:szCs w:val="32"/>
          <w:highlight w:val="none"/>
        </w:rPr>
        <w:t>18.4合同工程完工验收</w:t>
      </w:r>
      <w:bookmarkEnd w:id="650"/>
    </w:p>
    <w:p w14:paraId="41BE8434">
      <w:pPr>
        <w:spacing w:line="400" w:lineRule="exact"/>
        <w:ind w:firstLine="420" w:firstLineChars="200"/>
        <w:rPr>
          <w:rFonts w:hint="eastAsia" w:ascii="宋体" w:hAnsi="宋体"/>
          <w:color w:val="auto"/>
          <w:highlight w:val="none"/>
        </w:rPr>
      </w:pPr>
      <w:r>
        <w:rPr>
          <w:rFonts w:hint="eastAsia" w:ascii="宋体" w:hAnsi="宋体"/>
          <w:color w:val="auto"/>
          <w:highlight w:val="none"/>
        </w:rPr>
        <w:t>18.4.1 合同工程具备验收条件时，承包人应向发包人提交验收申请报告，发包人应在收到验收申请报告之日起20 个工作日内决定是否同意进行验收。</w:t>
      </w:r>
    </w:p>
    <w:p w14:paraId="76EFB327">
      <w:pPr>
        <w:spacing w:line="400" w:lineRule="exact"/>
        <w:ind w:firstLine="420" w:firstLineChars="200"/>
        <w:rPr>
          <w:rFonts w:ascii="宋体" w:hAnsi="宋体"/>
          <w:color w:val="auto"/>
          <w:highlight w:val="none"/>
        </w:rPr>
      </w:pPr>
      <w:r>
        <w:rPr>
          <w:rFonts w:hint="eastAsia" w:ascii="宋体" w:hAnsi="宋体"/>
          <w:color w:val="auto"/>
          <w:highlight w:val="none"/>
        </w:rPr>
        <w:t xml:space="preserve">    18.4.2 发包人主持合同工程完工验收，承包人应派代表参加验收工作组。</w:t>
      </w:r>
    </w:p>
    <w:p w14:paraId="5E952B81">
      <w:pPr>
        <w:spacing w:line="400" w:lineRule="exact"/>
        <w:ind w:firstLine="420" w:firstLineChars="200"/>
        <w:rPr>
          <w:rFonts w:ascii="宋体" w:hAnsi="宋体"/>
          <w:color w:val="auto"/>
          <w:highlight w:val="none"/>
        </w:rPr>
      </w:pPr>
      <w:r>
        <w:rPr>
          <w:rFonts w:hint="eastAsia" w:ascii="宋体" w:hAnsi="宋体"/>
          <w:color w:val="auto"/>
          <w:highlight w:val="none"/>
        </w:rPr>
        <w:t>18.4.3 合同工程完工验收通过后，发包人向承包人发送合同工程完工验收鉴定书。承包人应及时完成合同工程完工验收鉴定书载明应由承包人处理的遗留问题。</w:t>
      </w:r>
    </w:p>
    <w:p w14:paraId="3A7D8F8B">
      <w:pPr>
        <w:spacing w:line="400" w:lineRule="exact"/>
        <w:ind w:firstLine="420" w:firstLineChars="200"/>
        <w:rPr>
          <w:rFonts w:ascii="宋体" w:hAnsi="宋体"/>
          <w:color w:val="auto"/>
          <w:highlight w:val="none"/>
        </w:rPr>
      </w:pPr>
      <w:r>
        <w:rPr>
          <w:rFonts w:hint="eastAsia" w:ascii="宋体" w:hAnsi="宋体"/>
          <w:color w:val="auto"/>
          <w:highlight w:val="none"/>
        </w:rPr>
        <w:t>18.4.4 合同工程完工验收通过后，发包人与承包人应在30 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 个工作日内向承包人颁发合同工程完工证书。</w:t>
      </w:r>
    </w:p>
    <w:p w14:paraId="7F022E9E">
      <w:pPr>
        <w:keepNext/>
        <w:keepLines/>
        <w:spacing w:before="260" w:after="260" w:line="416" w:lineRule="auto"/>
        <w:outlineLvl w:val="2"/>
        <w:rPr>
          <w:rFonts w:ascii="宋体" w:hAnsi="宋体"/>
          <w:b/>
          <w:bCs/>
          <w:color w:val="auto"/>
          <w:kern w:val="0"/>
          <w:sz w:val="32"/>
          <w:szCs w:val="32"/>
          <w:highlight w:val="none"/>
        </w:rPr>
      </w:pPr>
      <w:bookmarkStart w:id="651" w:name="_Toc115179920"/>
      <w:r>
        <w:rPr>
          <w:rFonts w:hint="eastAsia" w:ascii="宋体" w:hAnsi="宋体"/>
          <w:b/>
          <w:bCs/>
          <w:color w:val="auto"/>
          <w:kern w:val="0"/>
          <w:sz w:val="32"/>
          <w:szCs w:val="32"/>
          <w:highlight w:val="none"/>
        </w:rPr>
        <w:t>18.5</w:t>
      </w:r>
      <w:r>
        <w:rPr>
          <w:rFonts w:ascii="宋体" w:hAnsi="宋体"/>
          <w:b/>
          <w:bCs/>
          <w:color w:val="auto"/>
          <w:kern w:val="0"/>
          <w:sz w:val="32"/>
          <w:szCs w:val="32"/>
          <w:highlight w:val="none"/>
        </w:rPr>
        <w:t xml:space="preserve">  </w:t>
      </w:r>
      <w:r>
        <w:rPr>
          <w:rFonts w:hint="eastAsia" w:ascii="宋体" w:hAnsi="宋体"/>
          <w:b/>
          <w:bCs/>
          <w:color w:val="auto"/>
          <w:kern w:val="0"/>
          <w:sz w:val="32"/>
          <w:szCs w:val="32"/>
          <w:highlight w:val="none"/>
        </w:rPr>
        <w:t>阶段验收</w:t>
      </w:r>
      <w:bookmarkEnd w:id="651"/>
    </w:p>
    <w:p w14:paraId="11CA5198">
      <w:pPr>
        <w:spacing w:line="400" w:lineRule="exact"/>
        <w:ind w:firstLine="315" w:firstLineChars="150"/>
        <w:rPr>
          <w:rFonts w:ascii="宋体" w:hAnsi="宋体"/>
          <w:color w:val="auto"/>
          <w:highlight w:val="none"/>
        </w:rPr>
      </w:pPr>
      <w:r>
        <w:rPr>
          <w:rFonts w:hint="eastAsia" w:ascii="宋体" w:hAnsi="宋体"/>
          <w:color w:val="auto"/>
          <w:highlight w:val="none"/>
        </w:rPr>
        <w:t>18.5.1 工程建设具备阶段验收条件时，发包人负责提出阶段验收申请报告。承包人应派代表参加阶段验收，并作为被验收单位在验收鉴定书上签字。阶段验收的具体类别在专用合同条款中约定。</w:t>
      </w:r>
    </w:p>
    <w:p w14:paraId="147AE3F8">
      <w:pPr>
        <w:spacing w:line="400" w:lineRule="exact"/>
        <w:ind w:firstLine="315" w:firstLineChars="150"/>
        <w:rPr>
          <w:rFonts w:ascii="宋体" w:hAnsi="宋体"/>
          <w:color w:val="auto"/>
          <w:highlight w:val="none"/>
        </w:rPr>
      </w:pPr>
      <w:r>
        <w:rPr>
          <w:rFonts w:hint="eastAsia" w:ascii="宋体" w:hAnsi="宋体"/>
          <w:color w:val="auto"/>
          <w:highlight w:val="none"/>
        </w:rPr>
        <w:t>18.5.2 承包人应及时完成阶段验收鉴定书载明应由承包人处理的遗留问题。</w:t>
      </w:r>
    </w:p>
    <w:p w14:paraId="2FCED7B0">
      <w:pPr>
        <w:keepNext/>
        <w:keepLines/>
        <w:spacing w:before="260" w:after="260" w:line="416" w:lineRule="auto"/>
        <w:outlineLvl w:val="2"/>
        <w:rPr>
          <w:rFonts w:ascii="宋体" w:hAnsi="宋体"/>
          <w:b/>
          <w:bCs/>
          <w:color w:val="auto"/>
          <w:kern w:val="0"/>
          <w:sz w:val="32"/>
          <w:szCs w:val="32"/>
          <w:highlight w:val="none"/>
        </w:rPr>
      </w:pPr>
      <w:bookmarkStart w:id="652" w:name="_Toc115179921"/>
      <w:r>
        <w:rPr>
          <w:rFonts w:hint="eastAsia" w:ascii="宋体" w:hAnsi="宋体"/>
          <w:b/>
          <w:bCs/>
          <w:color w:val="auto"/>
          <w:kern w:val="0"/>
          <w:sz w:val="32"/>
          <w:szCs w:val="32"/>
          <w:highlight w:val="none"/>
        </w:rPr>
        <w:t>18.6  专项验收</w:t>
      </w:r>
      <w:bookmarkEnd w:id="652"/>
      <w:r>
        <w:rPr>
          <w:rFonts w:hint="eastAsia" w:ascii="宋体" w:hAnsi="宋体"/>
          <w:b/>
          <w:bCs/>
          <w:color w:val="auto"/>
          <w:kern w:val="0"/>
          <w:sz w:val="32"/>
          <w:szCs w:val="32"/>
          <w:highlight w:val="none"/>
        </w:rPr>
        <w:t xml:space="preserve"> </w:t>
      </w:r>
    </w:p>
    <w:p w14:paraId="4B079BA9">
      <w:pPr>
        <w:spacing w:line="400" w:lineRule="exact"/>
        <w:ind w:firstLine="315" w:firstLineChars="150"/>
        <w:rPr>
          <w:rFonts w:ascii="宋体" w:hAnsi="宋体"/>
          <w:color w:val="auto"/>
          <w:highlight w:val="none"/>
        </w:rPr>
      </w:pPr>
      <w:r>
        <w:rPr>
          <w:rFonts w:hint="eastAsia" w:ascii="宋体" w:hAnsi="宋体"/>
          <w:color w:val="auto"/>
          <w:highlight w:val="none"/>
        </w:rPr>
        <w:t>18.6.1发包人负责提出专项验收申请报告。承包人应按专项验收的相关规定参加专项专项验收的具体类别在专用合同条款中约定。</w:t>
      </w:r>
    </w:p>
    <w:p w14:paraId="6C138C04">
      <w:pPr>
        <w:spacing w:line="400" w:lineRule="exact"/>
        <w:ind w:firstLine="315" w:firstLineChars="150"/>
        <w:rPr>
          <w:rFonts w:ascii="宋体" w:hAnsi="宋体"/>
          <w:color w:val="auto"/>
          <w:highlight w:val="none"/>
        </w:rPr>
      </w:pPr>
      <w:r>
        <w:rPr>
          <w:rFonts w:hint="eastAsia" w:ascii="宋体" w:hAnsi="宋体"/>
          <w:color w:val="auto"/>
          <w:highlight w:val="none"/>
        </w:rPr>
        <w:t>18.6.2 承包人应及时完成专项验收成果性文件载明应由承包人处理的遗留问题。</w:t>
      </w:r>
    </w:p>
    <w:p w14:paraId="63F5CAA5">
      <w:pPr>
        <w:keepNext/>
        <w:keepLines/>
        <w:spacing w:before="260" w:after="260" w:line="416" w:lineRule="auto"/>
        <w:outlineLvl w:val="2"/>
        <w:rPr>
          <w:rFonts w:ascii="宋体" w:hAnsi="宋体"/>
          <w:b/>
          <w:bCs/>
          <w:color w:val="auto"/>
          <w:kern w:val="0"/>
          <w:sz w:val="32"/>
          <w:szCs w:val="32"/>
          <w:highlight w:val="none"/>
        </w:rPr>
      </w:pPr>
      <w:bookmarkStart w:id="653" w:name="_Toc115179922"/>
      <w:r>
        <w:rPr>
          <w:rFonts w:hint="eastAsia" w:ascii="宋体" w:hAnsi="宋体"/>
          <w:b/>
          <w:bCs/>
          <w:color w:val="auto"/>
          <w:kern w:val="0"/>
          <w:sz w:val="32"/>
          <w:szCs w:val="32"/>
          <w:highlight w:val="none"/>
        </w:rPr>
        <w:t>18.7 竣工验收</w:t>
      </w:r>
      <w:bookmarkEnd w:id="653"/>
    </w:p>
    <w:p w14:paraId="6857C2CC">
      <w:pPr>
        <w:spacing w:line="400" w:lineRule="exact"/>
        <w:ind w:right="248" w:firstLine="210" w:firstLineChars="100"/>
        <w:rPr>
          <w:rFonts w:ascii="宋体" w:hAnsi="宋体"/>
          <w:color w:val="auto"/>
          <w:highlight w:val="none"/>
        </w:rPr>
      </w:pPr>
      <w:r>
        <w:rPr>
          <w:rFonts w:hint="eastAsia" w:ascii="宋体" w:hAnsi="宋体"/>
          <w:color w:val="auto"/>
          <w:highlight w:val="none"/>
        </w:rPr>
        <w:t>18. 7.1 申请竣工验收前，发包人组织竣工验收自查，承包人应派代表参加。</w:t>
      </w:r>
    </w:p>
    <w:p w14:paraId="4E5804D6">
      <w:pPr>
        <w:spacing w:line="400" w:lineRule="exact"/>
        <w:ind w:right="248" w:firstLine="210" w:firstLineChars="100"/>
        <w:rPr>
          <w:rFonts w:ascii="宋体" w:hAnsi="宋体"/>
          <w:color w:val="auto"/>
          <w:highlight w:val="none"/>
        </w:rPr>
      </w:pPr>
      <w:r>
        <w:rPr>
          <w:rFonts w:hint="eastAsia" w:ascii="宋体" w:hAnsi="宋体"/>
          <w:color w:val="auto"/>
          <w:highlight w:val="none"/>
        </w:rPr>
        <w:t>18.7.2 竣工验收分为竣工技术预验收和竣工验收两个阶段。发包人应通知承包人派代表参加技术预验收和竣工验收。</w:t>
      </w:r>
    </w:p>
    <w:p w14:paraId="2378C97F">
      <w:pPr>
        <w:spacing w:line="400" w:lineRule="exact"/>
        <w:ind w:right="248" w:firstLine="210" w:firstLineChars="100"/>
        <w:rPr>
          <w:rFonts w:ascii="宋体" w:hAnsi="宋体"/>
          <w:color w:val="auto"/>
          <w:highlight w:val="none"/>
        </w:rPr>
      </w:pPr>
      <w:r>
        <w:rPr>
          <w:rFonts w:hint="eastAsia" w:ascii="宋体" w:hAnsi="宋体"/>
          <w:color w:val="auto"/>
          <w:highlight w:val="none"/>
        </w:rPr>
        <w:t>18.7.3 专用合同条款约定工程需要进行技术鉴定的，承包人应提交有关资料并完成配合工作。</w:t>
      </w:r>
    </w:p>
    <w:p w14:paraId="390DAFA3">
      <w:pPr>
        <w:spacing w:line="400" w:lineRule="exact"/>
        <w:ind w:right="248" w:firstLine="210" w:firstLineChars="100"/>
        <w:rPr>
          <w:rFonts w:ascii="宋体" w:hAnsi="宋体"/>
          <w:color w:val="auto"/>
          <w:highlight w:val="none"/>
        </w:rPr>
      </w:pPr>
      <w:r>
        <w:rPr>
          <w:rFonts w:hint="eastAsia" w:ascii="宋体" w:hAnsi="宋体"/>
          <w:color w:val="auto"/>
          <w:highlight w:val="none"/>
        </w:rPr>
        <w:t>18.7.4 竣工验收需要进行质量检测的，所需费用由发包人承担，但因承包人原因造成质量不合格的除外。</w:t>
      </w:r>
    </w:p>
    <w:p w14:paraId="30A3852E">
      <w:pPr>
        <w:spacing w:line="400" w:lineRule="exact"/>
        <w:ind w:right="248" w:firstLine="210" w:firstLineChars="100"/>
        <w:rPr>
          <w:rFonts w:ascii="宋体" w:hAnsi="宋体"/>
          <w:color w:val="auto"/>
          <w:highlight w:val="none"/>
        </w:rPr>
      </w:pPr>
      <w:r>
        <w:rPr>
          <w:rFonts w:hint="eastAsia" w:ascii="宋体" w:hAnsi="宋体"/>
          <w:color w:val="auto"/>
          <w:highlight w:val="none"/>
        </w:rPr>
        <w:t>18.7.5 工程质量保修期满以及竣工验收遗留问题和尾工处理完成并通过验收后，发包人负责将处理情况和验收成果报送竣工验收主持单位，申请领取工程竣工证书，并发送承包人。</w:t>
      </w:r>
    </w:p>
    <w:p w14:paraId="0BFC8F92">
      <w:pPr>
        <w:keepNext/>
        <w:keepLines/>
        <w:spacing w:before="260" w:after="260" w:line="416" w:lineRule="auto"/>
        <w:outlineLvl w:val="2"/>
        <w:rPr>
          <w:rFonts w:ascii="宋体" w:hAnsi="宋体"/>
          <w:b/>
          <w:bCs/>
          <w:color w:val="auto"/>
          <w:kern w:val="0"/>
          <w:szCs w:val="32"/>
          <w:highlight w:val="none"/>
        </w:rPr>
      </w:pPr>
      <w:bookmarkStart w:id="654" w:name="_Toc115179923"/>
      <w:r>
        <w:rPr>
          <w:rFonts w:hint="eastAsia" w:ascii="宋体" w:hAnsi="宋体"/>
          <w:b/>
          <w:bCs/>
          <w:color w:val="auto"/>
          <w:kern w:val="0"/>
          <w:sz w:val="32"/>
          <w:szCs w:val="32"/>
          <w:highlight w:val="none"/>
        </w:rPr>
        <w:t>18.8 施工期运行</w:t>
      </w:r>
      <w:bookmarkEnd w:id="654"/>
    </w:p>
    <w:p w14:paraId="039F0638">
      <w:pPr>
        <w:spacing w:line="400" w:lineRule="exact"/>
        <w:ind w:right="248" w:firstLine="210" w:firstLineChars="100"/>
        <w:rPr>
          <w:rFonts w:ascii="宋体" w:hAnsi="宋体"/>
          <w:color w:val="auto"/>
          <w:highlight w:val="none"/>
        </w:rPr>
      </w:pPr>
      <w:r>
        <w:rPr>
          <w:rFonts w:hint="eastAsia" w:ascii="宋体" w:hAnsi="宋体"/>
          <w:color w:val="auto"/>
          <w:highlight w:val="none"/>
        </w:rPr>
        <w:t>18.8.1 施工期运行是指合同工程尚未全部完工，其中某单位工程或部分工程已完工，需要投入施工期运行的，经发包人按第18.2 款或第18.3款的约定验收合格，证明能确保安全后，才能在施工期投入运行。需要在施工期运行的单位工程或部分工程在专用合同条款中约定。</w:t>
      </w:r>
    </w:p>
    <w:p w14:paraId="573A6473">
      <w:pPr>
        <w:spacing w:line="400" w:lineRule="exact"/>
        <w:ind w:right="248" w:firstLine="210" w:firstLineChars="100"/>
        <w:rPr>
          <w:rFonts w:ascii="宋体" w:hAnsi="宋体"/>
          <w:color w:val="auto"/>
          <w:highlight w:val="none"/>
        </w:rPr>
      </w:pPr>
      <w:r>
        <w:rPr>
          <w:rFonts w:hint="eastAsia" w:ascii="宋体" w:hAnsi="宋体"/>
          <w:color w:val="auto"/>
          <w:highlight w:val="none"/>
        </w:rPr>
        <w:t>18.8.2 在施工期运行中发现工程或工程设备损坏或存在缺陷的，由承包人按第19.2 款约定进行修复。</w:t>
      </w:r>
    </w:p>
    <w:p w14:paraId="58301376">
      <w:pPr>
        <w:keepNext/>
        <w:keepLines/>
        <w:spacing w:before="260" w:after="260" w:line="416" w:lineRule="auto"/>
        <w:outlineLvl w:val="2"/>
        <w:rPr>
          <w:rFonts w:ascii="宋体" w:hAnsi="宋体"/>
          <w:b/>
          <w:bCs/>
          <w:color w:val="auto"/>
          <w:kern w:val="0"/>
          <w:sz w:val="32"/>
          <w:szCs w:val="32"/>
          <w:highlight w:val="none"/>
        </w:rPr>
      </w:pPr>
      <w:bookmarkStart w:id="655" w:name="_Toc115179924"/>
      <w:r>
        <w:rPr>
          <w:rFonts w:hint="eastAsia" w:ascii="宋体" w:hAnsi="宋体"/>
          <w:b/>
          <w:bCs/>
          <w:color w:val="auto"/>
          <w:kern w:val="0"/>
          <w:sz w:val="32"/>
          <w:szCs w:val="32"/>
          <w:highlight w:val="none"/>
        </w:rPr>
        <w:t>18.9 试运行</w:t>
      </w:r>
      <w:bookmarkEnd w:id="655"/>
    </w:p>
    <w:p w14:paraId="48B66642">
      <w:pPr>
        <w:spacing w:line="400" w:lineRule="exact"/>
        <w:ind w:right="248" w:firstLine="210" w:firstLineChars="100"/>
        <w:rPr>
          <w:rFonts w:ascii="宋体" w:hAnsi="宋体"/>
          <w:color w:val="auto"/>
          <w:highlight w:val="none"/>
        </w:rPr>
      </w:pPr>
      <w:r>
        <w:rPr>
          <w:rFonts w:hint="eastAsia" w:ascii="宋体" w:hAnsi="宋体"/>
          <w:color w:val="auto"/>
          <w:highlight w:val="none"/>
        </w:rPr>
        <w:t>18.9.1 除专用合同条款另有约定外，承包人应按规定进行工程及工程设备试运行，负责提供试运行所需的人员、器材和必要的条件，并承担全部试运行费用。</w:t>
      </w:r>
    </w:p>
    <w:p w14:paraId="5E3F21AA">
      <w:pPr>
        <w:spacing w:line="400" w:lineRule="exact"/>
        <w:ind w:right="248" w:firstLine="210" w:firstLineChars="100"/>
        <w:rPr>
          <w:rFonts w:ascii="宋体" w:hAnsi="宋体"/>
          <w:color w:val="auto"/>
          <w:highlight w:val="none"/>
        </w:rPr>
      </w:pPr>
      <w:r>
        <w:rPr>
          <w:rFonts w:hint="eastAsia" w:ascii="宋体" w:hAnsi="宋体"/>
          <w:color w:val="auto"/>
          <w:highlight w:val="none"/>
        </w:rPr>
        <w:t>18.9.2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06E58F36">
      <w:pPr>
        <w:keepNext/>
        <w:keepLines/>
        <w:spacing w:before="260" w:after="260" w:line="416" w:lineRule="auto"/>
        <w:outlineLvl w:val="2"/>
        <w:rPr>
          <w:rFonts w:ascii="宋体" w:hAnsi="宋体"/>
          <w:b/>
          <w:bCs/>
          <w:color w:val="auto"/>
          <w:kern w:val="0"/>
          <w:sz w:val="32"/>
          <w:szCs w:val="32"/>
          <w:highlight w:val="none"/>
        </w:rPr>
      </w:pPr>
      <w:bookmarkStart w:id="656" w:name="_Toc115179925"/>
      <w:r>
        <w:rPr>
          <w:rFonts w:hint="eastAsia" w:ascii="宋体" w:hAnsi="宋体"/>
          <w:b/>
          <w:bCs/>
          <w:color w:val="auto"/>
          <w:kern w:val="0"/>
          <w:sz w:val="32"/>
          <w:szCs w:val="32"/>
          <w:highlight w:val="none"/>
        </w:rPr>
        <w:t>18.10 竣工（完工）清场</w:t>
      </w:r>
      <w:bookmarkEnd w:id="656"/>
    </w:p>
    <w:p w14:paraId="1F79334F">
      <w:pPr>
        <w:spacing w:line="400" w:lineRule="exact"/>
        <w:ind w:right="248" w:firstLine="210" w:firstLineChars="100"/>
        <w:rPr>
          <w:rFonts w:ascii="宋体" w:hAnsi="宋体"/>
          <w:color w:val="auto"/>
          <w:highlight w:val="none"/>
        </w:rPr>
      </w:pPr>
      <w:r>
        <w:rPr>
          <w:rFonts w:hint="eastAsia" w:ascii="宋体" w:hAnsi="宋体"/>
          <w:color w:val="auto"/>
          <w:highlight w:val="none"/>
        </w:rPr>
        <w:t>18.10.1 工程项目竣工（完工）清场的工作范围和内容在技术标准和要求（合同技术条款）中约定。</w:t>
      </w:r>
    </w:p>
    <w:p w14:paraId="6630CB75">
      <w:pPr>
        <w:spacing w:line="400" w:lineRule="exact"/>
        <w:ind w:right="248" w:firstLine="210" w:firstLineChars="100"/>
        <w:rPr>
          <w:rFonts w:ascii="宋体" w:hAnsi="宋体"/>
          <w:color w:val="auto"/>
          <w:highlight w:val="none"/>
        </w:rPr>
      </w:pPr>
      <w:r>
        <w:rPr>
          <w:rFonts w:hint="eastAsia" w:ascii="宋体" w:hAnsi="宋体"/>
          <w:color w:val="auto"/>
          <w:highlight w:val="none"/>
        </w:rPr>
        <w:t>18.10.2 承包人未按监理人的要求恢复临时占地，或者场地清理未达到合同约定的，发包人有权委托其它人恢复或清理，所发生的金额从拟支付给承包人的款项中扣除。</w:t>
      </w:r>
    </w:p>
    <w:p w14:paraId="7ACE7A8B">
      <w:pPr>
        <w:keepNext/>
        <w:keepLines/>
        <w:spacing w:before="260" w:after="260" w:line="416" w:lineRule="auto"/>
        <w:outlineLvl w:val="2"/>
        <w:rPr>
          <w:rFonts w:ascii="宋体" w:hAnsi="宋体"/>
          <w:b/>
          <w:bCs/>
          <w:color w:val="auto"/>
          <w:kern w:val="0"/>
          <w:sz w:val="32"/>
          <w:szCs w:val="32"/>
          <w:highlight w:val="none"/>
        </w:rPr>
      </w:pPr>
      <w:bookmarkStart w:id="657" w:name="_Toc115179926"/>
      <w:r>
        <w:rPr>
          <w:rFonts w:hint="eastAsia" w:ascii="宋体" w:hAnsi="宋体"/>
          <w:b/>
          <w:bCs/>
          <w:color w:val="auto"/>
          <w:kern w:val="0"/>
          <w:sz w:val="32"/>
          <w:szCs w:val="32"/>
          <w:highlight w:val="none"/>
        </w:rPr>
        <w:t>18.11 施工队伍的撤离</w:t>
      </w:r>
      <w:bookmarkEnd w:id="657"/>
    </w:p>
    <w:p w14:paraId="2C0A791B">
      <w:pPr>
        <w:spacing w:line="400" w:lineRule="exact"/>
        <w:ind w:firstLine="420" w:firstLineChars="200"/>
        <w:jc w:val="left"/>
        <w:rPr>
          <w:rFonts w:ascii="宋体" w:hAnsi="宋体"/>
          <w:color w:val="auto"/>
          <w:highlight w:val="none"/>
        </w:rPr>
      </w:pPr>
      <w:r>
        <w:rPr>
          <w:rFonts w:hint="eastAsia" w:ascii="宋体" w:hAnsi="宋体"/>
          <w:color w:val="auto"/>
          <w:highlight w:val="none"/>
        </w:rPr>
        <w:t>合同工程完工证书颁发后的56 天内，除了经监理人同意需在缺陷责任期（工程质量保修期）内继续工作和使用的人员、施工设备和临时工程外，其余的人员、施工设备和临时工程均应撤离施工场地或拆除。除合同另有约定外，缺陷责任期（工程质量保修期）满时，承包人的人员和施工设备应全部撤离施工场地。</w:t>
      </w:r>
    </w:p>
    <w:p w14:paraId="119390AA">
      <w:pPr>
        <w:spacing w:before="260" w:after="260" w:line="400" w:lineRule="exact"/>
        <w:outlineLvl w:val="1"/>
        <w:rPr>
          <w:rFonts w:ascii="宋体" w:hAnsi="宋体" w:eastAsia="黑体"/>
          <w:color w:val="auto"/>
          <w:kern w:val="44"/>
          <w:sz w:val="31"/>
          <w:szCs w:val="31"/>
          <w:highlight w:val="none"/>
        </w:rPr>
      </w:pPr>
      <w:bookmarkStart w:id="658" w:name="_Toc6983"/>
      <w:bookmarkStart w:id="659" w:name="_Toc259524367"/>
      <w:bookmarkStart w:id="660" w:name="_Toc483383019"/>
      <w:bookmarkStart w:id="661" w:name="_Toc115179927"/>
      <w:r>
        <w:rPr>
          <w:rFonts w:ascii="宋体" w:hAnsi="宋体" w:eastAsia="黑体"/>
          <w:color w:val="auto"/>
          <w:kern w:val="44"/>
          <w:sz w:val="31"/>
          <w:szCs w:val="31"/>
          <w:highlight w:val="none"/>
        </w:rPr>
        <w:t xml:space="preserve">19. </w:t>
      </w:r>
      <w:r>
        <w:rPr>
          <w:rFonts w:hint="eastAsia" w:ascii="宋体" w:hAnsi="宋体" w:eastAsia="黑体"/>
          <w:color w:val="auto"/>
          <w:kern w:val="44"/>
          <w:sz w:val="31"/>
          <w:szCs w:val="31"/>
          <w:highlight w:val="none"/>
        </w:rPr>
        <w:t>缺陷责任与保修责任</w:t>
      </w:r>
      <w:bookmarkEnd w:id="642"/>
      <w:bookmarkEnd w:id="643"/>
      <w:bookmarkEnd w:id="644"/>
      <w:bookmarkEnd w:id="645"/>
      <w:bookmarkEnd w:id="646"/>
      <w:bookmarkEnd w:id="647"/>
      <w:bookmarkEnd w:id="658"/>
      <w:bookmarkEnd w:id="659"/>
      <w:bookmarkEnd w:id="660"/>
      <w:bookmarkEnd w:id="661"/>
    </w:p>
    <w:p w14:paraId="6B3F484C">
      <w:pPr>
        <w:keepNext/>
        <w:keepLines/>
        <w:spacing w:before="260" w:after="260" w:line="416" w:lineRule="auto"/>
        <w:outlineLvl w:val="2"/>
        <w:rPr>
          <w:rFonts w:ascii="宋体" w:hAnsi="宋体"/>
          <w:b/>
          <w:bCs/>
          <w:color w:val="auto"/>
          <w:kern w:val="0"/>
          <w:sz w:val="32"/>
          <w:szCs w:val="32"/>
          <w:highlight w:val="none"/>
        </w:rPr>
      </w:pPr>
      <w:bookmarkStart w:id="662" w:name="_Toc221951045"/>
      <w:bookmarkStart w:id="663" w:name="_Toc115179928"/>
      <w:r>
        <w:rPr>
          <w:rFonts w:ascii="宋体" w:hAnsi="宋体"/>
          <w:b/>
          <w:bCs/>
          <w:color w:val="auto"/>
          <w:kern w:val="0"/>
          <w:sz w:val="32"/>
          <w:szCs w:val="32"/>
          <w:highlight w:val="none"/>
        </w:rPr>
        <w:t xml:space="preserve">19.1 </w:t>
      </w:r>
      <w:r>
        <w:rPr>
          <w:rFonts w:hint="eastAsia" w:ascii="宋体" w:hAnsi="宋体"/>
          <w:b/>
          <w:bCs/>
          <w:color w:val="auto"/>
          <w:kern w:val="0"/>
          <w:sz w:val="32"/>
          <w:szCs w:val="32"/>
          <w:highlight w:val="none"/>
        </w:rPr>
        <w:t>缺陷责任期（质量保修期）的起算时间</w:t>
      </w:r>
      <w:bookmarkEnd w:id="662"/>
      <w:bookmarkEnd w:id="663"/>
    </w:p>
    <w:p w14:paraId="7C28892B">
      <w:pPr>
        <w:spacing w:line="400" w:lineRule="exact"/>
        <w:ind w:right="248" w:firstLine="480"/>
        <w:rPr>
          <w:rFonts w:ascii="宋体" w:hAnsi="宋体"/>
          <w:color w:val="auto"/>
          <w:sz w:val="20"/>
          <w:szCs w:val="20"/>
          <w:highlight w:val="none"/>
        </w:rPr>
      </w:pPr>
      <w:bookmarkStart w:id="664" w:name="_Toc221951047"/>
      <w:r>
        <w:rPr>
          <w:rFonts w:hint="eastAsia" w:ascii="宋体" w:hAnsi="宋体"/>
          <w:color w:val="auto"/>
          <w:highlight w:val="none"/>
        </w:rPr>
        <w:t>除专用合同条款另有约定外，缺陷责任期（工程质量保修期）从工程通过合同工程完工验收后开始计算。在合同工程完工验收前，已经发包人提前验收的单位工程或部分工程，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bookmarkEnd w:id="664"/>
    </w:p>
    <w:p w14:paraId="3324B554">
      <w:pPr>
        <w:keepNext/>
        <w:keepLines/>
        <w:spacing w:before="260" w:after="260" w:line="416" w:lineRule="auto"/>
        <w:outlineLvl w:val="2"/>
        <w:rPr>
          <w:rFonts w:ascii="宋体" w:hAnsi="宋体"/>
          <w:b/>
          <w:bCs/>
          <w:color w:val="auto"/>
          <w:kern w:val="0"/>
          <w:sz w:val="32"/>
          <w:szCs w:val="32"/>
          <w:highlight w:val="none"/>
        </w:rPr>
      </w:pPr>
      <w:bookmarkStart w:id="665" w:name="_Toc115179929"/>
      <w:bookmarkStart w:id="666" w:name="_Toc221951058"/>
      <w:r>
        <w:rPr>
          <w:rFonts w:hint="eastAsia" w:ascii="宋体" w:hAnsi="宋体"/>
          <w:b/>
          <w:bCs/>
          <w:color w:val="auto"/>
          <w:kern w:val="0"/>
          <w:sz w:val="32"/>
          <w:szCs w:val="32"/>
          <w:highlight w:val="none"/>
        </w:rPr>
        <w:t>19.2 缺陷责任</w:t>
      </w:r>
      <w:bookmarkEnd w:id="665"/>
    </w:p>
    <w:p w14:paraId="6F34665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19.2.1 承包人应在缺陷责任期内对已交付使用的工程承担缺陷责任。</w:t>
      </w:r>
    </w:p>
    <w:p w14:paraId="4866DE6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64464A7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370AD6D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19.2.4 承包人不能在合理时间内修复缺陷的，发包人可自行修复或委托其他人修复，所需费用和利润的承担，按第19.2.3 项约定办理。</w:t>
      </w:r>
    </w:p>
    <w:p w14:paraId="011E940E">
      <w:pPr>
        <w:keepNext/>
        <w:keepLines/>
        <w:spacing w:before="260" w:after="260" w:line="416" w:lineRule="auto"/>
        <w:outlineLvl w:val="2"/>
        <w:rPr>
          <w:rFonts w:ascii="宋体" w:hAnsi="宋体"/>
          <w:b/>
          <w:bCs/>
          <w:color w:val="auto"/>
          <w:kern w:val="0"/>
          <w:sz w:val="32"/>
          <w:szCs w:val="32"/>
          <w:highlight w:val="none"/>
        </w:rPr>
      </w:pPr>
      <w:bookmarkStart w:id="667" w:name="_Toc115179930"/>
      <w:r>
        <w:rPr>
          <w:rFonts w:hint="eastAsia" w:ascii="宋体" w:hAnsi="宋体"/>
          <w:b/>
          <w:bCs/>
          <w:color w:val="auto"/>
          <w:kern w:val="0"/>
          <w:sz w:val="32"/>
          <w:szCs w:val="32"/>
          <w:highlight w:val="none"/>
        </w:rPr>
        <w:t>19.3 缺陷责任期的延长</w:t>
      </w:r>
      <w:bookmarkEnd w:id="667"/>
    </w:p>
    <w:p w14:paraId="54E5285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556EC016">
      <w:pPr>
        <w:keepNext/>
        <w:keepLines/>
        <w:spacing w:before="260" w:after="260" w:line="416" w:lineRule="auto"/>
        <w:outlineLvl w:val="2"/>
        <w:rPr>
          <w:rFonts w:ascii="宋体" w:hAnsi="宋体"/>
          <w:b/>
          <w:bCs/>
          <w:color w:val="auto"/>
          <w:kern w:val="0"/>
          <w:sz w:val="32"/>
          <w:szCs w:val="32"/>
          <w:highlight w:val="none"/>
        </w:rPr>
      </w:pPr>
      <w:bookmarkStart w:id="668" w:name="_Toc115179931"/>
      <w:r>
        <w:rPr>
          <w:rFonts w:hint="eastAsia" w:ascii="宋体" w:hAnsi="宋体"/>
          <w:b/>
          <w:bCs/>
          <w:color w:val="auto"/>
          <w:kern w:val="0"/>
          <w:sz w:val="32"/>
          <w:szCs w:val="32"/>
          <w:highlight w:val="none"/>
        </w:rPr>
        <w:t>19.4 进一步试验和试运行</w:t>
      </w:r>
      <w:bookmarkEnd w:id="668"/>
    </w:p>
    <w:p w14:paraId="1BF0740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任何一项缺陷或损坏修复后，经检查证明其影响了工程或工程设备的使用性能，承包人应重新进行合同约定的试验和试运行，试验和试运行的全部费用应由责任方承担。</w:t>
      </w:r>
    </w:p>
    <w:p w14:paraId="6BBF9FD5">
      <w:pPr>
        <w:keepNext/>
        <w:keepLines/>
        <w:spacing w:before="260" w:after="260" w:line="416" w:lineRule="auto"/>
        <w:outlineLvl w:val="2"/>
        <w:rPr>
          <w:rFonts w:ascii="宋体" w:hAnsi="宋体"/>
          <w:b/>
          <w:bCs/>
          <w:color w:val="auto"/>
          <w:kern w:val="0"/>
          <w:sz w:val="32"/>
          <w:szCs w:val="32"/>
          <w:highlight w:val="none"/>
        </w:rPr>
      </w:pPr>
      <w:bookmarkStart w:id="669" w:name="_Toc115179932"/>
      <w:r>
        <w:rPr>
          <w:rFonts w:hint="eastAsia" w:ascii="宋体" w:hAnsi="宋体"/>
          <w:b/>
          <w:bCs/>
          <w:color w:val="auto"/>
          <w:kern w:val="0"/>
          <w:sz w:val="32"/>
          <w:szCs w:val="32"/>
          <w:highlight w:val="none"/>
        </w:rPr>
        <w:t>19.5 承包人的进入权</w:t>
      </w:r>
      <w:bookmarkEnd w:id="669"/>
    </w:p>
    <w:p w14:paraId="108C8C1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缺陷责任期内承包人为缺陷修复工作需要，有权进入工程现场，但应遵守发包人的保安和保密规定。</w:t>
      </w:r>
    </w:p>
    <w:p w14:paraId="7B4C6389">
      <w:pPr>
        <w:keepNext/>
        <w:keepLines/>
        <w:spacing w:before="260" w:after="260" w:line="416" w:lineRule="auto"/>
        <w:outlineLvl w:val="2"/>
        <w:rPr>
          <w:rFonts w:ascii="宋体" w:hAnsi="宋体"/>
          <w:b/>
          <w:bCs/>
          <w:color w:val="auto"/>
          <w:kern w:val="0"/>
          <w:sz w:val="23"/>
          <w:szCs w:val="23"/>
          <w:highlight w:val="none"/>
        </w:rPr>
      </w:pPr>
      <w:bookmarkStart w:id="670" w:name="_Toc115179933"/>
      <w:r>
        <w:rPr>
          <w:rFonts w:ascii="宋体" w:hAnsi="宋体"/>
          <w:b/>
          <w:bCs/>
          <w:color w:val="auto"/>
          <w:kern w:val="0"/>
          <w:sz w:val="23"/>
          <w:szCs w:val="23"/>
          <w:highlight w:val="none"/>
        </w:rPr>
        <w:t>19.</w:t>
      </w:r>
      <w:r>
        <w:rPr>
          <w:rFonts w:hint="eastAsia" w:ascii="宋体" w:hAnsi="宋体"/>
          <w:b/>
          <w:bCs/>
          <w:color w:val="auto"/>
          <w:kern w:val="0"/>
          <w:sz w:val="23"/>
          <w:szCs w:val="23"/>
          <w:highlight w:val="none"/>
        </w:rPr>
        <w:t>6</w:t>
      </w:r>
      <w:r>
        <w:rPr>
          <w:rFonts w:ascii="宋体" w:hAnsi="宋体"/>
          <w:b/>
          <w:bCs/>
          <w:color w:val="auto"/>
          <w:kern w:val="0"/>
          <w:sz w:val="23"/>
          <w:szCs w:val="23"/>
          <w:highlight w:val="none"/>
        </w:rPr>
        <w:t xml:space="preserve"> </w:t>
      </w:r>
      <w:bookmarkEnd w:id="666"/>
      <w:r>
        <w:rPr>
          <w:rFonts w:hint="eastAsia" w:ascii="宋体" w:hAnsi="宋体"/>
          <w:b/>
          <w:bCs/>
          <w:color w:val="auto"/>
          <w:kern w:val="0"/>
          <w:sz w:val="32"/>
          <w:szCs w:val="32"/>
          <w:highlight w:val="none"/>
        </w:rPr>
        <w:t>缺陷责任期终止证书（工程质量保修责任终止证书）</w:t>
      </w:r>
      <w:bookmarkEnd w:id="670"/>
    </w:p>
    <w:p w14:paraId="55800655">
      <w:pPr>
        <w:spacing w:line="400" w:lineRule="exact"/>
        <w:ind w:right="248" w:firstLine="420" w:firstLineChars="200"/>
        <w:rPr>
          <w:rFonts w:ascii="宋体" w:hAnsi="宋体"/>
          <w:color w:val="auto"/>
          <w:highlight w:val="none"/>
        </w:rPr>
      </w:pPr>
      <w:bookmarkStart w:id="671" w:name="_Toc222032690"/>
      <w:bookmarkStart w:id="672" w:name="_Toc229305381"/>
      <w:bookmarkStart w:id="673" w:name="_Toc221951060"/>
      <w:bookmarkStart w:id="674" w:name="_Toc222033872"/>
      <w:bookmarkStart w:id="675" w:name="_Toc222031023"/>
      <w:bookmarkStart w:id="676" w:name="_Toc222029521"/>
      <w:r>
        <w:rPr>
          <w:rFonts w:hint="eastAsia" w:ascii="宋体" w:hAnsi="宋体"/>
          <w:color w:val="auto"/>
          <w:highlight w:val="none"/>
        </w:rPr>
        <w:t>合同工程完工验收或投人使用验收后，发包人与承包人应办理工程交接手续，承包人应向发包人递交工程质量保修书。</w:t>
      </w:r>
    </w:p>
    <w:p w14:paraId="3BE03374">
      <w:pPr>
        <w:spacing w:line="400" w:lineRule="exact"/>
        <w:ind w:right="248" w:firstLine="420" w:firstLineChars="200"/>
        <w:rPr>
          <w:rFonts w:ascii="宋体" w:hAnsi="宋体"/>
          <w:color w:val="auto"/>
          <w:highlight w:val="none"/>
        </w:rPr>
      </w:pPr>
      <w:r>
        <w:rPr>
          <w:rFonts w:hint="eastAsia" w:ascii="宋体" w:hAnsi="宋体"/>
          <w:color w:val="auto"/>
          <w:highlight w:val="none"/>
        </w:rPr>
        <w:t>缺陷责任期（工程质量保修期）满后30 个工作日内，发包人应向承包人颁发工程质量保修责任终止证书，并退还剩余的质量保证金，但保修责任范围内的质量缺陷未处理完成的应除外。</w:t>
      </w:r>
    </w:p>
    <w:p w14:paraId="30457C8A">
      <w:pPr>
        <w:keepNext/>
        <w:keepLines/>
        <w:spacing w:before="260" w:after="260" w:line="416" w:lineRule="auto"/>
        <w:outlineLvl w:val="2"/>
        <w:rPr>
          <w:rFonts w:ascii="宋体" w:hAnsi="宋体"/>
          <w:b/>
          <w:bCs/>
          <w:color w:val="auto"/>
          <w:kern w:val="0"/>
          <w:sz w:val="32"/>
          <w:szCs w:val="32"/>
          <w:highlight w:val="none"/>
        </w:rPr>
      </w:pPr>
      <w:bookmarkStart w:id="677" w:name="_Toc115179934"/>
      <w:r>
        <w:rPr>
          <w:rFonts w:hint="eastAsia" w:ascii="宋体" w:hAnsi="宋体"/>
          <w:b/>
          <w:bCs/>
          <w:color w:val="auto"/>
          <w:kern w:val="0"/>
          <w:sz w:val="32"/>
          <w:szCs w:val="32"/>
          <w:highlight w:val="none"/>
        </w:rPr>
        <w:t>19.7 保修责任</w:t>
      </w:r>
      <w:bookmarkEnd w:id="677"/>
    </w:p>
    <w:p w14:paraId="3450E05C">
      <w:pPr>
        <w:spacing w:line="360" w:lineRule="auto"/>
        <w:ind w:firstLine="420" w:firstLineChars="200"/>
        <w:rPr>
          <w:rFonts w:ascii="宋体" w:hAnsi="宋体"/>
          <w:color w:val="auto"/>
          <w:highlight w:val="none"/>
        </w:rPr>
      </w:pPr>
      <w:r>
        <w:rPr>
          <w:rFonts w:hint="eastAsia" w:ascii="宋体" w:hAnsi="宋体"/>
          <w:color w:val="auto"/>
          <w:szCs w:val="21"/>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52F0C9C9">
      <w:pPr>
        <w:spacing w:before="260" w:after="260" w:line="400" w:lineRule="exact"/>
        <w:outlineLvl w:val="1"/>
        <w:rPr>
          <w:rFonts w:ascii="宋体" w:hAnsi="宋体" w:eastAsia="黑体"/>
          <w:color w:val="auto"/>
          <w:kern w:val="44"/>
          <w:sz w:val="31"/>
          <w:szCs w:val="31"/>
          <w:highlight w:val="none"/>
        </w:rPr>
      </w:pPr>
      <w:bookmarkStart w:id="678" w:name="_Toc483383020"/>
      <w:bookmarkStart w:id="679" w:name="_Toc259524368"/>
      <w:bookmarkStart w:id="680" w:name="_Toc115179935"/>
      <w:bookmarkStart w:id="681" w:name="_Toc5472"/>
      <w:r>
        <w:rPr>
          <w:rFonts w:ascii="宋体" w:hAnsi="宋体" w:eastAsia="黑体"/>
          <w:color w:val="auto"/>
          <w:kern w:val="44"/>
          <w:sz w:val="31"/>
          <w:szCs w:val="31"/>
          <w:highlight w:val="none"/>
        </w:rPr>
        <w:t xml:space="preserve">20. </w:t>
      </w:r>
      <w:r>
        <w:rPr>
          <w:rFonts w:hint="eastAsia" w:ascii="宋体" w:hAnsi="宋体" w:eastAsia="黑体"/>
          <w:color w:val="auto"/>
          <w:kern w:val="44"/>
          <w:sz w:val="31"/>
          <w:szCs w:val="31"/>
          <w:highlight w:val="none"/>
        </w:rPr>
        <w:t>保险</w:t>
      </w:r>
      <w:bookmarkEnd w:id="671"/>
      <w:bookmarkEnd w:id="672"/>
      <w:bookmarkEnd w:id="673"/>
      <w:bookmarkEnd w:id="674"/>
      <w:bookmarkEnd w:id="675"/>
      <w:bookmarkEnd w:id="676"/>
      <w:bookmarkEnd w:id="678"/>
      <w:bookmarkEnd w:id="679"/>
      <w:bookmarkEnd w:id="680"/>
      <w:bookmarkEnd w:id="681"/>
    </w:p>
    <w:p w14:paraId="12A572A1">
      <w:pPr>
        <w:keepNext/>
        <w:keepLines/>
        <w:spacing w:before="260" w:after="260" w:line="416" w:lineRule="auto"/>
        <w:outlineLvl w:val="2"/>
        <w:rPr>
          <w:rFonts w:ascii="宋体" w:hAnsi="宋体"/>
          <w:b/>
          <w:bCs/>
          <w:color w:val="auto"/>
          <w:kern w:val="0"/>
          <w:sz w:val="32"/>
          <w:szCs w:val="32"/>
          <w:highlight w:val="none"/>
        </w:rPr>
      </w:pPr>
      <w:bookmarkStart w:id="682" w:name="_Toc115179936"/>
      <w:r>
        <w:rPr>
          <w:rFonts w:hint="eastAsia" w:ascii="宋体" w:hAnsi="宋体"/>
          <w:b/>
          <w:bCs/>
          <w:color w:val="auto"/>
          <w:kern w:val="0"/>
          <w:sz w:val="32"/>
          <w:szCs w:val="32"/>
          <w:highlight w:val="none"/>
        </w:rPr>
        <w:t>20.1 工程保险</w:t>
      </w:r>
      <w:bookmarkEnd w:id="682"/>
    </w:p>
    <w:p w14:paraId="55F2C54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65FA86B4">
      <w:pPr>
        <w:keepNext/>
        <w:keepLines/>
        <w:spacing w:before="260" w:after="260" w:line="416" w:lineRule="auto"/>
        <w:outlineLvl w:val="2"/>
        <w:rPr>
          <w:rFonts w:ascii="宋体" w:hAnsi="宋体"/>
          <w:b/>
          <w:bCs/>
          <w:color w:val="auto"/>
          <w:kern w:val="0"/>
          <w:sz w:val="32"/>
          <w:szCs w:val="32"/>
          <w:highlight w:val="none"/>
        </w:rPr>
      </w:pPr>
      <w:bookmarkStart w:id="683" w:name="_Toc115179937"/>
      <w:r>
        <w:rPr>
          <w:rFonts w:hint="eastAsia" w:ascii="宋体" w:hAnsi="宋体"/>
          <w:b/>
          <w:bCs/>
          <w:color w:val="auto"/>
          <w:kern w:val="0"/>
          <w:sz w:val="32"/>
          <w:szCs w:val="32"/>
          <w:highlight w:val="none"/>
        </w:rPr>
        <w:t>20.2 人员工伤事故的保险</w:t>
      </w:r>
      <w:bookmarkEnd w:id="683"/>
    </w:p>
    <w:p w14:paraId="3BA6A0F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20.2.1 承包人员工伤事故的保险</w:t>
      </w:r>
    </w:p>
    <w:p w14:paraId="2C4A233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承包人应依照有关法律规定参加工伤保险，为其履行合同所雇佣的全部人员，缴纳工伤保险费，并要求其分包人也进行此项保险。</w:t>
      </w:r>
    </w:p>
    <w:p w14:paraId="66CAE19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20.2.2 发包人员工伤事故的保险</w:t>
      </w:r>
    </w:p>
    <w:p w14:paraId="2EF886C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发包人应依照有关法律规定参加工伤保险，为其现场机构雇佣的全部人员，缴纳工伤保险费，并要求其监理人也进行此项保险。</w:t>
      </w:r>
    </w:p>
    <w:p w14:paraId="24E04BBC">
      <w:pPr>
        <w:keepNext/>
        <w:keepLines/>
        <w:spacing w:before="260" w:after="260" w:line="416" w:lineRule="auto"/>
        <w:outlineLvl w:val="2"/>
        <w:rPr>
          <w:rFonts w:ascii="宋体" w:hAnsi="宋体"/>
          <w:b/>
          <w:bCs/>
          <w:color w:val="auto"/>
          <w:kern w:val="0"/>
          <w:sz w:val="32"/>
          <w:szCs w:val="32"/>
          <w:highlight w:val="none"/>
        </w:rPr>
      </w:pPr>
      <w:bookmarkStart w:id="684" w:name="_Toc115179938"/>
      <w:r>
        <w:rPr>
          <w:rFonts w:hint="eastAsia" w:ascii="宋体" w:hAnsi="宋体"/>
          <w:b/>
          <w:bCs/>
          <w:color w:val="auto"/>
          <w:kern w:val="0"/>
          <w:sz w:val="32"/>
          <w:szCs w:val="32"/>
          <w:highlight w:val="none"/>
        </w:rPr>
        <w:t>20.3 人身意外伤害险</w:t>
      </w:r>
      <w:bookmarkEnd w:id="684"/>
    </w:p>
    <w:p w14:paraId="5B6F10E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20.3.1 发包人应在整个施工期间为其现场机构雇用的全部人员，投保人身意外伤害险，缴纳保险费，并要求其监理人也进行此项保险。</w:t>
      </w:r>
    </w:p>
    <w:p w14:paraId="188E746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20.3.2 承包人应在整个施工期间为其现场机构雇用的全部人员，投保人身意外伤害险，缴纳保险费，并要求其分包人也进行此项保险。</w:t>
      </w:r>
    </w:p>
    <w:p w14:paraId="743D3AF0">
      <w:pPr>
        <w:keepNext/>
        <w:keepLines/>
        <w:spacing w:before="260" w:after="260" w:line="416" w:lineRule="auto"/>
        <w:outlineLvl w:val="2"/>
        <w:rPr>
          <w:rFonts w:ascii="宋体" w:hAnsi="宋体"/>
          <w:b/>
          <w:bCs/>
          <w:color w:val="auto"/>
          <w:kern w:val="0"/>
          <w:sz w:val="32"/>
          <w:szCs w:val="32"/>
          <w:highlight w:val="none"/>
        </w:rPr>
      </w:pPr>
      <w:bookmarkStart w:id="685" w:name="_Toc115179939"/>
      <w:r>
        <w:rPr>
          <w:rFonts w:hint="eastAsia" w:ascii="宋体" w:hAnsi="宋体"/>
          <w:b/>
          <w:bCs/>
          <w:color w:val="auto"/>
          <w:kern w:val="0"/>
          <w:sz w:val="32"/>
          <w:szCs w:val="32"/>
          <w:highlight w:val="none"/>
        </w:rPr>
        <w:t>20.4 第三者责任险</w:t>
      </w:r>
      <w:bookmarkEnd w:id="685"/>
    </w:p>
    <w:p w14:paraId="17FF018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3FE33BD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20.4.2 在缺陷责任期终止证书颁发前，承包人应以承包人和发包人的共同名义，投保第20.4.1 项约定的第三者责任险，其保险费率、保险金额等有关内容在专用合同条款中约定。</w:t>
      </w:r>
    </w:p>
    <w:p w14:paraId="10D1C39F">
      <w:pPr>
        <w:keepNext/>
        <w:keepLines/>
        <w:spacing w:before="260" w:after="260" w:line="416" w:lineRule="auto"/>
        <w:outlineLvl w:val="2"/>
        <w:rPr>
          <w:rFonts w:ascii="宋体" w:hAnsi="宋体"/>
          <w:b/>
          <w:bCs/>
          <w:color w:val="auto"/>
          <w:kern w:val="0"/>
          <w:sz w:val="32"/>
          <w:szCs w:val="32"/>
          <w:highlight w:val="none"/>
        </w:rPr>
      </w:pPr>
      <w:bookmarkStart w:id="686" w:name="_Toc115179940"/>
      <w:r>
        <w:rPr>
          <w:rFonts w:hint="eastAsia" w:ascii="宋体" w:hAnsi="宋体"/>
          <w:b/>
          <w:bCs/>
          <w:color w:val="auto"/>
          <w:kern w:val="0"/>
          <w:sz w:val="32"/>
          <w:szCs w:val="32"/>
          <w:highlight w:val="none"/>
        </w:rPr>
        <w:t>20.5 其他保险</w:t>
      </w:r>
      <w:bookmarkEnd w:id="686"/>
    </w:p>
    <w:p w14:paraId="7DB2CD3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除专用合同条款另有约定外，承包人应为其施工设备、进场的材料和工程设备等办理保险。</w:t>
      </w:r>
    </w:p>
    <w:p w14:paraId="52F4A07E">
      <w:pPr>
        <w:keepNext/>
        <w:keepLines/>
        <w:spacing w:before="260" w:after="260" w:line="416" w:lineRule="auto"/>
        <w:outlineLvl w:val="2"/>
        <w:rPr>
          <w:rFonts w:ascii="宋体" w:hAnsi="宋体"/>
          <w:b/>
          <w:bCs/>
          <w:color w:val="auto"/>
          <w:kern w:val="0"/>
          <w:sz w:val="32"/>
          <w:szCs w:val="32"/>
          <w:highlight w:val="none"/>
        </w:rPr>
      </w:pPr>
      <w:bookmarkStart w:id="687" w:name="_Toc115179941"/>
      <w:r>
        <w:rPr>
          <w:rFonts w:hint="eastAsia" w:ascii="宋体" w:hAnsi="宋体"/>
          <w:b/>
          <w:bCs/>
          <w:color w:val="auto"/>
          <w:kern w:val="0"/>
          <w:sz w:val="32"/>
          <w:szCs w:val="32"/>
          <w:highlight w:val="none"/>
        </w:rPr>
        <w:t>20.6对各项保险的一般要求</w:t>
      </w:r>
      <w:bookmarkEnd w:id="687"/>
    </w:p>
    <w:p w14:paraId="117E61F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20.6.1 保险凭证</w:t>
      </w:r>
    </w:p>
    <w:p w14:paraId="29612D3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承包人应在专用合同条款约定的期限内向发包人提交各项保险生效的证据和保险单副本，保险单必须与专用合同条款约定的条件保持一致。</w:t>
      </w:r>
    </w:p>
    <w:p w14:paraId="47FFFB9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20.6.2 保险合同条款的变动</w:t>
      </w:r>
    </w:p>
    <w:p w14:paraId="1DAF291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承包人需要变动保险合同条款时，应事先征得发包人同意，并通知监理人。保险人作出变动的，承包人应在收到保险人通知后立即通知发包人和监理人。</w:t>
      </w:r>
    </w:p>
    <w:p w14:paraId="110E755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20.6.3 持续保险</w:t>
      </w:r>
    </w:p>
    <w:p w14:paraId="625D69E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承包人应与保险人保持联系，使保险人能够随时了解工程实施中的变动，并确保按保险合同条款要求持续保险。</w:t>
      </w:r>
    </w:p>
    <w:p w14:paraId="7EE0EFEF">
      <w:pPr>
        <w:autoSpaceDE w:val="0"/>
        <w:autoSpaceDN w:val="0"/>
        <w:adjustRightInd w:val="0"/>
        <w:spacing w:line="400" w:lineRule="exact"/>
        <w:ind w:firstLine="525" w:firstLineChars="250"/>
        <w:jc w:val="left"/>
        <w:rPr>
          <w:rFonts w:ascii="宋体" w:hAnsi="宋体"/>
          <w:color w:val="auto"/>
          <w:highlight w:val="none"/>
        </w:rPr>
      </w:pPr>
      <w:r>
        <w:rPr>
          <w:rFonts w:ascii="宋体" w:hAnsi="宋体"/>
          <w:color w:val="auto"/>
          <w:highlight w:val="none"/>
        </w:rPr>
        <w:t>20</w:t>
      </w:r>
      <w:r>
        <w:rPr>
          <w:rFonts w:hint="eastAsia" w:ascii="宋体" w:hAnsi="宋体"/>
          <w:color w:val="auto"/>
          <w:highlight w:val="none"/>
        </w:rPr>
        <w:t>.</w:t>
      </w:r>
      <w:r>
        <w:rPr>
          <w:rFonts w:ascii="宋体" w:hAnsi="宋体"/>
          <w:color w:val="auto"/>
          <w:highlight w:val="none"/>
        </w:rPr>
        <w:t>6</w:t>
      </w:r>
      <w:r>
        <w:rPr>
          <w:rFonts w:hint="eastAsia" w:ascii="宋体" w:hAnsi="宋体"/>
          <w:color w:val="auto"/>
          <w:highlight w:val="none"/>
        </w:rPr>
        <w:t>.</w:t>
      </w:r>
      <w:r>
        <w:rPr>
          <w:rFonts w:ascii="宋体" w:hAnsi="宋体"/>
          <w:color w:val="auto"/>
          <w:highlight w:val="none"/>
        </w:rPr>
        <w:t>4</w:t>
      </w:r>
      <w:bookmarkStart w:id="688" w:name="_Toc221951074"/>
      <w:r>
        <w:rPr>
          <w:rFonts w:hint="eastAsia" w:ascii="宋体" w:hAnsi="宋体"/>
          <w:color w:val="auto"/>
          <w:highlight w:val="none"/>
        </w:rPr>
        <w:t xml:space="preserve"> 保险金不足以补偿损失时，应由承包人和发包人各自负责补偿的范围和金额在专用合同条款中约定。</w:t>
      </w:r>
    </w:p>
    <w:p w14:paraId="5492A82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20.6.5 未按约定投保的补救</w:t>
      </w:r>
    </w:p>
    <w:p w14:paraId="62A9D90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(l）由于负有投保义务的一方当事人未按合同约定办理保险，或未能使保险持续有效的，另一方当事人可代为办理，所需费用由对方当事人承担。</w:t>
      </w:r>
    </w:p>
    <w:p w14:paraId="1113790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(2）由于负有投保义务的一方当事人未按合同约定办理某项保险，导致受益人未能得到保险人的赔偿，原应从该项保险得到的保险金应由负有投保义务的一方当事人支付。</w:t>
      </w:r>
    </w:p>
    <w:p w14:paraId="02A52F0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20.6.6 报告义务</w:t>
      </w:r>
    </w:p>
    <w:p w14:paraId="7F80AE8F">
      <w:pPr>
        <w:spacing w:line="360" w:lineRule="auto"/>
        <w:ind w:firstLine="420" w:firstLineChars="200"/>
        <w:rPr>
          <w:rFonts w:ascii="宋体" w:hAnsi="宋体"/>
          <w:color w:val="auto"/>
          <w:highlight w:val="none"/>
        </w:rPr>
      </w:pPr>
      <w:r>
        <w:rPr>
          <w:rFonts w:hint="eastAsia" w:ascii="宋体" w:hAnsi="宋体"/>
          <w:color w:val="auto"/>
          <w:szCs w:val="21"/>
          <w:highlight w:val="none"/>
        </w:rPr>
        <w:t>当保险事故发生时，投保人应按照保险单规定的条件和期限及时向保险人报告。</w:t>
      </w:r>
    </w:p>
    <w:p w14:paraId="108BF333">
      <w:pPr>
        <w:keepNext/>
        <w:keepLines/>
        <w:spacing w:before="260" w:after="260" w:line="416" w:lineRule="auto"/>
        <w:outlineLvl w:val="2"/>
        <w:rPr>
          <w:rFonts w:ascii="宋体" w:hAnsi="宋体"/>
          <w:b/>
          <w:bCs/>
          <w:color w:val="auto"/>
          <w:kern w:val="0"/>
          <w:sz w:val="32"/>
          <w:szCs w:val="32"/>
          <w:highlight w:val="none"/>
        </w:rPr>
      </w:pPr>
      <w:bookmarkStart w:id="689" w:name="_Toc115179942"/>
      <w:r>
        <w:rPr>
          <w:rFonts w:hint="eastAsia" w:ascii="宋体" w:hAnsi="宋体"/>
          <w:b/>
          <w:bCs/>
          <w:color w:val="auto"/>
          <w:kern w:val="0"/>
          <w:sz w:val="32"/>
          <w:szCs w:val="32"/>
          <w:highlight w:val="none"/>
        </w:rPr>
        <w:t>20.7 风险责任的转移</w:t>
      </w:r>
      <w:bookmarkEnd w:id="688"/>
      <w:bookmarkEnd w:id="689"/>
    </w:p>
    <w:p w14:paraId="17C53760">
      <w:pPr>
        <w:spacing w:line="400" w:lineRule="exact"/>
        <w:ind w:firstLine="420" w:firstLineChars="200"/>
        <w:rPr>
          <w:rFonts w:ascii="宋体" w:hAnsi="宋体"/>
          <w:color w:val="auto"/>
          <w:sz w:val="20"/>
          <w:szCs w:val="20"/>
          <w:highlight w:val="none"/>
        </w:rPr>
      </w:pPr>
      <w:bookmarkStart w:id="690" w:name="_Toc221951075"/>
      <w:r>
        <w:rPr>
          <w:rFonts w:hint="eastAsia" w:ascii="宋体" w:hAnsi="宋体"/>
          <w:color w:val="auto"/>
          <w:highlight w:val="none"/>
        </w:rPr>
        <w:t>工程通过合同工程完工验收并移交给发包人后，原由承包人应承担的风险责任，以及保险的责任、权利和义务同时转移给发包人，但承包人在缺陷责任期（工程质量保修期）前造成损失和损坏情形除外。</w:t>
      </w:r>
      <w:bookmarkEnd w:id="690"/>
    </w:p>
    <w:p w14:paraId="76907EA2">
      <w:pPr>
        <w:spacing w:before="260" w:after="260" w:line="400" w:lineRule="exact"/>
        <w:outlineLvl w:val="1"/>
        <w:rPr>
          <w:rFonts w:ascii="宋体" w:hAnsi="宋体" w:eastAsia="黑体"/>
          <w:color w:val="auto"/>
          <w:kern w:val="44"/>
          <w:sz w:val="31"/>
          <w:szCs w:val="31"/>
          <w:highlight w:val="none"/>
        </w:rPr>
      </w:pPr>
      <w:bookmarkStart w:id="691" w:name="_Toc222029522"/>
      <w:bookmarkStart w:id="692" w:name="_Toc229305382"/>
      <w:bookmarkStart w:id="693" w:name="_Toc222033873"/>
      <w:bookmarkStart w:id="694" w:name="_Toc221951076"/>
      <w:bookmarkStart w:id="695" w:name="_Toc259524369"/>
      <w:bookmarkStart w:id="696" w:name="_Toc222031024"/>
      <w:bookmarkStart w:id="697" w:name="_Toc222032691"/>
      <w:bookmarkStart w:id="698" w:name="_Toc15592"/>
      <w:bookmarkStart w:id="699" w:name="_Toc115179943"/>
      <w:bookmarkStart w:id="700" w:name="_Toc483383021"/>
      <w:r>
        <w:rPr>
          <w:rFonts w:ascii="宋体" w:hAnsi="宋体" w:eastAsia="黑体"/>
          <w:color w:val="auto"/>
          <w:kern w:val="44"/>
          <w:sz w:val="31"/>
          <w:szCs w:val="31"/>
          <w:highlight w:val="none"/>
        </w:rPr>
        <w:t xml:space="preserve">21. </w:t>
      </w:r>
      <w:r>
        <w:rPr>
          <w:rFonts w:hint="eastAsia" w:ascii="宋体" w:hAnsi="宋体" w:eastAsia="黑体"/>
          <w:color w:val="auto"/>
          <w:kern w:val="44"/>
          <w:sz w:val="31"/>
          <w:szCs w:val="31"/>
          <w:highlight w:val="none"/>
        </w:rPr>
        <w:t>不可抗力</w:t>
      </w:r>
      <w:bookmarkEnd w:id="691"/>
      <w:bookmarkEnd w:id="692"/>
      <w:bookmarkEnd w:id="693"/>
      <w:bookmarkEnd w:id="694"/>
      <w:bookmarkEnd w:id="695"/>
      <w:bookmarkEnd w:id="696"/>
      <w:bookmarkEnd w:id="697"/>
      <w:bookmarkEnd w:id="698"/>
      <w:bookmarkEnd w:id="699"/>
      <w:bookmarkEnd w:id="700"/>
    </w:p>
    <w:p w14:paraId="2E890FE1">
      <w:pPr>
        <w:keepNext/>
        <w:keepLines/>
        <w:spacing w:before="260" w:after="260" w:line="416" w:lineRule="auto"/>
        <w:outlineLvl w:val="2"/>
        <w:rPr>
          <w:rFonts w:ascii="宋体" w:hAnsi="宋体"/>
          <w:b/>
          <w:bCs/>
          <w:color w:val="auto"/>
          <w:kern w:val="0"/>
          <w:sz w:val="32"/>
          <w:szCs w:val="32"/>
          <w:highlight w:val="none"/>
        </w:rPr>
      </w:pPr>
      <w:bookmarkStart w:id="701" w:name="_Toc115179944"/>
      <w:r>
        <w:rPr>
          <w:rFonts w:hint="eastAsia" w:ascii="宋体" w:hAnsi="宋体"/>
          <w:b/>
          <w:bCs/>
          <w:color w:val="auto"/>
          <w:kern w:val="0"/>
          <w:sz w:val="32"/>
          <w:szCs w:val="32"/>
          <w:highlight w:val="none"/>
        </w:rPr>
        <w:t>21.1 不可抗力的确认</w:t>
      </w:r>
      <w:bookmarkEnd w:id="701"/>
    </w:p>
    <w:p w14:paraId="39F095F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22F68D2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21.1.2 不可抗力发生后，发包人和承包人应及时认真统计所造成的损失，收集不可抗力造成损失的证据。合同双方对是否属于不可抗力或其损失的意见不一致的，由监理人按第3.5 款商定或确定。发生争议时，按第24条的约定办理。</w:t>
      </w:r>
    </w:p>
    <w:p w14:paraId="2574C8F4">
      <w:pPr>
        <w:keepNext/>
        <w:keepLines/>
        <w:spacing w:before="260" w:after="260" w:line="416" w:lineRule="auto"/>
        <w:outlineLvl w:val="2"/>
        <w:rPr>
          <w:rFonts w:ascii="宋体" w:hAnsi="宋体"/>
          <w:b/>
          <w:bCs/>
          <w:color w:val="auto"/>
          <w:kern w:val="0"/>
          <w:sz w:val="32"/>
          <w:szCs w:val="32"/>
          <w:highlight w:val="none"/>
        </w:rPr>
      </w:pPr>
      <w:bookmarkStart w:id="702" w:name="_Toc115179945"/>
      <w:r>
        <w:rPr>
          <w:rFonts w:hint="eastAsia" w:ascii="宋体" w:hAnsi="宋体"/>
          <w:b/>
          <w:bCs/>
          <w:color w:val="auto"/>
          <w:kern w:val="0"/>
          <w:sz w:val="32"/>
          <w:szCs w:val="32"/>
          <w:highlight w:val="none"/>
        </w:rPr>
        <w:t>21.2 不可抗力的通知</w:t>
      </w:r>
      <w:bookmarkEnd w:id="702"/>
    </w:p>
    <w:p w14:paraId="4823129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21.2.1 合同一方当事人遇到不可抗力事件，使其履行合同义务受到阻碍时，应立即通知合同另一方当事人和监理人，书面说明不可抗力和受阻碍的详细情况，并提供必要的证明。</w:t>
      </w:r>
    </w:p>
    <w:p w14:paraId="7D82894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14:paraId="5F4C7AFA">
      <w:pPr>
        <w:keepNext/>
        <w:keepLines/>
        <w:spacing w:before="260" w:after="260" w:line="416" w:lineRule="auto"/>
        <w:outlineLvl w:val="2"/>
        <w:rPr>
          <w:rFonts w:ascii="宋体" w:hAnsi="宋体"/>
          <w:b/>
          <w:bCs/>
          <w:color w:val="auto"/>
          <w:kern w:val="0"/>
          <w:sz w:val="32"/>
          <w:szCs w:val="32"/>
          <w:highlight w:val="none"/>
        </w:rPr>
      </w:pPr>
      <w:bookmarkStart w:id="703" w:name="_Toc115179946"/>
      <w:r>
        <w:rPr>
          <w:rFonts w:hint="eastAsia" w:ascii="宋体" w:hAnsi="宋体"/>
          <w:b/>
          <w:bCs/>
          <w:color w:val="auto"/>
          <w:kern w:val="0"/>
          <w:sz w:val="32"/>
          <w:szCs w:val="32"/>
          <w:highlight w:val="none"/>
        </w:rPr>
        <w:t>21.3 不可抗力后果及其处理</w:t>
      </w:r>
      <w:bookmarkEnd w:id="703"/>
    </w:p>
    <w:p w14:paraId="3AB029B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21.3.1 不可抗力造成损害的责任</w:t>
      </w:r>
    </w:p>
    <w:p w14:paraId="32B35A3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除专用合同条款另有约定外，不可抗力导致的人员伤亡、财产损失、费用增加和（或）工期延误等后果，由合同双方按以下原则承担：</w:t>
      </w:r>
    </w:p>
    <w:p w14:paraId="2AB36D8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(1）永久工程，包括己运至施工场地的材料和工程设备的损害，以及因工程损害造成的第三者人员伤亡和财产损失由发包人承担；</w:t>
      </w:r>
    </w:p>
    <w:p w14:paraId="333E8F4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(2）承包人设备的损坏由承包人承担；</w:t>
      </w:r>
    </w:p>
    <w:p w14:paraId="78DC8E0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(3）发包人和承包人各自承担其人员伤亡和其他财产损失及其相关费用；</w:t>
      </w:r>
    </w:p>
    <w:p w14:paraId="540A3C4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(4）承包人的停工损失由承包人承担，但停工期间应监理人要求照管工程和清理、修复工程的金额由发包人承担；</w:t>
      </w:r>
    </w:p>
    <w:p w14:paraId="452014A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(5）不能按期竣工的，应合理延长工期，承包人不需支付逾期竣工违约金。发包人要求赶工的，承包人应采取赶工措施，赶工费用由发包人承担。</w:t>
      </w:r>
    </w:p>
    <w:p w14:paraId="0F0C934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21.3.2 延迟履行期间发生的不可抗力</w:t>
      </w:r>
    </w:p>
    <w:p w14:paraId="29623E7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合同一方当事人延迟履行，在延迟履行期间发生不可抗力的，不免除其责任。</w:t>
      </w:r>
    </w:p>
    <w:p w14:paraId="0924948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21.3.3 避免和减少不可抗力损失</w:t>
      </w:r>
    </w:p>
    <w:p w14:paraId="1621423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不可抗力发生后，发包人和承包人均应采取措施尽量避免和减少损失的扩大，任何一方没有采取有效措施导致损失扩大的，应对扩大的损失承担责任。</w:t>
      </w:r>
    </w:p>
    <w:p w14:paraId="0537134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21.3.4 因不可抗力解除合同</w:t>
      </w:r>
    </w:p>
    <w:p w14:paraId="18C4667D">
      <w:pPr>
        <w:spacing w:line="360" w:lineRule="auto"/>
        <w:ind w:firstLine="420" w:firstLineChars="200"/>
        <w:rPr>
          <w:rFonts w:ascii="宋体" w:hAnsi="宋体"/>
          <w:color w:val="auto"/>
          <w:highlight w:val="none"/>
        </w:rPr>
      </w:pPr>
      <w:r>
        <w:rPr>
          <w:rFonts w:hint="eastAsia" w:ascii="宋体" w:hAnsi="宋体"/>
          <w:color w:val="auto"/>
          <w:szCs w:val="21"/>
          <w:highlight w:val="none"/>
        </w:rPr>
        <w:t>合同一方当事人因不可抗力不能履行合同的，应当及时通知对方解除合同。合同解除后，承包人应按照第22.2.5 项约定撤离施工场地。已经订货的材料、设备由订货方负责退货或解除订货合同，不能退还的货款和因退货、解除订货合同发生的费用，由发包人承担，因未及时退货造成的损失由责任方承担。合同解除后的付款，参照第22.2.4 项约定，由监理人按第3.5 款商定或确定。</w:t>
      </w:r>
    </w:p>
    <w:p w14:paraId="3EB3AC60">
      <w:pPr>
        <w:spacing w:before="260" w:after="260" w:line="400" w:lineRule="exact"/>
        <w:outlineLvl w:val="1"/>
        <w:rPr>
          <w:rFonts w:ascii="宋体" w:hAnsi="宋体" w:eastAsia="黑体"/>
          <w:color w:val="auto"/>
          <w:kern w:val="44"/>
          <w:sz w:val="31"/>
          <w:szCs w:val="31"/>
          <w:highlight w:val="none"/>
        </w:rPr>
      </w:pPr>
      <w:bookmarkStart w:id="704" w:name="_Toc222032692"/>
      <w:bookmarkStart w:id="705" w:name="_Toc222029523"/>
      <w:bookmarkStart w:id="706" w:name="_Toc115179947"/>
      <w:bookmarkStart w:id="707" w:name="_Toc222033874"/>
      <w:bookmarkStart w:id="708" w:name="_Toc259524370"/>
      <w:bookmarkStart w:id="709" w:name="_Toc483383022"/>
      <w:bookmarkStart w:id="710" w:name="_Toc8327"/>
      <w:bookmarkStart w:id="711" w:name="_Toc221951083"/>
      <w:bookmarkStart w:id="712" w:name="_Toc222031025"/>
      <w:bookmarkStart w:id="713" w:name="_Toc229305383"/>
      <w:r>
        <w:rPr>
          <w:rFonts w:ascii="宋体" w:hAnsi="宋体" w:eastAsia="黑体"/>
          <w:color w:val="auto"/>
          <w:kern w:val="44"/>
          <w:sz w:val="31"/>
          <w:szCs w:val="31"/>
          <w:highlight w:val="none"/>
        </w:rPr>
        <w:t xml:space="preserve">22. </w:t>
      </w:r>
      <w:r>
        <w:rPr>
          <w:rFonts w:hint="eastAsia" w:ascii="宋体" w:hAnsi="宋体" w:eastAsia="黑体"/>
          <w:color w:val="auto"/>
          <w:kern w:val="44"/>
          <w:sz w:val="31"/>
          <w:szCs w:val="31"/>
          <w:highlight w:val="none"/>
        </w:rPr>
        <w:t>违约</w:t>
      </w:r>
      <w:bookmarkEnd w:id="704"/>
      <w:bookmarkEnd w:id="705"/>
      <w:bookmarkEnd w:id="706"/>
      <w:bookmarkEnd w:id="707"/>
      <w:bookmarkEnd w:id="708"/>
      <w:bookmarkEnd w:id="709"/>
      <w:bookmarkEnd w:id="710"/>
      <w:bookmarkEnd w:id="711"/>
      <w:bookmarkEnd w:id="712"/>
      <w:bookmarkEnd w:id="713"/>
    </w:p>
    <w:p w14:paraId="2A73B064">
      <w:pPr>
        <w:keepNext/>
        <w:keepLines/>
        <w:spacing w:before="260" w:after="260" w:line="416" w:lineRule="auto"/>
        <w:outlineLvl w:val="2"/>
        <w:rPr>
          <w:rFonts w:ascii="宋体" w:hAnsi="宋体"/>
          <w:b/>
          <w:bCs/>
          <w:color w:val="auto"/>
          <w:kern w:val="0"/>
          <w:sz w:val="32"/>
          <w:szCs w:val="32"/>
          <w:highlight w:val="none"/>
        </w:rPr>
      </w:pPr>
      <w:bookmarkStart w:id="714" w:name="_Toc115179948"/>
      <w:r>
        <w:rPr>
          <w:rFonts w:hint="eastAsia" w:ascii="宋体" w:hAnsi="宋体"/>
          <w:b/>
          <w:bCs/>
          <w:color w:val="auto"/>
          <w:kern w:val="0"/>
          <w:sz w:val="32"/>
          <w:szCs w:val="32"/>
          <w:highlight w:val="none"/>
        </w:rPr>
        <w:t>22.1承包人违约的情形</w:t>
      </w:r>
      <w:bookmarkEnd w:id="714"/>
    </w:p>
    <w:p w14:paraId="4C6F663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22.1.1 承包人违约的情形</w:t>
      </w:r>
    </w:p>
    <w:p w14:paraId="3E01CFE4">
      <w:pPr>
        <w:spacing w:line="400" w:lineRule="exact"/>
        <w:ind w:firstLine="420" w:firstLineChars="200"/>
        <w:rPr>
          <w:rFonts w:ascii="宋体" w:hAnsi="宋体"/>
          <w:color w:val="auto"/>
          <w:highlight w:val="none"/>
        </w:rPr>
      </w:pPr>
      <w:r>
        <w:rPr>
          <w:rFonts w:hint="eastAsia" w:ascii="宋体" w:hAnsi="宋体"/>
          <w:color w:val="auto"/>
          <w:highlight w:val="none"/>
        </w:rPr>
        <w:t>在履行合同过程中发生的下列情况属承包人违约：</w:t>
      </w:r>
    </w:p>
    <w:p w14:paraId="1EF629F0">
      <w:pPr>
        <w:spacing w:line="400" w:lineRule="exact"/>
        <w:ind w:firstLine="420" w:firstLineChars="200"/>
        <w:rPr>
          <w:rFonts w:ascii="宋体" w:hAnsi="宋体"/>
          <w:color w:val="auto"/>
          <w:highlight w:val="none"/>
        </w:rPr>
      </w:pPr>
      <w:r>
        <w:rPr>
          <w:rFonts w:hint="eastAsia" w:ascii="宋体" w:hAnsi="宋体"/>
          <w:color w:val="auto"/>
          <w:highlight w:val="none"/>
        </w:rPr>
        <w:t>(1）承包人违反第1.8款或第4.3 款的约定，私自将合同的全部或部分权利转让给其他人，或私自将合同的全部或部分义务转移给其他人；</w:t>
      </w:r>
    </w:p>
    <w:p w14:paraId="1C563D1D">
      <w:pPr>
        <w:spacing w:line="400" w:lineRule="exact"/>
        <w:ind w:firstLine="420" w:firstLineChars="200"/>
        <w:rPr>
          <w:rFonts w:ascii="宋体" w:hAnsi="宋体"/>
          <w:color w:val="auto"/>
          <w:highlight w:val="none"/>
        </w:rPr>
      </w:pPr>
      <w:r>
        <w:rPr>
          <w:rFonts w:hint="eastAsia" w:ascii="宋体" w:hAnsi="宋体"/>
          <w:color w:val="auto"/>
          <w:highlight w:val="none"/>
        </w:rPr>
        <w:t>(2）承包人违反第5.3款或第6.4 款的约定，未经监理人批准，私自将已按合同约定进入施工场地的施工设备、临时设施或材料撤离施工场地；</w:t>
      </w:r>
    </w:p>
    <w:p w14:paraId="3DE8BE30">
      <w:pPr>
        <w:spacing w:line="400" w:lineRule="exact"/>
        <w:ind w:firstLine="420" w:firstLineChars="200"/>
        <w:rPr>
          <w:rFonts w:ascii="宋体" w:hAnsi="宋体"/>
          <w:color w:val="auto"/>
          <w:highlight w:val="none"/>
        </w:rPr>
      </w:pPr>
      <w:r>
        <w:rPr>
          <w:rFonts w:hint="eastAsia" w:ascii="宋体" w:hAnsi="宋体"/>
          <w:color w:val="auto"/>
          <w:highlight w:val="none"/>
        </w:rPr>
        <w:t>(3）承包人违反第5.4 款的约定使用了不合格材料或工程设备，工程质量达不到标准要求，又拒绝清除不合格工程；</w:t>
      </w:r>
    </w:p>
    <w:p w14:paraId="715073CD">
      <w:pPr>
        <w:spacing w:line="400" w:lineRule="exact"/>
        <w:ind w:firstLine="420" w:firstLineChars="200"/>
        <w:rPr>
          <w:rFonts w:ascii="宋体" w:hAnsi="宋体"/>
          <w:color w:val="auto"/>
          <w:highlight w:val="none"/>
        </w:rPr>
      </w:pPr>
      <w:r>
        <w:rPr>
          <w:rFonts w:hint="eastAsia" w:ascii="宋体" w:hAnsi="宋体"/>
          <w:color w:val="auto"/>
          <w:highlight w:val="none"/>
        </w:rPr>
        <w:t>(4）承包人未能按合同进度计划及时完成合同约定的工作，已造成或预期造成工期延误；</w:t>
      </w:r>
    </w:p>
    <w:p w14:paraId="06643141">
      <w:pPr>
        <w:spacing w:line="400" w:lineRule="exact"/>
        <w:ind w:firstLine="420" w:firstLineChars="200"/>
        <w:rPr>
          <w:rFonts w:ascii="宋体" w:hAnsi="宋体"/>
          <w:color w:val="auto"/>
          <w:highlight w:val="none"/>
        </w:rPr>
      </w:pPr>
      <w:r>
        <w:rPr>
          <w:rFonts w:hint="eastAsia" w:ascii="宋体" w:hAnsi="宋体"/>
          <w:color w:val="auto"/>
          <w:highlight w:val="none"/>
        </w:rPr>
        <w:t>(5）承包人在缺陷责任期（工程质量保修期）内，未能对合同工程完工验收鉴定书所列的缺陷清单的内容或缺陷责任期（工程质量保修期）内发生的缺陷进行修复，而又拒绝按监理人指示再进行修补；</w:t>
      </w:r>
    </w:p>
    <w:p w14:paraId="12CA5A35">
      <w:pPr>
        <w:spacing w:line="400" w:lineRule="exact"/>
        <w:ind w:firstLine="420" w:firstLineChars="200"/>
        <w:rPr>
          <w:rFonts w:ascii="宋体" w:hAnsi="宋体"/>
          <w:color w:val="auto"/>
          <w:highlight w:val="none"/>
        </w:rPr>
      </w:pPr>
      <w:r>
        <w:rPr>
          <w:rFonts w:hint="eastAsia" w:ascii="宋体" w:hAnsi="宋体"/>
          <w:color w:val="auto"/>
          <w:highlight w:val="none"/>
        </w:rPr>
        <w:t>(6）承包人无法继续履行或明确表示不履行或实质上已停止履行合同；</w:t>
      </w:r>
    </w:p>
    <w:p w14:paraId="07A8029F">
      <w:pPr>
        <w:spacing w:line="400" w:lineRule="exact"/>
        <w:ind w:firstLine="420" w:firstLineChars="200"/>
        <w:rPr>
          <w:rFonts w:ascii="宋体" w:hAnsi="宋体"/>
          <w:color w:val="auto"/>
          <w:highlight w:val="none"/>
        </w:rPr>
      </w:pPr>
      <w:r>
        <w:rPr>
          <w:rFonts w:hint="eastAsia" w:ascii="宋体" w:hAnsi="宋体"/>
          <w:color w:val="auto"/>
          <w:highlight w:val="none"/>
        </w:rPr>
        <w:t>(7）承包人不按合同约定履行义务的其它情况。</w:t>
      </w:r>
    </w:p>
    <w:p w14:paraId="41A722A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22.1.2 对承包人违约的处理</w:t>
      </w:r>
    </w:p>
    <w:p w14:paraId="702A69C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(l）承包人发生第22.1.1(6）目约定的违约情况时，发包人可通知承包人立即解除合同，并按有关法律处理。</w:t>
      </w:r>
    </w:p>
    <w:p w14:paraId="6B65038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(2）承包人发生除第22.1.1(6）目约定以外的其他违约情况时，监理人可向承包人发出整改通知，要求其在指定的期限内改正。承包人应承担其违约所引起的费用增加和（或）工期延误。</w:t>
      </w:r>
    </w:p>
    <w:p w14:paraId="06F3D54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(3）经检查证明承包人已采取了有效措施纠正违约行为，具备复工条件的，可由监理人签发复工通知复工。</w:t>
      </w:r>
    </w:p>
    <w:p w14:paraId="67AC3AA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22.1.3 承包人违约解除合同</w:t>
      </w:r>
    </w:p>
    <w:p w14:paraId="5D26E31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453B2B2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22.1.4 合同解除后的估价、付款和结清</w:t>
      </w:r>
    </w:p>
    <w:p w14:paraId="5300139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(1）合同解除后，监理人按第3.5 款商定或确定承包人实际完成工作的价值，以及承包人已提供的材料、施工设备、工程设备和临时工程等的价值。</w:t>
      </w:r>
    </w:p>
    <w:p w14:paraId="4F35D9E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(2）合同解除后，发包人应暂停对承包人的一切付款，查清各项付款和已扣款金额，包括承包人应支付的违约金。</w:t>
      </w:r>
    </w:p>
    <w:p w14:paraId="5FAD4A0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(3）合同解除后，发包人应按第23.4 款的约定向承包人索赔由于解除合同给发包人造成的损失。</w:t>
      </w:r>
    </w:p>
    <w:p w14:paraId="551E2B5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(4）合同双方确认上述往来款项后，出具最终结清付款证书，结清全部合同款项。</w:t>
      </w:r>
    </w:p>
    <w:p w14:paraId="740E072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(5）发包人和承包人未能就解除合同后的结清达成一致而形成争议的，按第24条的约定办理。</w:t>
      </w:r>
    </w:p>
    <w:p w14:paraId="1BBFEC7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22.1.5 协议利益的转让</w:t>
      </w:r>
    </w:p>
    <w:p w14:paraId="41505BD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因承包人违约解除合同的，发包人有权要求承包人将其为实施合同而签订的材料和设备的订货协议或任何服务协议利益转让给发包人，并在解除合同后的14天内，依法办理转让手续。</w:t>
      </w:r>
    </w:p>
    <w:p w14:paraId="738AF0E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22.1.6 紧急情况下无能力或不愿进行抢救</w:t>
      </w:r>
    </w:p>
    <w:p w14:paraId="7B9F642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06CA616C">
      <w:pPr>
        <w:keepNext/>
        <w:keepLines/>
        <w:spacing w:before="260" w:after="260" w:line="416" w:lineRule="auto"/>
        <w:outlineLvl w:val="2"/>
        <w:rPr>
          <w:rFonts w:ascii="宋体" w:hAnsi="宋体"/>
          <w:b/>
          <w:bCs/>
          <w:color w:val="auto"/>
          <w:kern w:val="0"/>
          <w:sz w:val="32"/>
          <w:szCs w:val="32"/>
          <w:highlight w:val="none"/>
        </w:rPr>
      </w:pPr>
      <w:bookmarkStart w:id="715" w:name="_Toc115179949"/>
      <w:r>
        <w:rPr>
          <w:rFonts w:hint="eastAsia" w:ascii="宋体" w:hAnsi="宋体"/>
          <w:b/>
          <w:bCs/>
          <w:color w:val="auto"/>
          <w:kern w:val="0"/>
          <w:sz w:val="32"/>
          <w:szCs w:val="32"/>
          <w:highlight w:val="none"/>
        </w:rPr>
        <w:t>22.2 发包人违约</w:t>
      </w:r>
      <w:bookmarkEnd w:id="715"/>
    </w:p>
    <w:p w14:paraId="275B7E8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22.2.1 发包人违约的情形</w:t>
      </w:r>
    </w:p>
    <w:p w14:paraId="258C733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在履行合同过程中发生的下列情形，属发包人违约：</w:t>
      </w:r>
    </w:p>
    <w:p w14:paraId="0202695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(l）发包人未能按合同约定支付预付款或合同价款，或拖延、拒绝批准付款申请和支付凭证，导致付款延误的；</w:t>
      </w:r>
    </w:p>
    <w:p w14:paraId="397F9B1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(2）发包人原因造成停工的；</w:t>
      </w:r>
    </w:p>
    <w:p w14:paraId="019E099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(3）监理人无正当理由没有在约定期限内发出复工指示，导致承包人无法复工的；</w:t>
      </w:r>
    </w:p>
    <w:p w14:paraId="6FE2A45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(4）发包人无法继续履行或明确表示不履行或实质上已停止履行合同的；</w:t>
      </w:r>
    </w:p>
    <w:p w14:paraId="6F1865A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(5）发包人不履行合同约定其他义务的。</w:t>
      </w:r>
    </w:p>
    <w:p w14:paraId="78CE5ED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22.2.2 承包人有权暂停施工</w:t>
      </w:r>
    </w:p>
    <w:p w14:paraId="0347170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7AD01AE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22.2.3 发包人违约解除合同</w:t>
      </w:r>
    </w:p>
    <w:p w14:paraId="6FD3CCA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(1）发生第22.2.1(4）目的违约情况时，承包人可书面通知发包人解除合同。</w:t>
      </w:r>
    </w:p>
    <w:p w14:paraId="097BFBA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(2）承包人按22.2.2 项暂停施工28天后，发包人仍不纠正违约行为的，承包人可向发包人发出解除合同通知。但承包人的这一行动不免除发包人承担的违约责任，也不影响承包人根据合同约定享有的索赔权利。</w:t>
      </w:r>
    </w:p>
    <w:p w14:paraId="42AE400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22.2.4 解除合同后的付款</w:t>
      </w:r>
    </w:p>
    <w:p w14:paraId="0C0462C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因发包人违约解除合同的，发包人应在解除合同后28天内向承包人支付下列金额，承包人应在此期限内及时向发包人提交要求支付下列金额的有关资料和凭证：</w:t>
      </w:r>
    </w:p>
    <w:p w14:paraId="5253605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(l）合同解除日以前所完成工作的价款；</w:t>
      </w:r>
    </w:p>
    <w:p w14:paraId="2EF4240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(2）承包人为该工程施工订购并已付款的材料、工程设备和其他物品的金额。发包人付还后，该材料、工程设备和其他物品归发包人所有；</w:t>
      </w:r>
    </w:p>
    <w:p w14:paraId="36CE6EB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(3）承包人为完成工程所发生的，而发包人未支付的金额；</w:t>
      </w:r>
    </w:p>
    <w:p w14:paraId="7F57589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(4）承包人撤离施工场地以及遣散承包人人员的金额；</w:t>
      </w:r>
    </w:p>
    <w:p w14:paraId="6CE511B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(5）由于解除合同应赔偿的承包人损失；</w:t>
      </w:r>
    </w:p>
    <w:p w14:paraId="15531FC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(6）按合同约定在合同解除日前应支付给承包人的其他金额。</w:t>
      </w:r>
    </w:p>
    <w:p w14:paraId="5E109AE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发包人应按本项约定支付上述金额并退还质量保证金和履约担保，但有权要求承包人支付应偿还给发包人的各项金额。</w:t>
      </w:r>
    </w:p>
    <w:p w14:paraId="670ABED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22.2.5 解除合同后的承包人撤离</w:t>
      </w:r>
    </w:p>
    <w:p w14:paraId="0FCF257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因发包人违约而解除合同后，承包人应妥善做好已竣工工程和已购材料、设备的保护和移交工作，按发包人要求将承包人设备和人员撤出施工场地。承包人撤出施工场地应遵守第</w:t>
      </w:r>
    </w:p>
    <w:p w14:paraId="42D50D1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18.7.1 项的约定，发包人应为承包人撤出提供必要条件。</w:t>
      </w:r>
    </w:p>
    <w:p w14:paraId="40673C89">
      <w:pPr>
        <w:keepNext/>
        <w:keepLines/>
        <w:spacing w:before="260" w:after="260" w:line="416" w:lineRule="auto"/>
        <w:outlineLvl w:val="2"/>
        <w:rPr>
          <w:rFonts w:ascii="宋体" w:hAnsi="宋体"/>
          <w:b/>
          <w:bCs/>
          <w:color w:val="auto"/>
          <w:kern w:val="0"/>
          <w:sz w:val="32"/>
          <w:szCs w:val="32"/>
          <w:highlight w:val="none"/>
        </w:rPr>
      </w:pPr>
      <w:bookmarkStart w:id="716" w:name="_Toc115179950"/>
      <w:r>
        <w:rPr>
          <w:rFonts w:hint="eastAsia" w:ascii="宋体" w:hAnsi="宋体"/>
          <w:b/>
          <w:bCs/>
          <w:color w:val="auto"/>
          <w:kern w:val="0"/>
          <w:sz w:val="32"/>
          <w:szCs w:val="32"/>
          <w:highlight w:val="none"/>
        </w:rPr>
        <w:t>22.3 第三人造成的违约</w:t>
      </w:r>
      <w:bookmarkEnd w:id="716"/>
    </w:p>
    <w:p w14:paraId="156C196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在履行合同过程中，一方当事人因第三人的原因造成违约的，应当向对方当事人承担违约责任。一方当事人和第三人之间的纠纷，依照法律规定或者按照约定解决。</w:t>
      </w:r>
    </w:p>
    <w:p w14:paraId="3FAC81EE">
      <w:pPr>
        <w:spacing w:before="260" w:after="260" w:line="400" w:lineRule="exact"/>
        <w:outlineLvl w:val="1"/>
        <w:rPr>
          <w:rFonts w:ascii="宋体" w:hAnsi="宋体" w:eastAsia="黑体"/>
          <w:color w:val="auto"/>
          <w:kern w:val="44"/>
          <w:sz w:val="31"/>
          <w:szCs w:val="31"/>
          <w:highlight w:val="none"/>
        </w:rPr>
      </w:pPr>
      <w:bookmarkStart w:id="717" w:name="_Toc222029524"/>
      <w:bookmarkStart w:id="718" w:name="_Toc222031026"/>
      <w:bookmarkStart w:id="719" w:name="_Toc221951088"/>
      <w:bookmarkStart w:id="720" w:name="_Toc222033875"/>
      <w:bookmarkStart w:id="721" w:name="_Toc21494"/>
      <w:bookmarkStart w:id="722" w:name="_Toc115179951"/>
      <w:bookmarkStart w:id="723" w:name="_Toc259524371"/>
      <w:bookmarkStart w:id="724" w:name="_Toc483383023"/>
      <w:bookmarkStart w:id="725" w:name="_Toc229305384"/>
      <w:bookmarkStart w:id="726" w:name="_Toc222032693"/>
      <w:r>
        <w:rPr>
          <w:rFonts w:ascii="宋体" w:hAnsi="宋体" w:eastAsia="黑体"/>
          <w:color w:val="auto"/>
          <w:kern w:val="44"/>
          <w:sz w:val="31"/>
          <w:szCs w:val="31"/>
          <w:highlight w:val="none"/>
        </w:rPr>
        <w:t xml:space="preserve">23. </w:t>
      </w:r>
      <w:r>
        <w:rPr>
          <w:rFonts w:hint="eastAsia" w:ascii="宋体" w:hAnsi="宋体" w:eastAsia="黑体"/>
          <w:color w:val="auto"/>
          <w:kern w:val="44"/>
          <w:sz w:val="31"/>
          <w:szCs w:val="31"/>
          <w:highlight w:val="none"/>
        </w:rPr>
        <w:t>索赔</w:t>
      </w:r>
      <w:bookmarkEnd w:id="717"/>
      <w:bookmarkEnd w:id="718"/>
      <w:bookmarkEnd w:id="719"/>
      <w:bookmarkEnd w:id="720"/>
      <w:bookmarkEnd w:id="721"/>
      <w:bookmarkEnd w:id="722"/>
      <w:bookmarkEnd w:id="723"/>
      <w:bookmarkEnd w:id="724"/>
      <w:bookmarkEnd w:id="725"/>
      <w:bookmarkEnd w:id="726"/>
    </w:p>
    <w:p w14:paraId="0C67AC05">
      <w:pPr>
        <w:keepNext/>
        <w:keepLines/>
        <w:spacing w:before="260" w:after="260" w:line="416" w:lineRule="auto"/>
        <w:outlineLvl w:val="2"/>
        <w:rPr>
          <w:rFonts w:ascii="宋体" w:hAnsi="宋体"/>
          <w:b/>
          <w:bCs/>
          <w:color w:val="auto"/>
          <w:kern w:val="0"/>
          <w:sz w:val="32"/>
          <w:szCs w:val="32"/>
          <w:highlight w:val="none"/>
        </w:rPr>
      </w:pPr>
      <w:bookmarkStart w:id="727" w:name="_Toc115179952"/>
      <w:bookmarkStart w:id="728" w:name="_Toc221951097"/>
      <w:r>
        <w:rPr>
          <w:rFonts w:hint="eastAsia" w:ascii="宋体" w:hAnsi="宋体"/>
          <w:b/>
          <w:bCs/>
          <w:color w:val="auto"/>
          <w:kern w:val="0"/>
          <w:sz w:val="32"/>
          <w:szCs w:val="32"/>
          <w:highlight w:val="none"/>
        </w:rPr>
        <w:t>23.1 承包人索赔的提出</w:t>
      </w:r>
      <w:bookmarkEnd w:id="727"/>
    </w:p>
    <w:p w14:paraId="45D3BA3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根据合同约定，承包人认为有权得到追加付款和（或）延长工期的，应按以下程序向发包人提出索赔：</w:t>
      </w:r>
    </w:p>
    <w:p w14:paraId="5869500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(l）承包人应在知道或应当知道索赔事件发生后28 天内，向监理人递交索赔意向通知书，并说明发生索赔事件的事由。承包人未在前述28天内发出索赔意向通知书的，丧失要求追加付款和（或）延长工期的权利：</w:t>
      </w:r>
    </w:p>
    <w:p w14:paraId="2BFC2D0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(2）承包人应在发出索赔意向通知书后28天内，向监理人正式递交索赔通知书。索赔通知书应详细说明索赔理由以及要求追加的付款金额和（或）延长的工期，并附必要的记录和证明材料；</w:t>
      </w:r>
    </w:p>
    <w:p w14:paraId="2D6381C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(3）索赔事件具有连续影响的，承包人应按合理时间间隔继续递交延续索赔通知，说明连续影响的实际情况和记录，列出累计的追加付款金额和（或）工期延长天数；</w:t>
      </w:r>
    </w:p>
    <w:p w14:paraId="59A1519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(4）在索赔事件影响结束后的28 天内，承包人应向监理人递交最终索赔通知书，说明最终要求索赔的追加付款金额和延长的工期，并附必要的记录和证明材料。</w:t>
      </w:r>
    </w:p>
    <w:p w14:paraId="16F68AA9">
      <w:pPr>
        <w:keepNext/>
        <w:keepLines/>
        <w:spacing w:before="260" w:after="260" w:line="416" w:lineRule="auto"/>
        <w:outlineLvl w:val="2"/>
        <w:rPr>
          <w:rFonts w:ascii="宋体" w:hAnsi="宋体"/>
          <w:b/>
          <w:bCs/>
          <w:color w:val="auto"/>
          <w:kern w:val="0"/>
          <w:sz w:val="32"/>
          <w:szCs w:val="32"/>
          <w:highlight w:val="none"/>
        </w:rPr>
      </w:pPr>
      <w:bookmarkStart w:id="729" w:name="_Toc115179953"/>
      <w:r>
        <w:rPr>
          <w:rFonts w:hint="eastAsia" w:ascii="宋体" w:hAnsi="宋体"/>
          <w:b/>
          <w:bCs/>
          <w:color w:val="auto"/>
          <w:kern w:val="0"/>
          <w:sz w:val="32"/>
          <w:szCs w:val="32"/>
          <w:highlight w:val="none"/>
        </w:rPr>
        <w:t>23.2 承包人索赔处理程序</w:t>
      </w:r>
      <w:bookmarkEnd w:id="729"/>
    </w:p>
    <w:p w14:paraId="2D031E2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(1）监理人收到承包人提交的索赔通知书后，应及时审查索赔通知书的内容、杳验承包人的记录和证明材料，必要时监理人可要求承包人提交全部原始记录副本。</w:t>
      </w:r>
    </w:p>
    <w:p w14:paraId="68632CB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(2）监理人应按第3.5 款商定或确定追加的付款和（或）延长的工期，并在收到上述索赔通知书或有关索赔的进一步证明材料后的42天内，将索赔处理结果答复承包人。</w:t>
      </w:r>
    </w:p>
    <w:p w14:paraId="7B3F09A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(3）承包人接受索赔处理结果的，发包人应在作出索赔处理结果答复后28 天内完成赔付。承包人不接受索赔处理结果的，按第24条的约定办理。</w:t>
      </w:r>
    </w:p>
    <w:p w14:paraId="3E3537E8">
      <w:pPr>
        <w:keepNext/>
        <w:keepLines/>
        <w:spacing w:before="260" w:after="260" w:line="416" w:lineRule="auto"/>
        <w:outlineLvl w:val="2"/>
        <w:rPr>
          <w:rFonts w:ascii="宋体" w:hAnsi="宋体"/>
          <w:b/>
          <w:bCs/>
          <w:color w:val="auto"/>
          <w:kern w:val="0"/>
          <w:sz w:val="32"/>
          <w:szCs w:val="32"/>
          <w:highlight w:val="none"/>
        </w:rPr>
      </w:pPr>
      <w:bookmarkStart w:id="730" w:name="_Toc115179954"/>
      <w:r>
        <w:rPr>
          <w:rFonts w:hint="eastAsia" w:ascii="宋体" w:hAnsi="宋体"/>
          <w:b/>
          <w:bCs/>
          <w:color w:val="auto"/>
          <w:kern w:val="0"/>
          <w:sz w:val="32"/>
          <w:szCs w:val="32"/>
          <w:highlight w:val="none"/>
        </w:rPr>
        <w:t>23.3 承包人提出索赔的期限</w:t>
      </w:r>
      <w:bookmarkEnd w:id="730"/>
    </w:p>
    <w:p w14:paraId="7099FAB9">
      <w:pPr>
        <w:spacing w:line="400" w:lineRule="exact"/>
        <w:ind w:firstLine="420" w:firstLineChars="200"/>
        <w:rPr>
          <w:rFonts w:ascii="宋体" w:hAnsi="宋体"/>
          <w:color w:val="auto"/>
          <w:highlight w:val="none"/>
        </w:rPr>
      </w:pPr>
      <w:r>
        <w:rPr>
          <w:rFonts w:hint="eastAsia" w:ascii="宋体" w:hAnsi="宋体"/>
          <w:color w:val="auto"/>
          <w:highlight w:val="none"/>
        </w:rPr>
        <w:t>23.3.1 承包人按第17.5 款的约定接受了完工付款证书后，应被认为已无权再提出在合同工程完工证书颁发前所发生的任何索赔。</w:t>
      </w:r>
    </w:p>
    <w:p w14:paraId="4A3EB5A2">
      <w:pPr>
        <w:spacing w:line="400" w:lineRule="exact"/>
        <w:ind w:firstLine="420" w:firstLineChars="200"/>
        <w:rPr>
          <w:rFonts w:ascii="宋体" w:hAnsi="宋体"/>
          <w:color w:val="auto"/>
          <w:highlight w:val="none"/>
        </w:rPr>
      </w:pPr>
      <w:r>
        <w:rPr>
          <w:rFonts w:hint="eastAsia" w:ascii="宋体" w:hAnsi="宋体"/>
          <w:color w:val="auto"/>
          <w:highlight w:val="none"/>
        </w:rPr>
        <w:t>23.3.2 承包人按第17.6 款的约定提交的最终结清申请单中，只限于提出合同工程完工证书颁发后发生的索赔。提出索赔的期限自接受最终结清证书时终止。</w:t>
      </w:r>
    </w:p>
    <w:p w14:paraId="3A49393F">
      <w:pPr>
        <w:keepNext/>
        <w:keepLines/>
        <w:spacing w:before="260" w:after="260" w:line="416" w:lineRule="auto"/>
        <w:outlineLvl w:val="2"/>
        <w:rPr>
          <w:rFonts w:ascii="宋体" w:hAnsi="宋体"/>
          <w:b/>
          <w:bCs/>
          <w:color w:val="auto"/>
          <w:kern w:val="0"/>
          <w:sz w:val="32"/>
          <w:szCs w:val="32"/>
          <w:highlight w:val="none"/>
        </w:rPr>
      </w:pPr>
      <w:bookmarkStart w:id="731" w:name="_Toc115179955"/>
      <w:r>
        <w:rPr>
          <w:rFonts w:hint="eastAsia" w:ascii="宋体" w:hAnsi="宋体"/>
          <w:b/>
          <w:bCs/>
          <w:color w:val="auto"/>
          <w:kern w:val="0"/>
          <w:sz w:val="32"/>
          <w:szCs w:val="32"/>
          <w:highlight w:val="none"/>
        </w:rPr>
        <w:t>23.4发包人的索赔</w:t>
      </w:r>
      <w:bookmarkEnd w:id="731"/>
    </w:p>
    <w:p w14:paraId="46C72F5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23.4.1 发生索赔事件后，监理人应及时书面通知承包人，详细说明发包人有权得到的索赔金额和（或）延长缺陷责任期的细节和依据。发包人提出索赔的期限和要求与第23.3 款的约定相同，延长缺陷责任期的通知应在缺陷责任期届满前发出。</w:t>
      </w:r>
    </w:p>
    <w:p w14:paraId="07DC74F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23.4.2 监理人按第3.5 款商定或确定发包人从承包人处得到赔付的金额和（或）缺陷责任期的延长期。承包人应付给发包人的金额可从拟支付给承包人的合同价款中扣除，或由承包人以其他方式支付给发包人。</w:t>
      </w:r>
    </w:p>
    <w:p w14:paraId="6330007B">
      <w:pPr>
        <w:spacing w:line="400" w:lineRule="exact"/>
        <w:ind w:firstLine="42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3.4.3 承包人对监理人按第</w:t>
      </w:r>
      <w:r>
        <w:rPr>
          <w:rFonts w:ascii="宋体" w:hAnsi="宋体"/>
          <w:color w:val="auto"/>
          <w:highlight w:val="none"/>
        </w:rPr>
        <w:t>2</w:t>
      </w:r>
      <w:r>
        <w:rPr>
          <w:rFonts w:hint="eastAsia" w:ascii="宋体" w:hAnsi="宋体"/>
          <w:color w:val="auto"/>
          <w:highlight w:val="none"/>
        </w:rPr>
        <w:t>3.4.1项发出的索赔书面通知内容持异议时，应在收到书面通知后的14天内，将持有异议的书面报告及其证明材料提交监理人。监理人应在收到承包人书面报告后的14天内，将索赔处理意见通知承包人，并按第</w:t>
      </w:r>
      <w:r>
        <w:rPr>
          <w:rFonts w:ascii="宋体" w:hAnsi="宋体"/>
          <w:color w:val="auto"/>
          <w:highlight w:val="none"/>
        </w:rPr>
        <w:t>2</w:t>
      </w:r>
      <w:r>
        <w:rPr>
          <w:rFonts w:hint="eastAsia" w:ascii="宋体" w:hAnsi="宋体"/>
          <w:color w:val="auto"/>
          <w:highlight w:val="none"/>
        </w:rPr>
        <w:t>3.4.2项的约定执行赔付。若承包人不接受监理人的索赔处理意见，可按本合同第24条的规定办理。</w:t>
      </w:r>
      <w:bookmarkEnd w:id="728"/>
    </w:p>
    <w:p w14:paraId="10FDCD0D">
      <w:pPr>
        <w:spacing w:before="260" w:after="260" w:line="400" w:lineRule="exact"/>
        <w:outlineLvl w:val="1"/>
        <w:rPr>
          <w:rFonts w:ascii="宋体" w:hAnsi="宋体" w:eastAsia="黑体"/>
          <w:color w:val="auto"/>
          <w:kern w:val="44"/>
          <w:sz w:val="31"/>
          <w:szCs w:val="31"/>
          <w:highlight w:val="none"/>
        </w:rPr>
      </w:pPr>
      <w:bookmarkStart w:id="732" w:name="_Toc483383024"/>
      <w:bookmarkStart w:id="733" w:name="_Toc229305385"/>
      <w:bookmarkStart w:id="734" w:name="_Toc222029525"/>
      <w:bookmarkStart w:id="735" w:name="_Toc222031027"/>
      <w:bookmarkStart w:id="736" w:name="_Toc222032694"/>
      <w:bookmarkStart w:id="737" w:name="_Toc259524372"/>
      <w:bookmarkStart w:id="738" w:name="_Toc221951098"/>
      <w:bookmarkStart w:id="739" w:name="_Toc115179956"/>
      <w:bookmarkStart w:id="740" w:name="_Toc6131"/>
      <w:bookmarkStart w:id="741" w:name="_Toc222033876"/>
      <w:r>
        <w:rPr>
          <w:rFonts w:ascii="宋体" w:hAnsi="宋体" w:eastAsia="黑体"/>
          <w:color w:val="auto"/>
          <w:kern w:val="44"/>
          <w:sz w:val="31"/>
          <w:szCs w:val="31"/>
          <w:highlight w:val="none"/>
        </w:rPr>
        <w:t xml:space="preserve">24. </w:t>
      </w:r>
      <w:r>
        <w:rPr>
          <w:rFonts w:hint="eastAsia" w:ascii="宋体" w:hAnsi="宋体" w:eastAsia="黑体"/>
          <w:color w:val="auto"/>
          <w:kern w:val="44"/>
          <w:sz w:val="31"/>
          <w:szCs w:val="31"/>
          <w:highlight w:val="none"/>
        </w:rPr>
        <w:t>争议的解决</w:t>
      </w:r>
      <w:bookmarkEnd w:id="732"/>
      <w:bookmarkEnd w:id="733"/>
      <w:bookmarkEnd w:id="734"/>
      <w:bookmarkEnd w:id="735"/>
      <w:bookmarkEnd w:id="736"/>
      <w:bookmarkEnd w:id="737"/>
      <w:bookmarkEnd w:id="738"/>
      <w:bookmarkEnd w:id="739"/>
      <w:bookmarkEnd w:id="740"/>
      <w:bookmarkEnd w:id="741"/>
      <w:bookmarkStart w:id="742" w:name="_Toc221951107"/>
    </w:p>
    <w:bookmarkEnd w:id="742"/>
    <w:p w14:paraId="4AEB5DF5">
      <w:pPr>
        <w:keepNext/>
        <w:keepLines/>
        <w:spacing w:before="260" w:after="260" w:line="416" w:lineRule="auto"/>
        <w:outlineLvl w:val="2"/>
        <w:rPr>
          <w:rFonts w:ascii="宋体" w:hAnsi="宋体"/>
          <w:b/>
          <w:bCs/>
          <w:color w:val="auto"/>
          <w:kern w:val="0"/>
          <w:sz w:val="32"/>
          <w:szCs w:val="32"/>
          <w:highlight w:val="none"/>
        </w:rPr>
      </w:pPr>
      <w:bookmarkStart w:id="743" w:name="_Toc115179957"/>
      <w:r>
        <w:rPr>
          <w:rFonts w:hint="eastAsia" w:ascii="宋体" w:hAnsi="宋体"/>
          <w:b/>
          <w:bCs/>
          <w:color w:val="auto"/>
          <w:kern w:val="0"/>
          <w:sz w:val="32"/>
          <w:szCs w:val="32"/>
          <w:highlight w:val="none"/>
        </w:rPr>
        <w:t>24.1 争议的解决方式</w:t>
      </w:r>
      <w:bookmarkEnd w:id="743"/>
    </w:p>
    <w:p w14:paraId="12F4FE3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4AD3F7A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(l）向约定的仲裁委员会申请仲裁；</w:t>
      </w:r>
    </w:p>
    <w:p w14:paraId="0F71FCE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(2）向有管辖权的人民法院提起诉讼。</w:t>
      </w:r>
    </w:p>
    <w:p w14:paraId="50B8A246">
      <w:pPr>
        <w:keepNext/>
        <w:keepLines/>
        <w:spacing w:before="260" w:after="260" w:line="416" w:lineRule="auto"/>
        <w:outlineLvl w:val="2"/>
        <w:rPr>
          <w:rFonts w:ascii="宋体" w:hAnsi="宋体"/>
          <w:b/>
          <w:bCs/>
          <w:color w:val="auto"/>
          <w:kern w:val="0"/>
          <w:sz w:val="32"/>
          <w:szCs w:val="32"/>
          <w:highlight w:val="none"/>
        </w:rPr>
      </w:pPr>
      <w:bookmarkStart w:id="744" w:name="_Toc115179958"/>
      <w:r>
        <w:rPr>
          <w:rFonts w:hint="eastAsia" w:ascii="宋体" w:hAnsi="宋体"/>
          <w:b/>
          <w:bCs/>
          <w:color w:val="auto"/>
          <w:kern w:val="0"/>
          <w:sz w:val="32"/>
          <w:szCs w:val="32"/>
          <w:highlight w:val="none"/>
        </w:rPr>
        <w:t>24.2 友好解决</w:t>
      </w:r>
      <w:bookmarkEnd w:id="744"/>
    </w:p>
    <w:p w14:paraId="502AF3A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在提请争议评审、仲裁或者诉讼前，以及在争议评审、仲裁或诉讼过程中，发包人和承包人均可共同努力友好协商解决争议。</w:t>
      </w:r>
    </w:p>
    <w:p w14:paraId="0D1B1153">
      <w:pPr>
        <w:keepNext/>
        <w:keepLines/>
        <w:spacing w:before="260" w:after="260" w:line="416" w:lineRule="auto"/>
        <w:outlineLvl w:val="2"/>
        <w:rPr>
          <w:rFonts w:ascii="宋体" w:hAnsi="宋体"/>
          <w:b/>
          <w:bCs/>
          <w:color w:val="auto"/>
          <w:kern w:val="0"/>
          <w:sz w:val="32"/>
          <w:szCs w:val="32"/>
          <w:highlight w:val="none"/>
        </w:rPr>
      </w:pPr>
      <w:bookmarkStart w:id="745" w:name="_Toc115179959"/>
      <w:r>
        <w:rPr>
          <w:rFonts w:hint="eastAsia" w:ascii="宋体" w:hAnsi="宋体"/>
          <w:b/>
          <w:bCs/>
          <w:color w:val="auto"/>
          <w:kern w:val="0"/>
          <w:sz w:val="32"/>
          <w:szCs w:val="32"/>
          <w:highlight w:val="none"/>
        </w:rPr>
        <w:t>24.3 争议评审</w:t>
      </w:r>
      <w:bookmarkEnd w:id="745"/>
    </w:p>
    <w:p w14:paraId="4D09B74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24.3.1 采用争议评审的，发包人和承包人应在开工日后的28天内或在争议发生后，协商成立争议评审组。争议评审组由有合同管理和工程实践经验的专家组成。</w:t>
      </w:r>
    </w:p>
    <w:p w14:paraId="2A837C4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24.3.2 合同双方的争议，应首先由申请人向争议评审组提交一份详细的评审申请报告，并附必要的文件、图纸和证明材料，申请人还应将上述报告的副本同时提交给被申请人和监理人。</w:t>
      </w:r>
    </w:p>
    <w:p w14:paraId="2BA71EB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24.3.3 被申请人在收到申请人评审申请报告副本后的28 天内，向争议评审组提交一份答辩报告，并附证明材料。被申请人应将答辩报告的副本同时提交给申请人和监理人。</w:t>
      </w:r>
    </w:p>
    <w:p w14:paraId="4F0937A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24.3.4 除专用合同条款另有约定外，争议评审组在收到合同双方报告后的14天内，邀请双方代表和有关人员举行调查会，向双方调查争议细节；必要时争议评审组可要求双方进一步提供补充材料。</w:t>
      </w:r>
    </w:p>
    <w:p w14:paraId="0F294B1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54B211A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24.3.6 发包人和承包人接受评审意见的，由监理人根据评审意见拟定执行协议，经争议双方签字后作为合同的补充文件，并遵照执行。</w:t>
      </w:r>
    </w:p>
    <w:p w14:paraId="2B7E887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24.3.7 发包人或承包人不接受评审意见，并要求提交仲裁或提起诉讼的，应在收到评审意见后的14 天内将仲裁或起诉意向书面通知另一方，并抄送监理人，但在仲裁或诉讼结束前应暂按总监理工程师的确定执行。</w:t>
      </w:r>
    </w:p>
    <w:p w14:paraId="50186384">
      <w:pPr>
        <w:keepNext/>
        <w:keepLines/>
        <w:spacing w:before="260" w:after="260" w:line="416" w:lineRule="auto"/>
        <w:outlineLvl w:val="2"/>
        <w:rPr>
          <w:rFonts w:ascii="宋体" w:hAnsi="宋体"/>
          <w:b/>
          <w:bCs/>
          <w:color w:val="auto"/>
          <w:kern w:val="0"/>
          <w:sz w:val="32"/>
          <w:szCs w:val="32"/>
          <w:highlight w:val="none"/>
        </w:rPr>
      </w:pPr>
      <w:bookmarkStart w:id="746" w:name="_Toc115179960"/>
      <w:r>
        <w:rPr>
          <w:rFonts w:hint="eastAsia" w:ascii="宋体" w:hAnsi="宋体"/>
          <w:b/>
          <w:bCs/>
          <w:color w:val="auto"/>
          <w:kern w:val="0"/>
          <w:sz w:val="32"/>
          <w:szCs w:val="32"/>
          <w:highlight w:val="none"/>
        </w:rPr>
        <w:t>24.4 仲裁</w:t>
      </w:r>
      <w:bookmarkEnd w:id="746"/>
    </w:p>
    <w:p w14:paraId="7A837C6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24.4.1 若合同双方商定直接向仲裁机构申请仲裁，应签订仲裁协议并约定仲裁机构。</w:t>
      </w:r>
    </w:p>
    <w:p w14:paraId="5D45610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24.4.2 若合同双方未能达成仲裁协议，则本合同的仲裁条款无效，任一方均有权向人民法院提起诉讼。</w:t>
      </w:r>
    </w:p>
    <w:p w14:paraId="0B9EF19B">
      <w:pPr>
        <w:tabs>
          <w:tab w:val="center" w:pos="4153"/>
          <w:tab w:val="right" w:pos="8306"/>
        </w:tabs>
        <w:snapToGrid w:val="0"/>
        <w:jc w:val="left"/>
        <w:rPr>
          <w:rFonts w:ascii="Times New Roman" w:hAnsi="Times New Roman"/>
          <w:color w:val="auto"/>
          <w:kern w:val="0"/>
          <w:sz w:val="18"/>
          <w:szCs w:val="18"/>
          <w:highlight w:val="none"/>
        </w:rPr>
      </w:pPr>
      <w:r>
        <w:rPr>
          <w:rFonts w:ascii="Times New Roman" w:hAnsi="Times New Roman"/>
          <w:color w:val="auto"/>
          <w:kern w:val="0"/>
          <w:sz w:val="18"/>
          <w:szCs w:val="18"/>
          <w:highlight w:val="none"/>
        </w:rPr>
        <w:br w:type="page"/>
      </w:r>
    </w:p>
    <w:p w14:paraId="52B03F1B">
      <w:pPr>
        <w:spacing w:before="260" w:after="260" w:line="400" w:lineRule="exact"/>
        <w:jc w:val="center"/>
        <w:outlineLvl w:val="1"/>
        <w:rPr>
          <w:rFonts w:ascii="宋体" w:hAnsi="宋体" w:eastAsia="黑体" w:cs="宋体"/>
          <w:b/>
          <w:bCs/>
          <w:color w:val="auto"/>
          <w:kern w:val="44"/>
          <w:sz w:val="27"/>
          <w:szCs w:val="27"/>
          <w:highlight w:val="none"/>
        </w:rPr>
      </w:pPr>
      <w:bookmarkStart w:id="747" w:name="_Toc221948340"/>
      <w:bookmarkStart w:id="748" w:name="_Toc259524373"/>
      <w:bookmarkStart w:id="749" w:name="_Toc221951110"/>
      <w:bookmarkStart w:id="750" w:name="_Toc222029526"/>
      <w:bookmarkStart w:id="751" w:name="_Toc222033877"/>
      <w:bookmarkStart w:id="752" w:name="_Toc483383025"/>
      <w:bookmarkStart w:id="753" w:name="_Toc222032695"/>
      <w:bookmarkStart w:id="754" w:name="_Toc115179961"/>
      <w:bookmarkStart w:id="755" w:name="_Toc222031028"/>
      <w:bookmarkStart w:id="756" w:name="_Toc229305386"/>
      <w:r>
        <w:rPr>
          <w:rFonts w:hint="eastAsia" w:ascii="宋体" w:hAnsi="宋体" w:eastAsia="黑体" w:cs="宋体"/>
          <w:b/>
          <w:bCs/>
          <w:color w:val="auto"/>
          <w:kern w:val="44"/>
          <w:sz w:val="27"/>
          <w:szCs w:val="27"/>
          <w:highlight w:val="none"/>
        </w:rPr>
        <w:t>第二节 专用合同条款</w:t>
      </w:r>
      <w:bookmarkEnd w:id="747"/>
      <w:bookmarkEnd w:id="748"/>
      <w:bookmarkEnd w:id="749"/>
      <w:bookmarkEnd w:id="750"/>
      <w:bookmarkEnd w:id="751"/>
      <w:bookmarkEnd w:id="752"/>
      <w:bookmarkEnd w:id="753"/>
      <w:bookmarkEnd w:id="754"/>
      <w:bookmarkEnd w:id="755"/>
      <w:bookmarkEnd w:id="756"/>
    </w:p>
    <w:p w14:paraId="7F356FA0">
      <w:pPr>
        <w:spacing w:before="260" w:after="260" w:line="400" w:lineRule="exact"/>
        <w:outlineLvl w:val="1"/>
        <w:rPr>
          <w:rFonts w:ascii="宋体" w:hAnsi="宋体" w:eastAsia="黑体"/>
          <w:color w:val="auto"/>
          <w:kern w:val="44"/>
          <w:sz w:val="27"/>
          <w:szCs w:val="27"/>
          <w:highlight w:val="none"/>
        </w:rPr>
      </w:pPr>
      <w:bookmarkStart w:id="757" w:name="_Toc222033878"/>
      <w:bookmarkStart w:id="758" w:name="_Toc222032696"/>
      <w:bookmarkStart w:id="759" w:name="_Toc115179962"/>
      <w:bookmarkStart w:id="760" w:name="_Toc259524374"/>
      <w:bookmarkStart w:id="761" w:name="_Toc21184"/>
      <w:bookmarkStart w:id="762" w:name="_Toc483383026"/>
      <w:bookmarkStart w:id="763" w:name="_Toc222031029"/>
      <w:bookmarkStart w:id="764" w:name="_Toc222029527"/>
      <w:bookmarkStart w:id="765" w:name="_Toc221951111"/>
      <w:bookmarkStart w:id="766" w:name="_Toc229305387"/>
      <w:r>
        <w:rPr>
          <w:rFonts w:hint="eastAsia" w:ascii="宋体" w:hAnsi="宋体" w:eastAsia="黑体"/>
          <w:color w:val="auto"/>
          <w:kern w:val="44"/>
          <w:sz w:val="27"/>
          <w:szCs w:val="27"/>
          <w:highlight w:val="none"/>
        </w:rPr>
        <w:t>1．一般约定</w:t>
      </w:r>
      <w:bookmarkEnd w:id="757"/>
      <w:bookmarkEnd w:id="758"/>
      <w:bookmarkEnd w:id="759"/>
      <w:bookmarkEnd w:id="760"/>
      <w:bookmarkEnd w:id="761"/>
      <w:bookmarkEnd w:id="762"/>
      <w:bookmarkEnd w:id="763"/>
      <w:bookmarkEnd w:id="764"/>
      <w:bookmarkEnd w:id="765"/>
      <w:bookmarkEnd w:id="766"/>
    </w:p>
    <w:p w14:paraId="5BCF9E02">
      <w:pPr>
        <w:keepNext/>
        <w:keepLines/>
        <w:spacing w:before="260" w:after="260" w:line="416" w:lineRule="auto"/>
        <w:outlineLvl w:val="2"/>
        <w:rPr>
          <w:rFonts w:ascii="宋体" w:hAnsi="宋体"/>
          <w:b/>
          <w:bCs/>
          <w:color w:val="auto"/>
          <w:kern w:val="0"/>
          <w:sz w:val="32"/>
          <w:szCs w:val="32"/>
          <w:highlight w:val="none"/>
        </w:rPr>
      </w:pPr>
      <w:bookmarkStart w:id="767" w:name="_Toc221951112"/>
      <w:bookmarkStart w:id="768" w:name="_Toc115179963"/>
      <w:r>
        <w:rPr>
          <w:rFonts w:ascii="宋体" w:hAnsi="宋体"/>
          <w:b/>
          <w:bCs/>
          <w:color w:val="auto"/>
          <w:kern w:val="0"/>
          <w:sz w:val="32"/>
          <w:szCs w:val="32"/>
          <w:highlight w:val="none"/>
        </w:rPr>
        <w:t xml:space="preserve">1.1  </w:t>
      </w:r>
      <w:r>
        <w:rPr>
          <w:rFonts w:hint="eastAsia" w:ascii="宋体" w:hAnsi="宋体"/>
          <w:b/>
          <w:bCs/>
          <w:color w:val="auto"/>
          <w:kern w:val="0"/>
          <w:sz w:val="32"/>
          <w:szCs w:val="32"/>
          <w:highlight w:val="none"/>
        </w:rPr>
        <w:t>词语定义</w:t>
      </w:r>
      <w:bookmarkEnd w:id="767"/>
      <w:bookmarkEnd w:id="768"/>
    </w:p>
    <w:p w14:paraId="7C55304D">
      <w:pPr>
        <w:spacing w:line="400" w:lineRule="exact"/>
        <w:ind w:firstLine="420" w:firstLineChars="200"/>
        <w:rPr>
          <w:rFonts w:ascii="宋体" w:hAnsi="宋体"/>
          <w:color w:val="auto"/>
          <w:sz w:val="20"/>
          <w:szCs w:val="20"/>
          <w:highlight w:val="none"/>
        </w:rPr>
      </w:pPr>
      <w:bookmarkStart w:id="769" w:name="_Toc221951113"/>
      <w:r>
        <w:rPr>
          <w:rFonts w:hint="eastAsia" w:ascii="宋体" w:hAnsi="宋体"/>
          <w:color w:val="auto"/>
          <w:highlight w:val="none"/>
        </w:rPr>
        <w:t>1.1.2  合同当事人和人员</w:t>
      </w:r>
      <w:bookmarkEnd w:id="769"/>
    </w:p>
    <w:p w14:paraId="527C6930">
      <w:pPr>
        <w:spacing w:line="400" w:lineRule="exact"/>
        <w:rPr>
          <w:rFonts w:ascii="宋体" w:hAnsi="宋体"/>
          <w:color w:val="auto"/>
          <w:highlight w:val="none"/>
        </w:rPr>
      </w:pPr>
      <w:bookmarkStart w:id="770" w:name="_Toc221951114"/>
      <w:r>
        <w:rPr>
          <w:rFonts w:hint="eastAsia" w:ascii="宋体" w:hAnsi="宋体"/>
          <w:color w:val="auto"/>
          <w:highlight w:val="none"/>
        </w:rPr>
        <w:t xml:space="preserve">    1.1.2.2  发包人：</w:t>
      </w:r>
      <w:r>
        <w:rPr>
          <w:rFonts w:hint="eastAsia" w:ascii="宋体" w:hAnsi="宋体"/>
          <w:color w:val="auto"/>
          <w:highlight w:val="none"/>
          <w:u w:val="single"/>
        </w:rPr>
        <w:t xml:space="preserve">        (填入发包人的名称)          </w:t>
      </w:r>
      <w:r>
        <w:rPr>
          <w:rFonts w:hint="eastAsia" w:ascii="宋体" w:hAnsi="宋体"/>
          <w:color w:val="auto"/>
          <w:highlight w:val="none"/>
        </w:rPr>
        <w:t>。</w:t>
      </w:r>
    </w:p>
    <w:p w14:paraId="42214231">
      <w:pPr>
        <w:spacing w:line="400" w:lineRule="exact"/>
        <w:rPr>
          <w:rFonts w:ascii="宋体" w:hAnsi="宋体"/>
          <w:color w:val="auto"/>
          <w:highlight w:val="none"/>
        </w:rPr>
      </w:pPr>
      <w:r>
        <w:rPr>
          <w:rFonts w:hint="eastAsia" w:ascii="宋体" w:hAnsi="宋体"/>
          <w:color w:val="auto"/>
          <w:highlight w:val="none"/>
        </w:rPr>
        <w:t xml:space="preserve">    1.1.2.3  承包人：</w:t>
      </w:r>
      <w:r>
        <w:rPr>
          <w:rFonts w:hint="eastAsia" w:ascii="宋体" w:hAnsi="宋体"/>
          <w:color w:val="auto"/>
          <w:highlight w:val="none"/>
          <w:u w:val="single"/>
        </w:rPr>
        <w:t xml:space="preserve">        (签约后填入承包人的名称)    </w:t>
      </w:r>
      <w:r>
        <w:rPr>
          <w:rFonts w:hint="eastAsia" w:ascii="宋体" w:hAnsi="宋体"/>
          <w:color w:val="auto"/>
          <w:highlight w:val="none"/>
        </w:rPr>
        <w:t>。</w:t>
      </w:r>
    </w:p>
    <w:p w14:paraId="406D986F">
      <w:pPr>
        <w:spacing w:line="400" w:lineRule="exact"/>
        <w:rPr>
          <w:rFonts w:ascii="宋体" w:hAnsi="宋体"/>
          <w:color w:val="auto"/>
          <w:highlight w:val="none"/>
        </w:rPr>
      </w:pPr>
      <w:r>
        <w:rPr>
          <w:rFonts w:hint="eastAsia" w:ascii="宋体" w:hAnsi="宋体"/>
          <w:color w:val="auto"/>
          <w:highlight w:val="none"/>
        </w:rPr>
        <w:t xml:space="preserve">    1.1.2.5  分包人：</w:t>
      </w:r>
      <w:r>
        <w:rPr>
          <w:rFonts w:hint="eastAsia" w:ascii="宋体" w:hAnsi="宋体"/>
          <w:color w:val="auto"/>
          <w:highlight w:val="none"/>
          <w:u w:val="single"/>
        </w:rPr>
        <w:t xml:space="preserve">        /                           </w:t>
      </w:r>
      <w:r>
        <w:rPr>
          <w:rFonts w:hint="eastAsia" w:ascii="宋体" w:hAnsi="宋体"/>
          <w:color w:val="auto"/>
          <w:highlight w:val="none"/>
        </w:rPr>
        <w:t>。</w:t>
      </w:r>
    </w:p>
    <w:p w14:paraId="13ACAD49">
      <w:pPr>
        <w:spacing w:line="400" w:lineRule="exact"/>
        <w:ind w:firstLine="420" w:firstLineChars="200"/>
        <w:rPr>
          <w:rFonts w:ascii="宋体" w:hAnsi="宋体"/>
          <w:color w:val="auto"/>
          <w:highlight w:val="none"/>
        </w:rPr>
      </w:pPr>
      <w:r>
        <w:rPr>
          <w:rFonts w:hint="eastAsia" w:ascii="宋体" w:hAnsi="宋体"/>
          <w:color w:val="auto"/>
          <w:highlight w:val="none"/>
        </w:rPr>
        <w:t>1.1.2.6  监理人：</w:t>
      </w:r>
      <w:r>
        <w:rPr>
          <w:rFonts w:hint="eastAsia" w:ascii="宋体" w:hAnsi="宋体"/>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填入监理人名称</w:t>
      </w:r>
      <w:r>
        <w:rPr>
          <w:rFonts w:ascii="宋体" w:hAnsi="宋体"/>
          <w:color w:val="auto"/>
          <w:highlight w:val="none"/>
          <w:u w:val="single"/>
        </w:rPr>
        <w:t>)</w:t>
      </w:r>
      <w:r>
        <w:rPr>
          <w:rFonts w:hint="eastAsia" w:ascii="宋体" w:hAnsi="宋体"/>
          <w:color w:val="auto"/>
          <w:highlight w:val="none"/>
          <w:u w:val="single"/>
        </w:rPr>
        <w:t xml:space="preserve">       </w:t>
      </w:r>
      <w:r>
        <w:rPr>
          <w:rFonts w:hint="eastAsia" w:ascii="宋体" w:hAnsi="宋体"/>
          <w:color w:val="auto"/>
          <w:highlight w:val="none"/>
        </w:rPr>
        <w:t xml:space="preserve"> 。</w:t>
      </w:r>
    </w:p>
    <w:bookmarkEnd w:id="770"/>
    <w:p w14:paraId="034E0634">
      <w:pPr>
        <w:spacing w:line="400" w:lineRule="exact"/>
        <w:ind w:firstLine="420" w:firstLineChars="200"/>
        <w:rPr>
          <w:rFonts w:ascii="宋体" w:hAnsi="宋体"/>
          <w:color w:val="auto"/>
          <w:highlight w:val="none"/>
        </w:rPr>
      </w:pPr>
      <w:bookmarkStart w:id="771" w:name="_Toc221951125"/>
      <w:r>
        <w:rPr>
          <w:rFonts w:hint="eastAsia" w:ascii="宋体" w:hAnsi="宋体"/>
          <w:color w:val="auto"/>
          <w:highlight w:val="none"/>
        </w:rPr>
        <w:t>1.</w:t>
      </w:r>
      <w:r>
        <w:rPr>
          <w:rFonts w:ascii="宋体" w:hAnsi="宋体"/>
          <w:color w:val="auto"/>
          <w:highlight w:val="none"/>
        </w:rPr>
        <w:t>1</w:t>
      </w:r>
      <w:r>
        <w:rPr>
          <w:rFonts w:hint="eastAsia" w:ascii="宋体" w:hAnsi="宋体"/>
          <w:color w:val="auto"/>
          <w:highlight w:val="none"/>
        </w:rPr>
        <w:t>.</w:t>
      </w:r>
      <w:r>
        <w:rPr>
          <w:rFonts w:ascii="宋体" w:hAnsi="宋体"/>
          <w:color w:val="auto"/>
          <w:highlight w:val="none"/>
        </w:rPr>
        <w:t xml:space="preserve">4  </w:t>
      </w:r>
      <w:r>
        <w:rPr>
          <w:rFonts w:hint="eastAsia" w:ascii="宋体" w:hAnsi="宋体"/>
          <w:color w:val="auto"/>
          <w:highlight w:val="none"/>
        </w:rPr>
        <w:t>日期</w:t>
      </w:r>
      <w:bookmarkEnd w:id="771"/>
    </w:p>
    <w:p w14:paraId="5D6D6D0D">
      <w:pPr>
        <w:spacing w:line="400" w:lineRule="exact"/>
        <w:ind w:firstLine="420" w:firstLineChars="200"/>
        <w:rPr>
          <w:rFonts w:ascii="宋体" w:hAnsi="宋体"/>
          <w:color w:val="auto"/>
          <w:highlight w:val="none"/>
        </w:rPr>
      </w:pPr>
      <w:bookmarkStart w:id="772" w:name="_Toc221951126"/>
      <w:r>
        <w:rPr>
          <w:rFonts w:hint="eastAsia" w:ascii="宋体" w:hAnsi="宋体"/>
          <w:color w:val="auto"/>
          <w:highlight w:val="none"/>
        </w:rPr>
        <w:t>1.</w:t>
      </w:r>
      <w:r>
        <w:rPr>
          <w:rFonts w:ascii="宋体" w:hAnsi="宋体"/>
          <w:color w:val="auto"/>
          <w:highlight w:val="none"/>
        </w:rPr>
        <w:t>1</w:t>
      </w:r>
      <w:r>
        <w:rPr>
          <w:rFonts w:hint="eastAsia" w:ascii="宋体" w:hAnsi="宋体"/>
          <w:color w:val="auto"/>
          <w:highlight w:val="none"/>
        </w:rPr>
        <w:t>.</w:t>
      </w:r>
      <w:r>
        <w:rPr>
          <w:rFonts w:ascii="宋体" w:hAnsi="宋体"/>
          <w:color w:val="auto"/>
          <w:highlight w:val="none"/>
        </w:rPr>
        <w:t>4</w:t>
      </w:r>
      <w:r>
        <w:rPr>
          <w:rFonts w:hint="eastAsia" w:ascii="宋体" w:hAnsi="宋体"/>
          <w:color w:val="auto"/>
          <w:highlight w:val="none"/>
        </w:rPr>
        <w:t>.</w:t>
      </w:r>
      <w:r>
        <w:rPr>
          <w:rFonts w:ascii="宋体" w:hAnsi="宋体"/>
          <w:color w:val="auto"/>
          <w:highlight w:val="none"/>
        </w:rPr>
        <w:t>5</w:t>
      </w:r>
      <w:r>
        <w:rPr>
          <w:rFonts w:hint="eastAsia" w:ascii="宋体" w:hAnsi="宋体"/>
          <w:color w:val="auto"/>
          <w:highlight w:val="none"/>
        </w:rPr>
        <w:t xml:space="preserve">  缺陷责任期：从工程实际竣工之日算起，分单项竣工验收的工程，按单项工程分别计算质量保修期。双方根据国家有关规定，结合具体工程约定本工程的质量保修期如下：</w:t>
      </w:r>
    </w:p>
    <w:p w14:paraId="103A7768">
      <w:pPr>
        <w:spacing w:line="400" w:lineRule="exact"/>
        <w:ind w:firstLine="420" w:firstLineChars="200"/>
        <w:rPr>
          <w:rFonts w:ascii="宋体" w:hAnsi="宋体"/>
          <w:color w:val="auto"/>
          <w:highlight w:val="none"/>
        </w:rPr>
      </w:pPr>
      <w:r>
        <w:rPr>
          <w:rFonts w:hint="eastAsia" w:ascii="宋体" w:hAnsi="宋体"/>
          <w:color w:val="auto"/>
          <w:highlight w:val="none"/>
        </w:rPr>
        <w:t>1 、地基基础工程和主体结构工程为设计文件规定的该工程的合理使用年限；</w:t>
      </w:r>
    </w:p>
    <w:p w14:paraId="00B09602">
      <w:pPr>
        <w:spacing w:line="400" w:lineRule="exact"/>
        <w:ind w:firstLine="420" w:firstLineChars="200"/>
        <w:rPr>
          <w:rFonts w:ascii="宋体" w:hAnsi="宋体"/>
          <w:color w:val="auto"/>
          <w:highlight w:val="none"/>
        </w:rPr>
      </w:pPr>
      <w:r>
        <w:rPr>
          <w:rFonts w:hint="eastAsia" w:ascii="宋体" w:hAnsi="宋体"/>
          <w:color w:val="auto"/>
          <w:highlight w:val="none"/>
        </w:rPr>
        <w:t>2 、装修工程为 2 年；</w:t>
      </w:r>
    </w:p>
    <w:p w14:paraId="07651FBA">
      <w:pPr>
        <w:spacing w:line="400" w:lineRule="exact"/>
        <w:ind w:firstLine="420" w:firstLineChars="200"/>
        <w:rPr>
          <w:rFonts w:ascii="宋体" w:hAnsi="宋体"/>
          <w:color w:val="auto"/>
          <w:highlight w:val="none"/>
        </w:rPr>
      </w:pPr>
      <w:r>
        <w:rPr>
          <w:rFonts w:hint="eastAsia" w:ascii="宋体" w:hAnsi="宋体"/>
          <w:color w:val="auto"/>
          <w:highlight w:val="none"/>
        </w:rPr>
        <w:t>3 、电气管线、给排水管道、设备安装工程为 2 年；</w:t>
      </w:r>
    </w:p>
    <w:p w14:paraId="33AE88B0">
      <w:pPr>
        <w:spacing w:line="400" w:lineRule="exact"/>
        <w:ind w:firstLine="420" w:firstLineChars="200"/>
        <w:rPr>
          <w:rFonts w:ascii="宋体" w:hAnsi="宋体"/>
          <w:color w:val="auto"/>
          <w:highlight w:val="none"/>
        </w:rPr>
      </w:pPr>
      <w:r>
        <w:rPr>
          <w:rFonts w:hint="eastAsia" w:ascii="宋体" w:hAnsi="宋体"/>
          <w:color w:val="auto"/>
          <w:highlight w:val="none"/>
        </w:rPr>
        <w:t>4、给排水设施、道路等配套工程为 2 年；</w:t>
      </w:r>
    </w:p>
    <w:p w14:paraId="198CEC37">
      <w:pPr>
        <w:spacing w:line="400" w:lineRule="exact"/>
        <w:ind w:firstLine="420" w:firstLineChars="200"/>
        <w:rPr>
          <w:rFonts w:ascii="宋体" w:hAnsi="宋体"/>
          <w:color w:val="auto"/>
          <w:highlight w:val="none"/>
        </w:rPr>
      </w:pPr>
      <w:r>
        <w:rPr>
          <w:rFonts w:hint="eastAsia" w:ascii="宋体" w:hAnsi="宋体"/>
          <w:color w:val="auto"/>
          <w:highlight w:val="none"/>
        </w:rPr>
        <w:t>5、防水工程为5年；</w:t>
      </w:r>
    </w:p>
    <w:p w14:paraId="567E42FE">
      <w:pPr>
        <w:spacing w:line="400" w:lineRule="exact"/>
        <w:ind w:firstLine="420" w:firstLineChars="200"/>
        <w:rPr>
          <w:rFonts w:ascii="宋体" w:hAnsi="宋体"/>
          <w:color w:val="auto"/>
          <w:highlight w:val="none"/>
        </w:rPr>
      </w:pPr>
      <w:r>
        <w:rPr>
          <w:rFonts w:hint="eastAsia" w:ascii="宋体" w:hAnsi="宋体"/>
          <w:color w:val="auto"/>
          <w:highlight w:val="none"/>
        </w:rPr>
        <w:t>6 、其他保修期限约定如下：原则上按 2 年进行保修。</w:t>
      </w:r>
      <w:bookmarkEnd w:id="772"/>
    </w:p>
    <w:p w14:paraId="20611BF4">
      <w:pPr>
        <w:keepNext/>
        <w:keepLines/>
        <w:spacing w:before="260" w:after="260" w:line="416" w:lineRule="auto"/>
        <w:outlineLvl w:val="2"/>
        <w:rPr>
          <w:rFonts w:ascii="宋体" w:hAnsi="宋体"/>
          <w:b/>
          <w:bCs/>
          <w:color w:val="auto"/>
          <w:kern w:val="0"/>
          <w:sz w:val="32"/>
          <w:szCs w:val="32"/>
          <w:highlight w:val="none"/>
        </w:rPr>
      </w:pPr>
      <w:bookmarkStart w:id="773" w:name="_Toc221951127"/>
      <w:bookmarkStart w:id="774" w:name="_Toc115179964"/>
      <w:r>
        <w:rPr>
          <w:rFonts w:hint="eastAsia" w:ascii="宋体" w:hAnsi="宋体"/>
          <w:b/>
          <w:bCs/>
          <w:color w:val="auto"/>
          <w:kern w:val="0"/>
          <w:sz w:val="32"/>
          <w:szCs w:val="32"/>
          <w:highlight w:val="none"/>
        </w:rPr>
        <w:t>1.4  合同文件的优先顺序</w:t>
      </w:r>
      <w:bookmarkEnd w:id="773"/>
      <w:bookmarkEnd w:id="774"/>
      <w:bookmarkStart w:id="775" w:name="_Toc221951129"/>
    </w:p>
    <w:p w14:paraId="1E9CAA09">
      <w:pPr>
        <w:spacing w:line="400" w:lineRule="exact"/>
        <w:ind w:firstLine="420" w:firstLineChars="200"/>
        <w:rPr>
          <w:rFonts w:ascii="宋体" w:hAnsi="宋体"/>
          <w:color w:val="auto"/>
          <w:highlight w:val="none"/>
        </w:rPr>
      </w:pPr>
      <w:r>
        <w:rPr>
          <w:rFonts w:hint="eastAsia" w:ascii="宋体" w:hAnsi="宋体"/>
          <w:color w:val="auto"/>
          <w:highlight w:val="none"/>
        </w:rPr>
        <w:t>进入合同文件的各项文件及其优先顺序是：</w:t>
      </w:r>
    </w:p>
    <w:p w14:paraId="3E4FFB89">
      <w:pPr>
        <w:spacing w:line="400" w:lineRule="exact"/>
        <w:ind w:firstLine="420" w:firstLineChars="200"/>
        <w:rPr>
          <w:rFonts w:ascii="宋体" w:hAnsi="宋体"/>
          <w:color w:val="auto"/>
          <w:highlight w:val="none"/>
        </w:rPr>
      </w:pPr>
      <w:r>
        <w:rPr>
          <w:rFonts w:hint="eastAsia" w:ascii="宋体" w:hAnsi="宋体"/>
          <w:color w:val="auto"/>
          <w:highlight w:val="none"/>
        </w:rPr>
        <w:t>（1）合同协议书；</w:t>
      </w:r>
    </w:p>
    <w:p w14:paraId="1972F822">
      <w:pPr>
        <w:spacing w:line="400" w:lineRule="exact"/>
        <w:ind w:firstLine="420" w:firstLineChars="200"/>
        <w:rPr>
          <w:rFonts w:ascii="宋体" w:hAnsi="宋体"/>
          <w:color w:val="auto"/>
          <w:highlight w:val="none"/>
        </w:rPr>
      </w:pPr>
      <w:r>
        <w:rPr>
          <w:rFonts w:hint="eastAsia" w:ascii="宋体" w:hAnsi="宋体"/>
          <w:color w:val="auto"/>
          <w:highlight w:val="none"/>
        </w:rPr>
        <w:t>（2）中标通知书；</w:t>
      </w:r>
    </w:p>
    <w:p w14:paraId="2E0B6158">
      <w:pPr>
        <w:spacing w:line="400" w:lineRule="exact"/>
        <w:ind w:firstLine="420" w:firstLineChars="200"/>
        <w:rPr>
          <w:rFonts w:ascii="宋体" w:hAnsi="宋体"/>
          <w:color w:val="auto"/>
          <w:highlight w:val="none"/>
        </w:rPr>
      </w:pPr>
      <w:r>
        <w:rPr>
          <w:rFonts w:hint="eastAsia" w:ascii="宋体" w:hAnsi="宋体"/>
          <w:color w:val="auto"/>
          <w:highlight w:val="none"/>
        </w:rPr>
        <w:t>（3）投标函</w:t>
      </w:r>
    </w:p>
    <w:p w14:paraId="5362D181">
      <w:pPr>
        <w:spacing w:line="400" w:lineRule="exact"/>
        <w:ind w:firstLine="420" w:firstLineChars="200"/>
        <w:rPr>
          <w:rFonts w:ascii="宋体" w:hAnsi="宋体"/>
          <w:color w:val="auto"/>
          <w:highlight w:val="none"/>
        </w:rPr>
      </w:pPr>
      <w:r>
        <w:rPr>
          <w:rFonts w:hint="eastAsia" w:ascii="宋体" w:hAnsi="宋体"/>
          <w:color w:val="auto"/>
          <w:highlight w:val="none"/>
        </w:rPr>
        <w:t>（4）专用合同条款；</w:t>
      </w:r>
    </w:p>
    <w:p w14:paraId="7305C9D9">
      <w:pPr>
        <w:spacing w:line="400" w:lineRule="exact"/>
        <w:ind w:firstLine="420" w:firstLineChars="200"/>
        <w:rPr>
          <w:rFonts w:ascii="宋体" w:hAnsi="宋体"/>
          <w:color w:val="auto"/>
          <w:highlight w:val="none"/>
        </w:rPr>
      </w:pPr>
      <w:r>
        <w:rPr>
          <w:rFonts w:hint="eastAsia" w:ascii="宋体" w:hAnsi="宋体"/>
          <w:color w:val="auto"/>
          <w:highlight w:val="none"/>
        </w:rPr>
        <w:t>（5）通用合同条款；</w:t>
      </w:r>
    </w:p>
    <w:p w14:paraId="5B8C2094">
      <w:pPr>
        <w:spacing w:line="400" w:lineRule="exact"/>
        <w:ind w:firstLine="420" w:firstLineChars="200"/>
        <w:rPr>
          <w:rFonts w:ascii="宋体" w:hAnsi="宋体"/>
          <w:color w:val="auto"/>
          <w:highlight w:val="none"/>
        </w:rPr>
      </w:pPr>
      <w:r>
        <w:rPr>
          <w:rFonts w:hint="eastAsia" w:ascii="宋体" w:hAnsi="宋体"/>
          <w:color w:val="auto"/>
          <w:highlight w:val="none"/>
        </w:rPr>
        <w:t>（6）技术标准和要求；</w:t>
      </w:r>
    </w:p>
    <w:p w14:paraId="52D21431">
      <w:pPr>
        <w:spacing w:line="400" w:lineRule="exact"/>
        <w:ind w:firstLine="420" w:firstLineChars="200"/>
        <w:rPr>
          <w:rFonts w:ascii="宋体" w:hAnsi="宋体"/>
          <w:color w:val="auto"/>
          <w:highlight w:val="none"/>
        </w:rPr>
      </w:pPr>
      <w:r>
        <w:rPr>
          <w:rFonts w:hint="eastAsia" w:ascii="宋体" w:hAnsi="宋体"/>
          <w:color w:val="auto"/>
          <w:highlight w:val="none"/>
        </w:rPr>
        <w:t>（7）图纸；</w:t>
      </w:r>
    </w:p>
    <w:p w14:paraId="599597CE">
      <w:pPr>
        <w:spacing w:line="400" w:lineRule="exact"/>
        <w:ind w:firstLine="420" w:firstLineChars="200"/>
        <w:rPr>
          <w:rFonts w:ascii="宋体" w:hAnsi="宋体"/>
          <w:color w:val="auto"/>
          <w:highlight w:val="none"/>
        </w:rPr>
      </w:pPr>
      <w:r>
        <w:rPr>
          <w:rFonts w:hint="eastAsia" w:ascii="宋体" w:hAnsi="宋体"/>
          <w:color w:val="auto"/>
          <w:highlight w:val="none"/>
        </w:rPr>
        <w:t>（8）已标价工程量清单（控制价）；</w:t>
      </w:r>
    </w:p>
    <w:p w14:paraId="1D9AB213">
      <w:pPr>
        <w:spacing w:line="400" w:lineRule="exact"/>
        <w:ind w:firstLine="420" w:firstLineChars="200"/>
        <w:rPr>
          <w:rFonts w:ascii="宋体" w:hAnsi="宋体"/>
          <w:color w:val="auto"/>
          <w:highlight w:val="none"/>
        </w:rPr>
      </w:pPr>
      <w:r>
        <w:rPr>
          <w:rFonts w:hint="eastAsia" w:ascii="宋体" w:hAnsi="宋体"/>
          <w:color w:val="auto"/>
          <w:highlight w:val="none"/>
        </w:rPr>
        <w:t>（9）组成合同的其他文件。</w:t>
      </w:r>
    </w:p>
    <w:p w14:paraId="44732AAC">
      <w:pPr>
        <w:spacing w:line="400" w:lineRule="exact"/>
        <w:ind w:firstLine="420" w:firstLineChars="200"/>
        <w:rPr>
          <w:rFonts w:ascii="宋体" w:hAnsi="宋体"/>
          <w:color w:val="auto"/>
          <w:highlight w:val="none"/>
          <w:u w:val="single"/>
        </w:rPr>
      </w:pPr>
      <w:r>
        <w:rPr>
          <w:rFonts w:hint="eastAsia" w:ascii="宋体" w:hAnsi="宋体"/>
          <w:color w:val="auto"/>
          <w:highlight w:val="none"/>
        </w:rPr>
        <w:t>（10）其他：</w:t>
      </w:r>
      <w:r>
        <w:rPr>
          <w:rFonts w:ascii="宋体" w:hAnsi="宋体"/>
          <w:color w:val="auto"/>
          <w:highlight w:val="none"/>
        </w:rPr>
        <w:t>图纸与技术标准和要求之间有矛盾或者不一致的，以其中要求较严格的标准为准。</w:t>
      </w:r>
      <w:r>
        <w:rPr>
          <w:rFonts w:hint="eastAsia" w:ascii="宋体" w:hAnsi="宋体"/>
          <w:color w:val="auto"/>
          <w:highlight w:val="none"/>
        </w:rPr>
        <w:t>合同履行期间发包人与承包人双方签订的补充合同（协议）或修正文件</w:t>
      </w:r>
      <w:r>
        <w:rPr>
          <w:rFonts w:ascii="宋体" w:hAnsi="宋体"/>
          <w:color w:val="auto"/>
          <w:highlight w:val="none"/>
        </w:rPr>
        <w:t>亦构成合同文件的组成部分，其解释顺序视其内容与其他合同文件的相互关系而定。</w:t>
      </w:r>
    </w:p>
    <w:p w14:paraId="030962CA">
      <w:pPr>
        <w:keepNext/>
        <w:keepLines/>
        <w:spacing w:before="260" w:after="260" w:line="416" w:lineRule="auto"/>
        <w:outlineLvl w:val="2"/>
        <w:rPr>
          <w:rFonts w:ascii="宋体" w:hAnsi="宋体"/>
          <w:b/>
          <w:bCs/>
          <w:color w:val="auto"/>
          <w:kern w:val="0"/>
          <w:sz w:val="32"/>
          <w:szCs w:val="32"/>
          <w:highlight w:val="none"/>
        </w:rPr>
      </w:pPr>
      <w:bookmarkStart w:id="776" w:name="_Toc115179965"/>
      <w:r>
        <w:rPr>
          <w:rFonts w:hint="eastAsia" w:ascii="宋体" w:hAnsi="宋体"/>
          <w:b/>
          <w:bCs/>
          <w:color w:val="auto"/>
          <w:kern w:val="0"/>
          <w:sz w:val="32"/>
          <w:szCs w:val="32"/>
          <w:highlight w:val="none"/>
        </w:rPr>
        <w:t>1.7  联络</w:t>
      </w:r>
      <w:bookmarkEnd w:id="775"/>
      <w:bookmarkEnd w:id="776"/>
    </w:p>
    <w:p w14:paraId="6FC284CE">
      <w:pPr>
        <w:spacing w:line="400" w:lineRule="exact"/>
        <w:ind w:firstLine="420" w:firstLineChars="200"/>
        <w:rPr>
          <w:rFonts w:ascii="宋体" w:hAnsi="宋体"/>
          <w:color w:val="auto"/>
          <w:highlight w:val="none"/>
        </w:rPr>
      </w:pPr>
      <w:bookmarkStart w:id="777" w:name="_Toc221951130"/>
      <w:r>
        <w:rPr>
          <w:rFonts w:hint="eastAsia" w:ascii="宋体" w:hAnsi="宋体"/>
          <w:color w:val="auto"/>
          <w:highlight w:val="none"/>
        </w:rPr>
        <w:t>1.</w:t>
      </w:r>
      <w:r>
        <w:rPr>
          <w:rFonts w:ascii="宋体" w:hAnsi="宋体"/>
          <w:color w:val="auto"/>
          <w:highlight w:val="none"/>
        </w:rPr>
        <w:t>7</w:t>
      </w:r>
      <w:r>
        <w:rPr>
          <w:rFonts w:hint="eastAsia" w:ascii="宋体" w:hAnsi="宋体"/>
          <w:color w:val="auto"/>
          <w:highlight w:val="none"/>
        </w:rPr>
        <w:t>.</w:t>
      </w:r>
      <w:r>
        <w:rPr>
          <w:rFonts w:ascii="宋体" w:hAnsi="宋体"/>
          <w:color w:val="auto"/>
          <w:highlight w:val="none"/>
        </w:rPr>
        <w:t>2</w:t>
      </w:r>
      <w:r>
        <w:rPr>
          <w:rFonts w:hint="eastAsia" w:ascii="宋体" w:hAnsi="宋体"/>
          <w:color w:val="auto"/>
          <w:highlight w:val="none"/>
        </w:rPr>
        <w:t>来往函件均应按技术标准和要求（合同技术条款）约定的期限送达</w:t>
      </w:r>
      <w:r>
        <w:rPr>
          <w:rFonts w:hint="eastAsia" w:ascii="宋体" w:hAnsi="宋体"/>
          <w:color w:val="auto"/>
          <w:highlight w:val="none"/>
          <w:u w:val="single"/>
        </w:rPr>
        <w:t xml:space="preserve"> (填写文件送达地点)  </w:t>
      </w:r>
      <w:r>
        <w:rPr>
          <w:rFonts w:hint="eastAsia" w:ascii="宋体" w:hAnsi="宋体"/>
          <w:color w:val="auto"/>
          <w:highlight w:val="none"/>
        </w:rPr>
        <w:t>。</w:t>
      </w:r>
      <w:bookmarkEnd w:id="777"/>
    </w:p>
    <w:p w14:paraId="7BEE0DBF">
      <w:pPr>
        <w:spacing w:before="260" w:after="260" w:line="400" w:lineRule="exact"/>
        <w:outlineLvl w:val="1"/>
        <w:rPr>
          <w:rFonts w:ascii="宋体" w:hAnsi="宋体" w:eastAsia="黑体"/>
          <w:color w:val="auto"/>
          <w:kern w:val="44"/>
          <w:sz w:val="27"/>
          <w:szCs w:val="27"/>
          <w:highlight w:val="none"/>
        </w:rPr>
      </w:pPr>
      <w:bookmarkStart w:id="778" w:name="_Toc259524375"/>
      <w:bookmarkStart w:id="779" w:name="_Toc483383027"/>
      <w:bookmarkStart w:id="780" w:name="_Toc229305388"/>
      <w:bookmarkStart w:id="781" w:name="_Toc8477"/>
      <w:bookmarkStart w:id="782" w:name="_Toc115179966"/>
      <w:bookmarkStart w:id="783" w:name="_Toc222029528"/>
      <w:bookmarkStart w:id="784" w:name="_Toc222031030"/>
      <w:bookmarkStart w:id="785" w:name="_Toc222032697"/>
      <w:bookmarkStart w:id="786" w:name="_Toc221951131"/>
      <w:bookmarkStart w:id="787" w:name="_Toc222033879"/>
      <w:r>
        <w:rPr>
          <w:rFonts w:hint="eastAsia" w:ascii="宋体" w:hAnsi="宋体" w:eastAsia="黑体"/>
          <w:color w:val="auto"/>
          <w:kern w:val="44"/>
          <w:sz w:val="27"/>
          <w:szCs w:val="27"/>
          <w:highlight w:val="none"/>
        </w:rPr>
        <w:t>2  发包人义务</w:t>
      </w:r>
      <w:bookmarkEnd w:id="778"/>
      <w:bookmarkEnd w:id="779"/>
      <w:bookmarkEnd w:id="780"/>
      <w:bookmarkEnd w:id="781"/>
      <w:bookmarkEnd w:id="782"/>
      <w:bookmarkEnd w:id="783"/>
      <w:bookmarkEnd w:id="784"/>
      <w:bookmarkEnd w:id="785"/>
      <w:bookmarkEnd w:id="786"/>
      <w:bookmarkEnd w:id="787"/>
    </w:p>
    <w:p w14:paraId="46FCD660">
      <w:pPr>
        <w:keepNext/>
        <w:keepLines/>
        <w:spacing w:before="260" w:after="260" w:line="416" w:lineRule="auto"/>
        <w:outlineLvl w:val="2"/>
        <w:rPr>
          <w:rFonts w:ascii="宋体" w:hAnsi="宋体"/>
          <w:b/>
          <w:bCs/>
          <w:color w:val="auto"/>
          <w:kern w:val="0"/>
          <w:sz w:val="32"/>
          <w:szCs w:val="32"/>
          <w:highlight w:val="none"/>
        </w:rPr>
      </w:pPr>
      <w:bookmarkStart w:id="788" w:name="_Toc115179967"/>
      <w:bookmarkStart w:id="789" w:name="_Toc221951132"/>
      <w:r>
        <w:rPr>
          <w:rFonts w:hint="eastAsia" w:ascii="宋体" w:hAnsi="宋体"/>
          <w:b/>
          <w:bCs/>
          <w:color w:val="auto"/>
          <w:kern w:val="0"/>
          <w:sz w:val="32"/>
          <w:szCs w:val="32"/>
          <w:highlight w:val="none"/>
        </w:rPr>
        <w:t>2.3</w:t>
      </w:r>
      <w:r>
        <w:rPr>
          <w:rFonts w:ascii="宋体" w:hAnsi="宋体"/>
          <w:b/>
          <w:bCs/>
          <w:color w:val="auto"/>
          <w:kern w:val="0"/>
          <w:sz w:val="32"/>
          <w:szCs w:val="32"/>
          <w:highlight w:val="none"/>
        </w:rPr>
        <w:t xml:space="preserve">  </w:t>
      </w:r>
      <w:r>
        <w:rPr>
          <w:rFonts w:hint="eastAsia" w:ascii="宋体" w:hAnsi="宋体"/>
          <w:b/>
          <w:bCs/>
          <w:color w:val="auto"/>
          <w:kern w:val="0"/>
          <w:sz w:val="32"/>
          <w:szCs w:val="32"/>
          <w:highlight w:val="none"/>
        </w:rPr>
        <w:t>提供施工场地</w:t>
      </w:r>
      <w:bookmarkEnd w:id="788"/>
    </w:p>
    <w:p w14:paraId="0823021D">
      <w:pPr>
        <w:spacing w:line="400" w:lineRule="exact"/>
        <w:ind w:firstLine="420" w:firstLineChars="200"/>
        <w:rPr>
          <w:rFonts w:ascii="宋体" w:hAnsi="宋体"/>
          <w:color w:val="auto"/>
          <w:highlight w:val="none"/>
        </w:rPr>
      </w:pPr>
      <w:r>
        <w:rPr>
          <w:rFonts w:hint="eastAsia" w:ascii="宋体" w:hAnsi="宋体"/>
          <w:color w:val="auto"/>
          <w:highlight w:val="none"/>
        </w:rPr>
        <w:t>2.3.2发包人提供的施工场地范围为：在本招标文件图纸中明确，提供的用地期限至本标段工程完工验收后42天。施工场地应当在监理人发出的开工通知中载明的开工日期前7天基本具备施工条件，发包人最迟应当在合同预定的开工日期向承包人移交部分施工场地，并根据工程的进展情况，视情况分期移交剩余施工场地给承包人，以便承包人能按进度计划进行施工，承包人应据此调整施工进度计划,因推迟移交场地并经双方共同认定耽误施工时间的，应根据实际情况相应推迟完工日期；双方无法达成一致意见的，由发包人上级主管部门裁定。</w:t>
      </w:r>
    </w:p>
    <w:p w14:paraId="5DBF09C0">
      <w:pPr>
        <w:spacing w:line="400" w:lineRule="exact"/>
        <w:ind w:firstLine="420" w:firstLineChars="200"/>
        <w:rPr>
          <w:rFonts w:ascii="宋体" w:hAnsi="宋体"/>
          <w:color w:val="auto"/>
          <w:highlight w:val="none"/>
        </w:rPr>
      </w:pPr>
      <w:r>
        <w:rPr>
          <w:rFonts w:hint="eastAsia" w:ascii="宋体" w:hAnsi="宋体"/>
          <w:color w:val="auto"/>
          <w:highlight w:val="none"/>
        </w:rPr>
        <w:t>2.2.3承包人自行勘察的施工场地范围为：如果发包人提供的施工用地不能满足承包人施工需要，承包人应自行解决其他施工临时用地，必要时发包人可予以协助。</w:t>
      </w:r>
    </w:p>
    <w:p w14:paraId="0F4D36C8">
      <w:pPr>
        <w:keepNext/>
        <w:keepLines/>
        <w:spacing w:before="260" w:after="260" w:line="416" w:lineRule="auto"/>
        <w:outlineLvl w:val="2"/>
        <w:rPr>
          <w:rFonts w:ascii="宋体" w:hAnsi="宋体"/>
          <w:b/>
          <w:bCs/>
          <w:color w:val="auto"/>
          <w:kern w:val="0"/>
          <w:sz w:val="32"/>
          <w:szCs w:val="32"/>
          <w:highlight w:val="none"/>
        </w:rPr>
      </w:pPr>
      <w:bookmarkStart w:id="790" w:name="_Toc115179968"/>
      <w:r>
        <w:rPr>
          <w:rFonts w:hint="eastAsia" w:ascii="宋体" w:hAnsi="宋体"/>
          <w:b/>
          <w:bCs/>
          <w:color w:val="auto"/>
          <w:kern w:val="0"/>
          <w:sz w:val="32"/>
          <w:szCs w:val="32"/>
          <w:highlight w:val="none"/>
        </w:rPr>
        <w:t>2.8</w:t>
      </w:r>
      <w:r>
        <w:rPr>
          <w:rFonts w:ascii="宋体" w:hAnsi="宋体"/>
          <w:b/>
          <w:bCs/>
          <w:color w:val="auto"/>
          <w:kern w:val="0"/>
          <w:sz w:val="32"/>
          <w:szCs w:val="32"/>
          <w:highlight w:val="none"/>
        </w:rPr>
        <w:t xml:space="preserve">  </w:t>
      </w:r>
      <w:r>
        <w:rPr>
          <w:rFonts w:hint="eastAsia" w:ascii="宋体" w:hAnsi="宋体"/>
          <w:b/>
          <w:bCs/>
          <w:color w:val="auto"/>
          <w:kern w:val="0"/>
          <w:sz w:val="32"/>
          <w:szCs w:val="32"/>
          <w:highlight w:val="none"/>
        </w:rPr>
        <w:t>其它义务</w:t>
      </w:r>
      <w:bookmarkEnd w:id="790"/>
      <w:r>
        <w:rPr>
          <w:rFonts w:hint="eastAsia" w:ascii="宋体" w:hAnsi="宋体"/>
          <w:b/>
          <w:bCs/>
          <w:color w:val="auto"/>
          <w:kern w:val="0"/>
          <w:sz w:val="32"/>
          <w:szCs w:val="32"/>
          <w:highlight w:val="none"/>
        </w:rPr>
        <w:t xml:space="preserve"> </w:t>
      </w:r>
    </w:p>
    <w:p w14:paraId="41FA8117">
      <w:pPr>
        <w:spacing w:after="120" w:line="400" w:lineRule="exact"/>
        <w:ind w:left="420" w:leftChars="200" w:right="248"/>
        <w:rPr>
          <w:rFonts w:ascii="宋体" w:hAnsi="宋体"/>
          <w:color w:val="auto"/>
          <w:kern w:val="0"/>
          <w:sz w:val="20"/>
          <w:szCs w:val="21"/>
          <w:highlight w:val="none"/>
        </w:rPr>
      </w:pPr>
      <w:r>
        <w:rPr>
          <w:rFonts w:ascii="宋体" w:hAnsi="宋体"/>
          <w:color w:val="auto"/>
          <w:kern w:val="0"/>
          <w:sz w:val="20"/>
          <w:szCs w:val="20"/>
          <w:highlight w:val="none"/>
        </w:rPr>
        <w:t xml:space="preserve"> </w:t>
      </w:r>
      <w:r>
        <w:rPr>
          <w:rFonts w:ascii="宋体" w:hAnsi="宋体"/>
          <w:color w:val="auto"/>
          <w:kern w:val="0"/>
          <w:sz w:val="20"/>
          <w:szCs w:val="21"/>
          <w:highlight w:val="none"/>
        </w:rPr>
        <w:t>(</w:t>
      </w:r>
      <w:r>
        <w:rPr>
          <w:rFonts w:hint="eastAsia" w:ascii="宋体" w:hAnsi="宋体"/>
          <w:color w:val="auto"/>
          <w:kern w:val="0"/>
          <w:sz w:val="20"/>
          <w:szCs w:val="21"/>
          <w:highlight w:val="none"/>
        </w:rPr>
        <w:t>根据发包人的合同管理要求补充</w:t>
      </w:r>
      <w:r>
        <w:rPr>
          <w:rFonts w:ascii="宋体" w:hAnsi="宋体"/>
          <w:color w:val="auto"/>
          <w:kern w:val="0"/>
          <w:sz w:val="20"/>
          <w:szCs w:val="21"/>
          <w:highlight w:val="none"/>
        </w:rPr>
        <w:t>)</w:t>
      </w:r>
    </w:p>
    <w:p w14:paraId="56791BC6">
      <w:pPr>
        <w:spacing w:line="400" w:lineRule="exact"/>
        <w:ind w:firstLine="420" w:firstLineChars="200"/>
        <w:rPr>
          <w:rFonts w:ascii="宋体" w:hAnsi="宋体"/>
          <w:color w:val="auto"/>
          <w:highlight w:val="none"/>
        </w:rPr>
      </w:pPr>
      <w:r>
        <w:rPr>
          <w:rFonts w:hint="eastAsia" w:ascii="宋体" w:hAnsi="宋体"/>
          <w:color w:val="auto"/>
          <w:highlight w:val="none"/>
        </w:rPr>
        <w:t>(1) 将施工所需的水、电线路接至施工场地的时间、地点和供应要求：施工临时用水、用电由施工单位自行解决。</w:t>
      </w:r>
    </w:p>
    <w:p w14:paraId="10649F3A">
      <w:pPr>
        <w:spacing w:line="400" w:lineRule="exact"/>
        <w:ind w:firstLine="420" w:firstLineChars="200"/>
        <w:rPr>
          <w:rFonts w:ascii="宋体" w:hAnsi="宋体"/>
          <w:color w:val="auto"/>
          <w:highlight w:val="none"/>
        </w:rPr>
      </w:pPr>
      <w:r>
        <w:rPr>
          <w:rFonts w:hint="eastAsia" w:ascii="宋体" w:hAnsi="宋体"/>
          <w:color w:val="auto"/>
          <w:highlight w:val="none"/>
        </w:rPr>
        <w:t>(2) 有权根据工程实际需要增加或减少部分工程，并保留对工程量报价清单中暂定材料价格的主要材料进行依法招标的权利，承包人不得拒绝或要求调整任何单价及收费，招标文件另有规定的除外。</w:t>
      </w:r>
    </w:p>
    <w:p w14:paraId="35FE8D55">
      <w:pPr>
        <w:spacing w:before="260" w:after="260" w:line="400" w:lineRule="exact"/>
        <w:outlineLvl w:val="1"/>
        <w:rPr>
          <w:rFonts w:ascii="宋体" w:hAnsi="宋体" w:eastAsia="黑体"/>
          <w:color w:val="auto"/>
          <w:kern w:val="44"/>
          <w:sz w:val="27"/>
          <w:szCs w:val="27"/>
          <w:highlight w:val="none"/>
        </w:rPr>
      </w:pPr>
      <w:bookmarkStart w:id="791" w:name="_Toc115179969"/>
      <w:bookmarkStart w:id="792" w:name="_Toc27724"/>
      <w:bookmarkStart w:id="793" w:name="_Toc18696"/>
      <w:bookmarkStart w:id="794" w:name="_Toc483383028"/>
      <w:r>
        <w:rPr>
          <w:rFonts w:hint="eastAsia" w:ascii="宋体" w:hAnsi="宋体" w:eastAsia="黑体"/>
          <w:color w:val="auto"/>
          <w:kern w:val="44"/>
          <w:sz w:val="27"/>
          <w:szCs w:val="27"/>
          <w:highlight w:val="none"/>
        </w:rPr>
        <w:t>3  监理人</w:t>
      </w:r>
      <w:bookmarkEnd w:id="791"/>
      <w:bookmarkEnd w:id="792"/>
      <w:bookmarkEnd w:id="793"/>
      <w:bookmarkEnd w:id="794"/>
    </w:p>
    <w:p w14:paraId="20398C81">
      <w:pPr>
        <w:keepNext/>
        <w:keepLines/>
        <w:spacing w:before="260" w:after="260" w:line="416" w:lineRule="auto"/>
        <w:outlineLvl w:val="2"/>
        <w:rPr>
          <w:rFonts w:ascii="宋体" w:hAnsi="宋体"/>
          <w:b/>
          <w:bCs/>
          <w:color w:val="auto"/>
          <w:kern w:val="0"/>
          <w:sz w:val="32"/>
          <w:szCs w:val="32"/>
          <w:highlight w:val="none"/>
        </w:rPr>
      </w:pPr>
      <w:bookmarkStart w:id="795" w:name="_Toc115179970"/>
      <w:r>
        <w:rPr>
          <w:rFonts w:hint="eastAsia" w:ascii="宋体" w:hAnsi="宋体"/>
          <w:b/>
          <w:bCs/>
          <w:color w:val="auto"/>
          <w:kern w:val="0"/>
          <w:sz w:val="32"/>
          <w:szCs w:val="32"/>
          <w:highlight w:val="none"/>
        </w:rPr>
        <w:t>3.1  监理人的职责和权力</w:t>
      </w:r>
      <w:bookmarkEnd w:id="795"/>
    </w:p>
    <w:p w14:paraId="022F57EC">
      <w:pPr>
        <w:spacing w:line="400" w:lineRule="exact"/>
        <w:ind w:right="248" w:firstLine="480"/>
        <w:rPr>
          <w:rFonts w:ascii="宋体" w:hAnsi="宋体"/>
          <w:color w:val="auto"/>
          <w:sz w:val="20"/>
          <w:szCs w:val="20"/>
          <w:highlight w:val="none"/>
        </w:rPr>
      </w:pPr>
      <w:r>
        <w:rPr>
          <w:rFonts w:hint="eastAsia" w:ascii="宋体" w:hAnsi="宋体"/>
          <w:color w:val="auto"/>
          <w:highlight w:val="none"/>
        </w:rPr>
        <w:t>3.1.1监理人须根据发包人事先批准的权力范围行使权力，发包人批准的权力范围（监理人须经发包人批准才能行使的权力）：</w:t>
      </w:r>
    </w:p>
    <w:p w14:paraId="4158E6CE">
      <w:pPr>
        <w:spacing w:line="400" w:lineRule="exact"/>
        <w:ind w:right="248" w:firstLine="480"/>
        <w:rPr>
          <w:rFonts w:ascii="宋体" w:hAnsi="宋体"/>
          <w:color w:val="auto"/>
          <w:szCs w:val="21"/>
          <w:highlight w:val="none"/>
        </w:rPr>
      </w:pPr>
      <w:r>
        <w:rPr>
          <w:rFonts w:hint="eastAsia" w:ascii="宋体" w:hAnsi="宋体"/>
          <w:color w:val="auto"/>
          <w:szCs w:val="21"/>
          <w:highlight w:val="none"/>
        </w:rPr>
        <w:t>(l）按第4.3款约定，批准工程的分包；</w:t>
      </w:r>
    </w:p>
    <w:p w14:paraId="32463C7B">
      <w:pPr>
        <w:spacing w:line="400" w:lineRule="exact"/>
        <w:ind w:right="248" w:firstLine="480"/>
        <w:rPr>
          <w:rFonts w:ascii="宋体" w:hAnsi="宋体"/>
          <w:color w:val="auto"/>
          <w:szCs w:val="21"/>
          <w:highlight w:val="none"/>
        </w:rPr>
      </w:pPr>
      <w:r>
        <w:rPr>
          <w:rFonts w:hint="eastAsia" w:ascii="宋体" w:hAnsi="宋体"/>
          <w:color w:val="auto"/>
          <w:szCs w:val="21"/>
          <w:highlight w:val="none"/>
        </w:rPr>
        <w:t>(2）按第11.3款约定，确定延长完工期限；</w:t>
      </w:r>
    </w:p>
    <w:p w14:paraId="0D7C5D36">
      <w:pPr>
        <w:spacing w:line="400" w:lineRule="exact"/>
        <w:ind w:right="248" w:firstLine="480"/>
        <w:rPr>
          <w:rFonts w:ascii="宋体" w:hAnsi="宋体"/>
          <w:color w:val="auto"/>
          <w:szCs w:val="21"/>
          <w:highlight w:val="none"/>
        </w:rPr>
      </w:pPr>
      <w:r>
        <w:rPr>
          <w:rFonts w:hint="eastAsia" w:ascii="宋体" w:hAnsi="宋体"/>
          <w:color w:val="auto"/>
          <w:szCs w:val="21"/>
          <w:highlight w:val="none"/>
        </w:rPr>
        <w:t xml:space="preserve">(3）按第15.1款约定，指示进行工程变更； </w:t>
      </w:r>
    </w:p>
    <w:p w14:paraId="06CF5531">
      <w:pPr>
        <w:spacing w:line="400" w:lineRule="exact"/>
        <w:ind w:right="248" w:firstLine="480"/>
        <w:rPr>
          <w:rFonts w:ascii="宋体" w:hAnsi="宋体"/>
          <w:color w:val="auto"/>
          <w:szCs w:val="21"/>
          <w:highlight w:val="none"/>
        </w:rPr>
      </w:pPr>
      <w:r>
        <w:rPr>
          <w:rFonts w:hint="eastAsia" w:ascii="宋体" w:hAnsi="宋体"/>
          <w:color w:val="auto"/>
          <w:szCs w:val="21"/>
          <w:highlight w:val="none"/>
        </w:rPr>
        <w:t>(4）按第15.6款约定，批准暂列金额的使用。</w:t>
      </w:r>
    </w:p>
    <w:p w14:paraId="1ECB54B6">
      <w:pPr>
        <w:spacing w:line="400" w:lineRule="exact"/>
        <w:ind w:right="248" w:firstLine="480"/>
        <w:rPr>
          <w:rFonts w:ascii="宋体" w:hAnsi="宋体"/>
          <w:color w:val="auto"/>
          <w:szCs w:val="21"/>
          <w:highlight w:val="none"/>
        </w:rPr>
      </w:pPr>
      <w:r>
        <w:rPr>
          <w:rFonts w:hint="eastAsia" w:ascii="宋体" w:hAnsi="宋体"/>
          <w:color w:val="auto"/>
          <w:szCs w:val="21"/>
          <w:highlight w:val="none"/>
        </w:rPr>
        <w:t>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14:paraId="6B2A7F42">
      <w:pPr>
        <w:spacing w:before="260" w:after="260" w:line="400" w:lineRule="exact"/>
        <w:outlineLvl w:val="1"/>
        <w:rPr>
          <w:rFonts w:ascii="宋体" w:hAnsi="宋体" w:eastAsia="黑体"/>
          <w:color w:val="auto"/>
          <w:kern w:val="44"/>
          <w:sz w:val="27"/>
          <w:szCs w:val="27"/>
          <w:highlight w:val="none"/>
        </w:rPr>
      </w:pPr>
      <w:bookmarkStart w:id="796" w:name="_Toc483383029"/>
      <w:bookmarkStart w:id="797" w:name="_Toc8025"/>
      <w:bookmarkStart w:id="798" w:name="_Toc115179971"/>
      <w:bookmarkStart w:id="799" w:name="_Toc12878"/>
      <w:r>
        <w:rPr>
          <w:rFonts w:hint="eastAsia" w:ascii="宋体" w:hAnsi="宋体" w:eastAsia="黑体"/>
          <w:color w:val="auto"/>
          <w:kern w:val="44"/>
          <w:sz w:val="27"/>
          <w:szCs w:val="27"/>
          <w:highlight w:val="none"/>
        </w:rPr>
        <w:t>4  承包人</w:t>
      </w:r>
      <w:bookmarkEnd w:id="796"/>
      <w:bookmarkEnd w:id="797"/>
      <w:bookmarkEnd w:id="798"/>
      <w:bookmarkEnd w:id="799"/>
    </w:p>
    <w:p w14:paraId="00F4A462">
      <w:pPr>
        <w:keepNext/>
        <w:keepLines/>
        <w:spacing w:before="260" w:after="260" w:line="416" w:lineRule="auto"/>
        <w:outlineLvl w:val="2"/>
        <w:rPr>
          <w:rFonts w:ascii="宋体" w:hAnsi="宋体"/>
          <w:b/>
          <w:bCs/>
          <w:color w:val="auto"/>
          <w:kern w:val="0"/>
          <w:sz w:val="32"/>
          <w:szCs w:val="32"/>
          <w:highlight w:val="none"/>
        </w:rPr>
      </w:pPr>
      <w:bookmarkStart w:id="800" w:name="_Toc115179972"/>
      <w:r>
        <w:rPr>
          <w:rFonts w:hint="eastAsia" w:ascii="宋体" w:hAnsi="宋体"/>
          <w:b/>
          <w:bCs/>
          <w:color w:val="auto"/>
          <w:kern w:val="0"/>
          <w:sz w:val="32"/>
          <w:szCs w:val="32"/>
          <w:highlight w:val="none"/>
        </w:rPr>
        <w:t>4.1</w:t>
      </w:r>
      <w:r>
        <w:rPr>
          <w:rFonts w:ascii="宋体" w:hAnsi="宋体"/>
          <w:b/>
          <w:bCs/>
          <w:color w:val="auto"/>
          <w:kern w:val="0"/>
          <w:sz w:val="32"/>
          <w:szCs w:val="32"/>
          <w:highlight w:val="none"/>
        </w:rPr>
        <w:t xml:space="preserve">  </w:t>
      </w:r>
      <w:r>
        <w:rPr>
          <w:rFonts w:hint="eastAsia" w:ascii="宋体" w:hAnsi="宋体"/>
          <w:b/>
          <w:bCs/>
          <w:color w:val="auto"/>
          <w:kern w:val="0"/>
          <w:sz w:val="32"/>
          <w:szCs w:val="32"/>
          <w:highlight w:val="none"/>
        </w:rPr>
        <w:t>承包人的一般义务</w:t>
      </w:r>
      <w:bookmarkEnd w:id="800"/>
    </w:p>
    <w:p w14:paraId="70E9331C">
      <w:pPr>
        <w:spacing w:line="400" w:lineRule="exact"/>
        <w:ind w:right="248" w:firstLine="48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10</w:t>
      </w:r>
      <w:r>
        <w:rPr>
          <w:rFonts w:hint="eastAsia" w:ascii="宋体" w:hAnsi="宋体"/>
          <w:color w:val="auto"/>
          <w:szCs w:val="21"/>
          <w:highlight w:val="none"/>
        </w:rPr>
        <w:t xml:space="preserve">  其他义务</w:t>
      </w:r>
    </w:p>
    <w:p w14:paraId="1B8AA7AD">
      <w:pPr>
        <w:snapToGrid w:val="0"/>
        <w:spacing w:line="360" w:lineRule="auto"/>
        <w:ind w:firstLine="420" w:firstLineChars="200"/>
        <w:rPr>
          <w:rFonts w:ascii="宋体" w:hAnsi="宋体" w:cs="宋体"/>
          <w:color w:val="auto"/>
          <w:highlight w:val="none"/>
        </w:rPr>
      </w:pPr>
      <w:r>
        <w:rPr>
          <w:rFonts w:ascii="宋体" w:hAnsi="宋体" w:cs="宋体"/>
          <w:color w:val="auto"/>
          <w:highlight w:val="none"/>
        </w:rPr>
        <w:t>4</w:t>
      </w: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10</w:t>
      </w: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 xml:space="preserve">  施工清障：施工期间，承包人应进行施工用地范围内的施工清障。所需的一切费用由投标人在报价中考虑，发包人不为此支付任何费用。</w:t>
      </w:r>
    </w:p>
    <w:p w14:paraId="3403AA75">
      <w:pPr>
        <w:snapToGrid w:val="0"/>
        <w:spacing w:line="360" w:lineRule="auto"/>
        <w:ind w:firstLine="420" w:firstLineChars="200"/>
        <w:rPr>
          <w:rFonts w:ascii="宋体" w:hAnsi="宋体" w:cs="宋体"/>
          <w:color w:val="auto"/>
          <w:highlight w:val="none"/>
        </w:rPr>
      </w:pPr>
      <w:r>
        <w:rPr>
          <w:rFonts w:ascii="宋体" w:hAnsi="宋体" w:cs="宋体"/>
          <w:color w:val="auto"/>
          <w:highlight w:val="none"/>
        </w:rPr>
        <w:t>4</w:t>
      </w: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10</w:t>
      </w:r>
      <w:r>
        <w:rPr>
          <w:rFonts w:hint="eastAsia" w:ascii="宋体" w:hAnsi="宋体" w:cs="宋体"/>
          <w:color w:val="auto"/>
          <w:highlight w:val="none"/>
        </w:rPr>
        <w:t>.2  临时征地复原：承包人施工完毕后，应按要求使施工中使用过的道路及临时道路恢复原貌，所需的一切费用由投标人在报价中考虑，发包人不为此支付任何费用。</w:t>
      </w:r>
    </w:p>
    <w:p w14:paraId="7399547C">
      <w:pPr>
        <w:snapToGrid w:val="0"/>
        <w:spacing w:line="360" w:lineRule="auto"/>
        <w:ind w:firstLine="420" w:firstLineChars="200"/>
        <w:rPr>
          <w:rFonts w:ascii="宋体" w:hAnsi="宋体" w:cs="宋体"/>
          <w:color w:val="auto"/>
          <w:highlight w:val="none"/>
        </w:rPr>
      </w:pPr>
      <w:r>
        <w:rPr>
          <w:rFonts w:ascii="宋体" w:hAnsi="宋体" w:cs="宋体"/>
          <w:color w:val="auto"/>
          <w:highlight w:val="none"/>
        </w:rPr>
        <w:t>4</w:t>
      </w: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10</w:t>
      </w:r>
      <w:r>
        <w:rPr>
          <w:rFonts w:hint="eastAsia" w:ascii="宋体" w:hAnsi="宋体" w:cs="宋体"/>
          <w:color w:val="auto"/>
          <w:highlight w:val="none"/>
        </w:rPr>
        <w:t>.3  办理证件：承包人应按当地政府要求办理有关证件，并承担办理证件的有关费用。</w:t>
      </w:r>
    </w:p>
    <w:p w14:paraId="5212242A">
      <w:pPr>
        <w:snapToGrid w:val="0"/>
        <w:spacing w:line="360" w:lineRule="auto"/>
        <w:ind w:firstLine="420" w:firstLineChars="200"/>
        <w:rPr>
          <w:rFonts w:ascii="宋体" w:hAnsi="宋体" w:cs="宋体"/>
          <w:color w:val="auto"/>
          <w:highlight w:val="none"/>
        </w:rPr>
      </w:pPr>
      <w:r>
        <w:rPr>
          <w:rFonts w:ascii="宋体" w:hAnsi="宋体" w:cs="宋体"/>
          <w:color w:val="auto"/>
          <w:highlight w:val="none"/>
        </w:rPr>
        <w:t>4</w:t>
      </w: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10</w:t>
      </w:r>
      <w:r>
        <w:rPr>
          <w:rFonts w:hint="eastAsia" w:ascii="宋体" w:hAnsi="宋体" w:cs="宋体"/>
          <w:color w:val="auto"/>
          <w:highlight w:val="none"/>
        </w:rPr>
        <w:t>.3  承包人应处理好同工程所在地村社居民关系，发包人必要时予以协助。</w:t>
      </w:r>
    </w:p>
    <w:p w14:paraId="488A62B7">
      <w:pPr>
        <w:snapToGrid w:val="0"/>
        <w:spacing w:line="360" w:lineRule="auto"/>
        <w:rPr>
          <w:rFonts w:ascii="宋体" w:hAnsi="宋体" w:cs="宋体"/>
          <w:color w:val="auto"/>
          <w:highlight w:val="none"/>
        </w:rPr>
      </w:pPr>
      <w:r>
        <w:rPr>
          <w:rFonts w:hint="eastAsia" w:ascii="宋体" w:hAnsi="宋体" w:cs="宋体"/>
          <w:color w:val="auto"/>
          <w:highlight w:val="none"/>
        </w:rPr>
        <w:t xml:space="preserve">    4.</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10</w:t>
      </w:r>
      <w:r>
        <w:rPr>
          <w:rFonts w:hint="eastAsia" w:ascii="宋体" w:hAnsi="宋体" w:cs="宋体"/>
          <w:color w:val="auto"/>
          <w:highlight w:val="none"/>
        </w:rPr>
        <w:t>.4  承包人在</w:t>
      </w:r>
      <w:r>
        <w:rPr>
          <w:rFonts w:hint="eastAsia" w:ascii="宋体" w:hAnsi="宋体" w:cs="宋体"/>
          <w:color w:val="auto"/>
          <w:highlight w:val="none"/>
          <w:u w:val="single"/>
        </w:rPr>
        <w:t xml:space="preserve">  建设（监理）发出进场通知后5天内将  </w:t>
      </w:r>
      <w:r>
        <w:rPr>
          <w:rFonts w:hint="eastAsia" w:ascii="宋体" w:hAnsi="宋体" w:cs="宋体"/>
          <w:color w:val="auto"/>
          <w:highlight w:val="none"/>
        </w:rPr>
        <w:t>施工组织设计报送监理人审批。</w:t>
      </w:r>
    </w:p>
    <w:p w14:paraId="28BA5339">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承包人提交的施工组织设计应当载明如下内容（包括但不限于）：</w:t>
      </w:r>
    </w:p>
    <w:p w14:paraId="1ABFFD87">
      <w:pPr>
        <w:numPr>
          <w:ilvl w:val="0"/>
          <w:numId w:val="22"/>
        </w:numPr>
        <w:spacing w:before="100" w:beforeAutospacing="1" w:after="100" w:afterAutospacing="1" w:line="360" w:lineRule="atLeast"/>
        <w:ind w:left="840"/>
        <w:rPr>
          <w:rFonts w:ascii="宋体" w:hAnsi="宋体" w:cs="宋体"/>
          <w:color w:val="auto"/>
          <w:highlight w:val="none"/>
        </w:rPr>
      </w:pPr>
      <w:r>
        <w:rPr>
          <w:rFonts w:hint="eastAsia" w:ascii="宋体" w:hAnsi="宋体" w:cs="宋体"/>
          <w:color w:val="auto"/>
          <w:highlight w:val="none"/>
        </w:rPr>
        <w:t>各分部分项工程的完整的施工方案；</w:t>
      </w:r>
    </w:p>
    <w:p w14:paraId="47AA3039">
      <w:pPr>
        <w:numPr>
          <w:ilvl w:val="0"/>
          <w:numId w:val="22"/>
        </w:numPr>
        <w:spacing w:before="100" w:beforeAutospacing="1" w:after="100" w:afterAutospacing="1" w:line="360" w:lineRule="atLeast"/>
        <w:ind w:left="840"/>
        <w:rPr>
          <w:rFonts w:ascii="宋体" w:hAnsi="宋体" w:cs="宋体"/>
          <w:color w:val="auto"/>
          <w:highlight w:val="none"/>
        </w:rPr>
      </w:pPr>
      <w:r>
        <w:rPr>
          <w:rFonts w:hint="eastAsia" w:ascii="宋体" w:hAnsi="宋体" w:cs="宋体"/>
          <w:color w:val="auto"/>
          <w:highlight w:val="none"/>
        </w:rPr>
        <w:t>施工资源投入计划，包括：机械设备进场计划、工程材料和物料进场计划、施工人员进场计划等；</w:t>
      </w:r>
    </w:p>
    <w:p w14:paraId="4F243B22">
      <w:pPr>
        <w:numPr>
          <w:ilvl w:val="0"/>
          <w:numId w:val="22"/>
        </w:numPr>
        <w:spacing w:before="100" w:beforeAutospacing="1" w:after="100" w:afterAutospacing="1" w:line="360" w:lineRule="atLeast"/>
        <w:ind w:left="840"/>
        <w:rPr>
          <w:rFonts w:ascii="宋体" w:hAnsi="宋体" w:cs="宋体"/>
          <w:color w:val="auto"/>
          <w:highlight w:val="none"/>
        </w:rPr>
      </w:pPr>
      <w:r>
        <w:rPr>
          <w:rFonts w:hint="eastAsia" w:ascii="宋体" w:hAnsi="宋体" w:cs="宋体"/>
          <w:color w:val="auto"/>
          <w:highlight w:val="none"/>
        </w:rPr>
        <w:t>季节性施工措施；</w:t>
      </w:r>
    </w:p>
    <w:p w14:paraId="1262D9BF">
      <w:pPr>
        <w:numPr>
          <w:ilvl w:val="0"/>
          <w:numId w:val="22"/>
        </w:numPr>
        <w:spacing w:before="100" w:beforeAutospacing="1" w:after="100" w:afterAutospacing="1" w:line="360" w:lineRule="atLeast"/>
        <w:ind w:left="840"/>
        <w:rPr>
          <w:rFonts w:ascii="宋体" w:hAnsi="宋体" w:cs="宋体"/>
          <w:color w:val="auto"/>
          <w:highlight w:val="none"/>
        </w:rPr>
      </w:pPr>
      <w:r>
        <w:rPr>
          <w:rFonts w:hint="eastAsia" w:ascii="宋体" w:hAnsi="宋体" w:cs="宋体"/>
          <w:color w:val="auto"/>
          <w:highlight w:val="none"/>
        </w:rPr>
        <w:t>保证工期、质量的措施；</w:t>
      </w:r>
    </w:p>
    <w:p w14:paraId="6FAF30C0">
      <w:pPr>
        <w:numPr>
          <w:ilvl w:val="0"/>
          <w:numId w:val="22"/>
        </w:numPr>
        <w:spacing w:before="100" w:beforeAutospacing="1" w:after="100" w:afterAutospacing="1" w:line="360" w:lineRule="atLeast"/>
        <w:ind w:left="840"/>
        <w:rPr>
          <w:rFonts w:ascii="宋体" w:hAnsi="宋体" w:cs="宋体"/>
          <w:color w:val="auto"/>
          <w:highlight w:val="none"/>
        </w:rPr>
      </w:pPr>
      <w:r>
        <w:rPr>
          <w:rFonts w:hint="eastAsia" w:ascii="宋体" w:hAnsi="宋体" w:cs="宋体"/>
          <w:color w:val="auto"/>
          <w:highlight w:val="none"/>
        </w:rPr>
        <w:t>保证安全生产，文明施工，减少扰民降低环境污染和噪音的措施；</w:t>
      </w:r>
    </w:p>
    <w:p w14:paraId="52A8F3C6">
      <w:pPr>
        <w:numPr>
          <w:ilvl w:val="0"/>
          <w:numId w:val="22"/>
        </w:numPr>
        <w:spacing w:before="100" w:beforeAutospacing="1" w:after="100" w:afterAutospacing="1" w:line="360" w:lineRule="atLeast"/>
        <w:ind w:left="840"/>
        <w:rPr>
          <w:rFonts w:ascii="宋体" w:hAnsi="宋体" w:cs="宋体"/>
          <w:color w:val="auto"/>
          <w:highlight w:val="none"/>
        </w:rPr>
      </w:pPr>
      <w:r>
        <w:rPr>
          <w:rFonts w:hint="eastAsia" w:ascii="宋体" w:hAnsi="宋体" w:cs="宋体"/>
          <w:color w:val="auto"/>
          <w:highlight w:val="none"/>
        </w:rPr>
        <w:t>妥善处理与相邻施工地作业现场关系的措施；</w:t>
      </w:r>
    </w:p>
    <w:p w14:paraId="09404727">
      <w:pPr>
        <w:numPr>
          <w:ilvl w:val="0"/>
          <w:numId w:val="22"/>
        </w:numPr>
        <w:spacing w:before="100" w:beforeAutospacing="1" w:after="100" w:afterAutospacing="1" w:line="360" w:lineRule="atLeast"/>
        <w:ind w:left="840"/>
        <w:rPr>
          <w:rFonts w:ascii="宋体" w:hAnsi="宋体" w:cs="宋体"/>
          <w:color w:val="auto"/>
          <w:highlight w:val="none"/>
        </w:rPr>
      </w:pPr>
      <w:r>
        <w:rPr>
          <w:rFonts w:hint="eastAsia" w:ascii="宋体" w:hAnsi="宋体" w:cs="宋体"/>
          <w:color w:val="auto"/>
          <w:highlight w:val="none"/>
        </w:rPr>
        <w:t>其他与工程施工有关的管理方案、措施。</w:t>
      </w:r>
    </w:p>
    <w:p w14:paraId="50C9681C">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承包人编制的工程进度计划内容应全面详实，且应针对全部或分项施工作业和特点提出施工方法、施工穿插顺序及时间安排，并在各节点位置标注相应的工程量、资金使用计划、人机组织及材料消耗量。</w:t>
      </w:r>
    </w:p>
    <w:p w14:paraId="0DB1C343">
      <w:pPr>
        <w:snapToGrid w:val="0"/>
        <w:spacing w:line="360" w:lineRule="auto"/>
        <w:rPr>
          <w:rFonts w:ascii="宋体" w:hAnsi="宋体" w:cs="宋体"/>
          <w:color w:val="auto"/>
          <w:highlight w:val="none"/>
        </w:rPr>
      </w:pPr>
      <w:r>
        <w:rPr>
          <w:rFonts w:hint="eastAsia" w:ascii="宋体" w:hAnsi="宋体"/>
          <w:color w:val="auto"/>
          <w:szCs w:val="21"/>
          <w:highlight w:val="none"/>
        </w:rPr>
        <w:t xml:space="preserve">   </w:t>
      </w:r>
      <w:r>
        <w:rPr>
          <w:rFonts w:hint="eastAsia" w:ascii="宋体" w:hAnsi="宋体" w:cs="宋体"/>
          <w:color w:val="auto"/>
          <w:highlight w:val="none"/>
        </w:rPr>
        <w:t xml:space="preserve"> 4.</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10</w:t>
      </w:r>
      <w:r>
        <w:rPr>
          <w:rFonts w:hint="eastAsia" w:ascii="宋体" w:hAnsi="宋体" w:cs="宋体"/>
          <w:color w:val="auto"/>
          <w:highlight w:val="none"/>
        </w:rPr>
        <w:t>.5  保证执行施工组织设计中所承诺的资源投入计划，将工程施工所需的机械设备、人员、材料等资源，根据工程进度计划按时、按标准、足额投入。否则，按投标承诺书规定承担违约责任。</w:t>
      </w:r>
    </w:p>
    <w:p w14:paraId="647014A0">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各分项工程开工前，承包人必须在施工组织设计中编制资源投入计划，报总监理工程师和发包人批准后实施。特别是施工所需的机械设备（包括自有和租赁），应与投标文件填报的品牌、数量、质量、规格、性能相符且具备正常施工功能，并配有明显的承包人单位标志，且为合法使用设备（如年检证、使用证等），便于发包人检查承包人施工设备投入情况。</w:t>
      </w:r>
    </w:p>
    <w:p w14:paraId="75BDB7B6">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施工过程中，承包人因特殊原因需变更资源投入计划或者对已投入的资源进行调整的，应当提前7天提出申请，报总监理工程师和发包人批准。允许机械、设备调整的原则为：所调整机械、设备，规格、标准只能比原计划提高，不能降低；数量原则上不允许减少，如确因更换先进设备提高了工效，可考虑在总工作能力不降低的前提下同意调整。未经发包人许可，承包人开工后已进场的机械设备在任何情况下都不得在计划使用期间撤出现场。若施工机械、设备在施工过程中发生损坏的情况，承包人必须在3天内修复或更换。</w:t>
      </w:r>
    </w:p>
    <w:p w14:paraId="5EE92E26">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因设计变更、施工现场情况变化造成工程内容、工程量变化，须调整机械、设备的规格、数量的，承包人须在变更或变化确定后3天内，提出完整的更新施工方案和资源投入计划，报总监理工程师和发包人批准后实施。</w:t>
      </w:r>
    </w:p>
    <w:p w14:paraId="17F64EBC">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承包人擅自变更资源投入计划或者对已投入的资源进行调整的，按投标承诺书规定及承包人违约规定承担违约责任。</w:t>
      </w:r>
    </w:p>
    <w:p w14:paraId="7D289FFA">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10</w:t>
      </w:r>
      <w:r>
        <w:rPr>
          <w:rFonts w:hint="eastAsia" w:ascii="宋体" w:hAnsi="宋体" w:cs="宋体"/>
          <w:color w:val="auto"/>
          <w:highlight w:val="none"/>
        </w:rPr>
        <w:t>.6  承包人应按约定时间和要求，完成以下工作：</w:t>
      </w:r>
    </w:p>
    <w:p w14:paraId="49EBC81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（1）承包人须于每月最后一日向总监理工程师提供如下计划、报表，经监理单位审核后，报发包人批准后实施：</w:t>
      </w:r>
    </w:p>
    <w:p w14:paraId="77F2670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A、当月应完成的工程进度和实际完成进度统计报表一式四份（说明提前或拖延原因）（时间从上月最后1日至当月最后一日的前一日）；</w:t>
      </w:r>
    </w:p>
    <w:p w14:paraId="555847E3">
      <w:pPr>
        <w:snapToGrid w:val="0"/>
        <w:spacing w:line="360" w:lineRule="auto"/>
        <w:ind w:firstLine="480"/>
        <w:rPr>
          <w:rFonts w:ascii="宋体" w:hAnsi="宋体" w:cs="宋体"/>
          <w:color w:val="auto"/>
          <w:highlight w:val="none"/>
        </w:rPr>
      </w:pPr>
      <w:r>
        <w:rPr>
          <w:rFonts w:hint="eastAsia" w:ascii="宋体" w:hAnsi="宋体" w:cs="宋体"/>
          <w:color w:val="auto"/>
          <w:highlight w:val="none"/>
        </w:rPr>
        <w:t>B、当月完成的工程量申报,要求分细项申报,并有完成金额一式四份（时间从上月最后1日至当月最后一日的前一日）；</w:t>
      </w:r>
    </w:p>
    <w:p w14:paraId="5591CA4A">
      <w:pPr>
        <w:snapToGrid w:val="0"/>
        <w:spacing w:line="360" w:lineRule="auto"/>
        <w:ind w:firstLine="480"/>
        <w:rPr>
          <w:rFonts w:ascii="宋体" w:hAnsi="宋体" w:cs="宋体"/>
          <w:color w:val="auto"/>
          <w:highlight w:val="none"/>
        </w:rPr>
      </w:pPr>
      <w:r>
        <w:rPr>
          <w:rFonts w:hint="eastAsia" w:ascii="宋体" w:hAnsi="宋体" w:cs="宋体"/>
          <w:color w:val="auto"/>
          <w:highlight w:val="none"/>
        </w:rPr>
        <w:t>C、下月资金使用计划一式四份（时间从下月1日至下月最后一日）；</w:t>
      </w:r>
    </w:p>
    <w:p w14:paraId="478C28FC">
      <w:pPr>
        <w:snapToGrid w:val="0"/>
        <w:spacing w:line="360" w:lineRule="auto"/>
        <w:ind w:firstLine="480"/>
        <w:rPr>
          <w:rFonts w:ascii="宋体" w:hAnsi="宋体" w:cs="宋体"/>
          <w:color w:val="auto"/>
          <w:highlight w:val="none"/>
        </w:rPr>
      </w:pPr>
      <w:r>
        <w:rPr>
          <w:rFonts w:hint="eastAsia" w:ascii="宋体" w:hAnsi="宋体" w:cs="宋体"/>
          <w:color w:val="auto"/>
          <w:highlight w:val="none"/>
        </w:rPr>
        <w:t>D、下月施工进度计划一式四份（时间从下月1日至下月最后一日）；</w:t>
      </w:r>
    </w:p>
    <w:p w14:paraId="3262194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E、下月施工拟投入设备、劳动力计划一式四份（时间从下月1日至下月最后一日）；</w:t>
      </w:r>
    </w:p>
    <w:p w14:paraId="5C2E00DC">
      <w:pPr>
        <w:snapToGrid w:val="0"/>
        <w:spacing w:line="360" w:lineRule="auto"/>
        <w:ind w:firstLine="480"/>
        <w:rPr>
          <w:rFonts w:ascii="宋体" w:hAnsi="宋体" w:cs="宋体"/>
          <w:color w:val="auto"/>
          <w:highlight w:val="none"/>
        </w:rPr>
      </w:pPr>
      <w:r>
        <w:rPr>
          <w:rFonts w:hint="eastAsia" w:ascii="宋体" w:hAnsi="宋体" w:cs="宋体"/>
          <w:color w:val="auto"/>
          <w:highlight w:val="none"/>
        </w:rPr>
        <w:t>F、当月工程质量、安全生产、文明施工情况报告一式四份（时间从上月最后1日至当月最后一日的前一日）；</w:t>
      </w:r>
    </w:p>
    <w:p w14:paraId="7F1FC85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 xml:space="preserve">G、承包人负责向发包人提供工程事故报告一式四份（如果发生时）。 </w:t>
      </w:r>
    </w:p>
    <w:p w14:paraId="48EBD828">
      <w:pPr>
        <w:snapToGrid w:val="0"/>
        <w:spacing w:line="360" w:lineRule="auto"/>
        <w:ind w:firstLine="480"/>
        <w:rPr>
          <w:rFonts w:ascii="宋体" w:hAnsi="宋体" w:cs="宋体"/>
          <w:color w:val="auto"/>
          <w:highlight w:val="none"/>
        </w:rPr>
      </w:pPr>
      <w:r>
        <w:rPr>
          <w:rFonts w:hint="eastAsia" w:ascii="宋体" w:hAnsi="宋体" w:cs="宋体"/>
          <w:color w:val="auto"/>
          <w:highlight w:val="none"/>
        </w:rPr>
        <w:t>H、承包人应在每月最后一日前递交上月工程进度款《资金使用反馈表》，由监理工程师核实确认资金落实情况，保证承包人将工程进度款专用于实施本合同工程所需的材料及人工费用、施工机械、工程设备。</w:t>
      </w:r>
    </w:p>
    <w:p w14:paraId="7A2B6D84">
      <w:pPr>
        <w:snapToGrid w:val="0"/>
        <w:spacing w:line="360" w:lineRule="auto"/>
        <w:ind w:firstLine="480"/>
        <w:rPr>
          <w:rFonts w:ascii="宋体" w:hAnsi="宋体" w:cs="宋体"/>
          <w:color w:val="auto"/>
          <w:highlight w:val="none"/>
        </w:rPr>
      </w:pPr>
      <w:r>
        <w:rPr>
          <w:rFonts w:hint="eastAsia" w:ascii="宋体" w:hAnsi="宋体" w:cs="宋体"/>
          <w:color w:val="auto"/>
          <w:highlight w:val="none"/>
        </w:rPr>
        <w:t>I、承包人应在每月最后一日前向发包人提交对各专业间的组织管理、协调、配合等方面情况及所出现问题的专项报告。</w:t>
      </w:r>
    </w:p>
    <w:p w14:paraId="6E0569D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10</w:t>
      </w:r>
      <w:r>
        <w:rPr>
          <w:rFonts w:hint="eastAsia" w:ascii="宋体" w:hAnsi="宋体" w:cs="宋体"/>
          <w:color w:val="auto"/>
          <w:highlight w:val="none"/>
        </w:rPr>
        <w:t>.7  （1）所述的计划、报表的具体格式，先由承包人提出格式建议，经监理单位和发包人调整后按统一格式执行。</w:t>
      </w:r>
    </w:p>
    <w:p w14:paraId="2F43F2E7">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（2）根据工程需要，承包人应提供和维修有关白天或夜间施工使用的照明、围栏设施，并负责安全保卫。若承包人未履行上述义务造成工程、财产、人身损害等，由承包人承担责任及因此所发生的一切费用。</w:t>
      </w:r>
    </w:p>
    <w:p w14:paraId="3E3A9D07">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在承包人进场后，负责工程施工场地安全和文明施工管理，承担有关安全保卫义务，要求符合广州市水务局穗水建设[2008]137号《转发市建委关于修订并重新印发“广州市建设工程现场文明施工管理办法”的通知》执行，承包人按其费用已包含在合同总价中，结算时不作调整。</w:t>
      </w:r>
    </w:p>
    <w:p w14:paraId="0AA93CBC">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（4）已完工程成品保护的特殊要求及费用承担：未移交发包人使用前，对自行施工的已完工工程的保护工作及费用均由承包人负责，发生损坏由承包人自费修复；</w:t>
      </w:r>
    </w:p>
    <w:p w14:paraId="72C01BE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5）承包人应对施工场地内工程外的其它确定具体的保护措施并承担有关费用。若发现正常施工措施及现有条件已不能达到保护目的，承包人应及时报告，经总监理工程师、发包人批准采取特殊保护处理的，发包人承担不包含在招投标内容中的额外保护费用。</w:t>
      </w:r>
    </w:p>
    <w:p w14:paraId="1D9A4FF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承包人应对所采取的保护措施进行监测，并应根据监测结果及时反馈信息指导施工，以确保上述受保护物件及作业人员、居民的安全。施工过程中的工程监测费用由承包人承担，施工过程中两岸未拆迁建筑物的房屋鉴定费由发包人承担。因承包人原因，受保护物件发生损坏的，由承包人承担责任并负责赔偿；若承包人按设计及合同要求，已采取工程保护措施，仍对房屋造成损失及各类补偿费的，由发包人承担。</w:t>
      </w:r>
    </w:p>
    <w:p w14:paraId="224F05CA">
      <w:pPr>
        <w:snapToGrid w:val="0"/>
        <w:spacing w:line="360" w:lineRule="auto"/>
        <w:ind w:firstLine="480"/>
        <w:rPr>
          <w:rFonts w:ascii="宋体" w:hAnsi="宋体" w:cs="宋体"/>
          <w:color w:val="auto"/>
          <w:highlight w:val="none"/>
        </w:rPr>
      </w:pPr>
      <w:r>
        <w:rPr>
          <w:rFonts w:hint="eastAsia" w:ascii="宋体" w:hAnsi="宋体" w:cs="宋体"/>
          <w:color w:val="auto"/>
          <w:highlight w:val="none"/>
        </w:rPr>
        <w:t>（6）施工场地清洁卫生的要求：承包人须按发包人批准的施工组织设计进行施工现场布置、放置材料机械及其他设施，及时将施工垃圾、余泥运出场外，达到省、市文明施工样板工地标准，保证施工场地清洁符合环境卫生管理的有关规定。</w:t>
      </w:r>
    </w:p>
    <w:p w14:paraId="0D41C864">
      <w:pPr>
        <w:snapToGrid w:val="0"/>
        <w:spacing w:line="360" w:lineRule="auto"/>
        <w:ind w:firstLine="480"/>
        <w:rPr>
          <w:rFonts w:ascii="宋体" w:hAnsi="宋体" w:cs="宋体"/>
          <w:color w:val="auto"/>
          <w:highlight w:val="none"/>
        </w:rPr>
      </w:pPr>
      <w:r>
        <w:rPr>
          <w:rFonts w:hint="eastAsia" w:ascii="宋体" w:hAnsi="宋体" w:cs="宋体"/>
          <w:color w:val="auto"/>
          <w:highlight w:val="none"/>
        </w:rPr>
        <w:t>交工前清理现场要求：工程完工验收后10天内，承包人应对施工场地进行清理。施工场地的清理应达到：按《安全生产和文明施工管理协议》。</w:t>
      </w:r>
    </w:p>
    <w:p w14:paraId="1A4E6B66">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（7）承包人应做的其他工作：</w:t>
      </w:r>
    </w:p>
    <w:p w14:paraId="29B56D2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（7.1）、保证执行投标文件所承诺的施工组织设计中的资源投入计划，将工程施工所需的机械设备、人员、材料等资源，根据工程进度计划按时、按标准、足额投入。否则，按规定承担违反投标承诺的违约责任。</w:t>
      </w:r>
    </w:p>
    <w:p w14:paraId="16FFDE6B">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各分项工程开工前，承包人必须在施工组织设计中编制资源投入计划，报总监理工程师和发包人批准后实施。特别是施工所需的机械设备（包括自有和租赁），应与投标文件填报的品牌、数量、质量、规格、性能相符且具备正常施工功能，并配有明显的承包人单位标志，且为合法使用设备（如年检证、使用证等），便于发包人检查承包人施工设备投入情况。</w:t>
      </w:r>
    </w:p>
    <w:p w14:paraId="6FCC895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施工过程中，承包人因特殊原因需变更资源投入计划或者对已投入的资源进行调整的，应当提前7天提出申请，报总监理工程师和发包人批准。允许机械、设备调整的原则为：所调整机械、设备，规格、标准只能比原计划提高，不能降低；数量原则上不允许减少，如确因更换先进设备提高了工效，可考虑在总工作能力不降低的前提下同意调整。未经发包人许可，承包人开工后已进场的机械设备在任何情况下都不得在计划使用期间撤出现场。若施工机械、设备在施工过程中发生损坏的情况，承包人必须在3天内修复或更换。</w:t>
      </w:r>
    </w:p>
    <w:p w14:paraId="768EEA16">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承包人应在进场后15日内，依据施工图纸及相关资料，按投标文件的承诺和合同原则编制施工图预算，一式四份报监理、发包人审核。若承包人未能按时合格提交，发包人各相关部门可在进度款支付审核时结合考虑。</w:t>
      </w:r>
    </w:p>
    <w:p w14:paraId="0195F233">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因设计变更、施工现场情况变化造成工程内容、工程量变化，须调整机械、设备的规格、数量的，承包人须在变更或变化确定后3天内，提出完整的更新施工方案和资源投入计划，报总监理工程师和发包人批准后实施。</w:t>
      </w:r>
    </w:p>
    <w:p w14:paraId="5F42CFD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承包人擅自变更资源投入计划或者对已投入的资源进行调整的，按规定承担违约责任。</w:t>
      </w:r>
    </w:p>
    <w:p w14:paraId="5A8980D7">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（7.2）严格遵守国家、省、市有关防火、爆破和施工安全以及文明施工、夜间施工、环卫和城管等规定，建立规章制度和防护措施，并承担由于自身措施不力造成事故的责任和发生的费用。</w:t>
      </w:r>
    </w:p>
    <w:p w14:paraId="2730F18E">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7.3）承包人中标后应马上组织有经验的相关工程技术人员对施工图、技术资料认真地复核和检查，且必须在图纸会审时有预见性地发现和指正所有影响工程实施的设计缺漏和错误，提出能实质性地节约资金和缩短工期的建议和措施交由设计单位完善施工图纸。若经会审完善后的施工图纸仍存在承包人未发现的影响工程实施的设计缺漏和错误，由此产生的费用由承包人承担，工期不予顺延。</w:t>
      </w:r>
    </w:p>
    <w:p w14:paraId="34C04C77">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7.4）工人的意外事故或伤害。对于承包人或其分包人所雇用的工人出现的伤亡事故或损失，应由承包人自行负责（但由于发包人或监理单位的行为失误所造成的除外）。对于这类伤亡或损失，发包人不负责任，不负担涉及这类伤亡或损失的索赔、诉讼、损害赔偿及其它费用。对分包单位出现的工人意外事故或伤害，由于分包单位原因造成的，承包人同样需承担连带责任。</w:t>
      </w:r>
    </w:p>
    <w:p w14:paraId="399DD422">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（7.5）干扰与协调</w:t>
      </w:r>
    </w:p>
    <w:p w14:paraId="1C370B1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（7.5.1）承包人应当清楚地预计到施工期间对外界可能产生的必需的不可能避免的干扰，并为此保证主动努力减少这些干扰对外界的影响，且应当积极主动与外界进行协调。</w:t>
      </w:r>
    </w:p>
    <w:p w14:paraId="1CE9D81F">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（7.5.2） 除必须发包人出面的情况外，承包人应负责协调施工期间外界的各种干扰。</w:t>
      </w:r>
    </w:p>
    <w:p w14:paraId="63A8416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（7.5.3）发包人将在承包人的配合下，充分运用自己对各方面的影响力，尽可能地将外界对工程的干扰减少到最少程度。这种协调并不解除承包人的各项责任与义务。</w:t>
      </w:r>
    </w:p>
    <w:p w14:paraId="5D52A84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（7.5.4）本项目施工范围内有多条行政村，投标人应仔细踏勘现场，在编制施工组织设计方案及投标报价时充分考虑以下情况及相应产生的费用，包括但不限于：</w:t>
      </w:r>
    </w:p>
    <w:p w14:paraId="3E19FF2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（1）施工运输中使用村路应充分考虑与当地政府和农民做好沟通协调工作，做好交通规划及疏解工作，不得因本施工严重影响当地正常交通组织，造成堵塞，并及时清理因本项目施工造成的道路污染。</w:t>
      </w:r>
    </w:p>
    <w:p w14:paraId="12586FE2">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充分考虑土方施工、石方爆破、运输而产生的噪音、粉尘、重载运输车辆可能对当地村民的的生活、房屋、农田、田基路等造成不良影响，在保证达到文明施工与环境保护要求的同时，充分考虑与当地政府和农民做好沟通协调工作，并适当考虑优先使用附近村民土方机械和劳动力。</w:t>
      </w:r>
    </w:p>
    <w:p w14:paraId="15C00DE2">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4.1.10.8  承包人应在合同签订的同时，与发包人签订《工程建设项目廉政责任书》。</w:t>
      </w:r>
    </w:p>
    <w:p w14:paraId="09A20252">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4.1.10.9  承包人项目管理机构中各级管理人员和所使用的机械设备的标准与数量不得低于其投标文件的标准与数量，否则，视为违约，并按规定承担违约责任。</w:t>
      </w:r>
    </w:p>
    <w:p w14:paraId="7F953C3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 xml:space="preserve">4.1.10.10  承包人应当按照国家及广东省、广州市及增城区的有关规定和本合同的有关约定加强其参与本合同工程建设人员（包括农民工）的管理。同时承包人应加强工地现场出入管理工作，根据需要设置警卫，负责施工现场保卫工作，并采取必要的防盗措施，确保财产安全。进入施工现场的人员应当佩戴证明其身份的标卡。发生工人集体上访、集聚围阻等群体事件时，承包人必须确认工地从业人员身份。 </w:t>
      </w:r>
    </w:p>
    <w:p w14:paraId="1EA692CF">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（1）实行平安卡管理制度</w:t>
      </w:r>
    </w:p>
    <w:p w14:paraId="66A9055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1）承包人应按广州市的有关规定，对其参与本合同工程建设的所有管理人员和作业人员（包括农民工）实行平安卡管理制度，上岗时一律佩带平安卡。</w:t>
      </w:r>
    </w:p>
    <w:p w14:paraId="5A77B7A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发包人及监理单位将不定期抽查承包人及其所管辖的专业承包单位和分包单位实行平安卡管理制度的情况，如发现违反本合同有关约定的，由承包人按专用条款的约定承担违约责任。如发现有冒名顶替或人不到场而代为刷卡等弄虚作假现象的，由承包人按专用条款的约定承担违约责任。</w:t>
      </w:r>
    </w:p>
    <w:p w14:paraId="19D5D2CC">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（2）按时足额支付农民工工资</w:t>
      </w:r>
    </w:p>
    <w:p w14:paraId="23FEF566">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承包人应按《广州市住房和城乡建设局关于印发&lt;广州市建筑施工实名制管理办法&gt;的通知》（穗建规字〔2020〕18号）规定，对建设项目工程从业人员实行实名制管理，将从业人员基本信息、作业工人考勤与工资支付信息和施工进度情况等信息登记建档，建立动态管理台账。</w:t>
      </w:r>
    </w:p>
    <w:p w14:paraId="19FD6956">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承包人按《广州市建设领域工人工资支付分账管理实施细则》（穗建规字〔2020〕37号）规定，承包人应对建设项目工程款中的工人工资款与其他款项实行分开银行账户管理，以工程项目为单位，在商业银行设立建设领域工人工资支付专用账户用于支付工人工资。施工单位进场前，向项目所在地的商业银行开办工人工资支付专用账户，取得办理回执。</w:t>
      </w:r>
    </w:p>
    <w:p w14:paraId="3C6F7CCF">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承包人按《广州市建设领域施工企业工人工资支付保证金管理办法》(穗人社规字 (2023) 1 号)等有关规定落实工程建设领域工资保证金制度。建设单位办理工程施工许可手续时，将从业人员实名制、工人工资专用账户、工资保证金落实情况列为开工条件审核内容。</w:t>
      </w:r>
    </w:p>
    <w:p w14:paraId="215F9A58">
      <w:pPr>
        <w:spacing w:line="360" w:lineRule="auto"/>
        <w:ind w:firstLine="420" w:firstLineChars="200"/>
        <w:rPr>
          <w:rFonts w:ascii="宋体" w:hAnsi="宋体" w:cs="宋体"/>
          <w:b/>
          <w:bCs/>
          <w:color w:val="auto"/>
          <w:szCs w:val="21"/>
          <w:highlight w:val="none"/>
        </w:rPr>
      </w:pPr>
      <w:r>
        <w:rPr>
          <w:rFonts w:hint="eastAsia" w:ascii="宋体" w:hAnsi="宋体" w:cs="宋体"/>
          <w:bCs/>
          <w:color w:val="auto"/>
          <w:szCs w:val="21"/>
          <w:highlight w:val="none"/>
        </w:rPr>
        <w:t>建设单位办理工程施工许可手续时，将从业人员实名制、工人工资专用账户、工资保证金落实情况列为开工条件审核内容。</w:t>
      </w:r>
    </w:p>
    <w:p w14:paraId="45A568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2）承包人应当根据劳动合同约定的工人工资标准等内容，按照依法签订的集体合同或劳动合同约定的日期按月支付工资，并不得低于当地最低工资标准。</w:t>
      </w:r>
    </w:p>
    <w:p w14:paraId="1866187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3）承包人支付工人工资应编制工资支付表，如实记录支付表，支付时间、支付对象、支付数额等工资支付情况，并保存备查。</w:t>
      </w:r>
    </w:p>
    <w:p w14:paraId="02C73A9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4）承包人应对其专业分包或劳务分包单位工资支付进行监督，督促其依法支付工人工资。</w:t>
      </w:r>
    </w:p>
    <w:p w14:paraId="607F758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5）承包人应按上述要求及国家、地方有关规定按时支付工人工资，否则，视为违约，并按违约的和相应条款承担违约责任。</w:t>
      </w:r>
    </w:p>
    <w:p w14:paraId="0B3044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承包人不按合同及有关规定按时、足额支付专业分包或劳务分包单位合同价款及民工工资而被投诉或上访属实的，发包人将严格按照合同约定追究其违约责任；如因此致使民工集体上访、集聚围阻而造成社会不良影响的，发包人将立即终止与承包人的合同，并上报省、市主管部门建议取消其参加广州地区省、市重大项目的投标资格，并由发包人予以公告。如属恶意煽动并造成社会不良影响的，发包人将提请司法部门追究其法律责任。</w:t>
      </w:r>
    </w:p>
    <w:p w14:paraId="367BBB4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由于承包人或其管理的分包单位、劳务合作单位拖欠民工工资，致使发包人被投诉或起诉并被判令先行垫付民工工资的，发包人除追究承包人和其它相关责任单位的违约责任外，还将在工程结算时双倍扣回发包人先行垫付的民工工资金额作为补偿。</w:t>
      </w:r>
    </w:p>
    <w:p w14:paraId="154A9C4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14:paraId="42C9898F">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（3）成立处理劳资纠纷的协调机构</w:t>
      </w:r>
    </w:p>
    <w:p w14:paraId="4307FA0F">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承包人必须成立处理劳资纠纷的协调机构，承包人主管领导和项目负责人要亲自负责，配备专职人员，及时化解劳资矛盾及纠纷，并及时揭露、制止恶意煽动民工集体上访、集聚围阻的行为，保证在整个工程进行期间不发生民工集体上访、集聚围阻等事件。</w:t>
      </w:r>
    </w:p>
    <w:p w14:paraId="237AA0BA">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4.1.10.11  工程完工后，由承包人编制竣工图。</w:t>
      </w:r>
    </w:p>
    <w:p w14:paraId="20D661C8">
      <w:pPr>
        <w:snapToGrid w:val="0"/>
        <w:spacing w:line="360" w:lineRule="auto"/>
        <w:ind w:firstLine="480"/>
        <w:rPr>
          <w:rFonts w:ascii="宋体" w:hAnsi="宋体" w:cs="宋体"/>
          <w:color w:val="auto"/>
          <w:highlight w:val="none"/>
        </w:rPr>
      </w:pPr>
      <w:r>
        <w:rPr>
          <w:rFonts w:ascii="宋体" w:hAnsi="宋体" w:cs="宋体"/>
          <w:color w:val="auto"/>
          <w:highlight w:val="none"/>
        </w:rPr>
        <w:t>4.1.10</w:t>
      </w:r>
      <w:r>
        <w:rPr>
          <w:rFonts w:hint="eastAsia" w:ascii="宋体" w:hAnsi="宋体" w:cs="宋体"/>
          <w:color w:val="auto"/>
          <w:highlight w:val="none"/>
        </w:rPr>
        <w:t>.12</w:t>
      </w:r>
      <w:r>
        <w:rPr>
          <w:rFonts w:ascii="宋体" w:hAnsi="宋体" w:cs="宋体"/>
          <w:color w:val="auto"/>
          <w:highlight w:val="none"/>
        </w:rPr>
        <w:t>　</w:t>
      </w:r>
      <w:r>
        <w:rPr>
          <w:rFonts w:hint="eastAsia" w:ascii="宋体" w:hAnsi="宋体" w:cs="宋体"/>
          <w:color w:val="auto"/>
          <w:highlight w:val="none"/>
        </w:rPr>
        <w:t>（1）根据发包人委托，在承包人设计资质等级和业务允许的范围内，完成施工图设计或与工程配套的设计，经监理人确认后使用，发包人承担由此发生的费用和合理利润。由承包人负责完成的设计文件属于合同条款第1.6.2项约定的承包人提供的文件，承包人应按照专用合同条款第1.6.2项约定的期限和数量提交，由此发生的费用被认为已经包括在承包人的签约合同价（投标总报价）中。由承包人承担的施工图设计或与工程配套的设计工作内容：</w:t>
      </w:r>
      <w:r>
        <w:rPr>
          <w:rFonts w:hint="eastAsia" w:ascii="宋体" w:hAnsi="宋体" w:cs="宋体"/>
          <w:color w:val="auto"/>
          <w:highlight w:val="none"/>
          <w:u w:val="single"/>
        </w:rPr>
        <w:t xml:space="preserve">  /  。</w:t>
      </w:r>
    </w:p>
    <w:p w14:paraId="7299D6A4">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（2）工程完工后，应按照合同约定提交工程完工验收申请报告和完工结算申请书文件，逾期或者不按规定提交的，发包人有权依据已有资料做出判断并报送给结算审核方，以保证结算的连续性。</w:t>
      </w:r>
    </w:p>
    <w:p w14:paraId="3EA77137">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（3）配合有关部门的检查、审计等工作，包括并不限于提供工程或账务资料和说明。</w:t>
      </w:r>
    </w:p>
    <w:p w14:paraId="153242CB">
      <w:pPr>
        <w:keepNext/>
        <w:keepLines/>
        <w:spacing w:before="260" w:after="260" w:line="416" w:lineRule="auto"/>
        <w:outlineLvl w:val="2"/>
        <w:rPr>
          <w:rFonts w:ascii="宋体" w:hAnsi="宋体"/>
          <w:b/>
          <w:bCs/>
          <w:color w:val="auto"/>
          <w:kern w:val="0"/>
          <w:sz w:val="32"/>
          <w:szCs w:val="32"/>
          <w:highlight w:val="none"/>
        </w:rPr>
      </w:pPr>
      <w:bookmarkStart w:id="801" w:name="_Toc367280732"/>
      <w:bookmarkStart w:id="802" w:name="_Toc115179973"/>
      <w:r>
        <w:rPr>
          <w:rFonts w:hint="eastAsia" w:ascii="宋体" w:hAnsi="宋体"/>
          <w:b/>
          <w:bCs/>
          <w:color w:val="auto"/>
          <w:kern w:val="0"/>
          <w:sz w:val="32"/>
          <w:szCs w:val="32"/>
          <w:highlight w:val="none"/>
        </w:rPr>
        <w:t>4.2履约担保</w:t>
      </w:r>
      <w:bookmarkEnd w:id="801"/>
      <w:bookmarkEnd w:id="802"/>
    </w:p>
    <w:p w14:paraId="0220EA70">
      <w:pPr>
        <w:snapToGrid w:val="0"/>
        <w:spacing w:line="360" w:lineRule="auto"/>
        <w:ind w:firstLine="480"/>
        <w:rPr>
          <w:rFonts w:ascii="宋体" w:hAnsi="宋体" w:cs="宋体"/>
          <w:color w:val="auto"/>
          <w:highlight w:val="none"/>
        </w:rPr>
      </w:pPr>
      <w:bookmarkStart w:id="803" w:name="_Toc367280733"/>
      <w:bookmarkStart w:id="804" w:name="_Toc354050701"/>
      <w:bookmarkStart w:id="805" w:name="_Toc354042224"/>
      <w:bookmarkStart w:id="806" w:name="_Toc353466309"/>
      <w:r>
        <w:rPr>
          <w:rFonts w:hint="eastAsia" w:ascii="宋体" w:hAnsi="宋体" w:cs="宋体"/>
          <w:color w:val="auto"/>
          <w:highlight w:val="none"/>
        </w:rPr>
        <w:t>4.2.1履约担保的格式和金额</w:t>
      </w:r>
      <w:bookmarkEnd w:id="803"/>
      <w:bookmarkEnd w:id="804"/>
    </w:p>
    <w:p w14:paraId="504D7171">
      <w:pPr>
        <w:snapToGrid w:val="0"/>
        <w:spacing w:line="360" w:lineRule="auto"/>
        <w:ind w:firstLine="480"/>
        <w:rPr>
          <w:rFonts w:hint="eastAsia" w:ascii="宋体" w:hAnsi="宋体" w:cs="宋体"/>
          <w:color w:val="auto"/>
          <w:highlight w:val="none"/>
        </w:rPr>
      </w:pPr>
      <w:r>
        <w:rPr>
          <w:rFonts w:hint="eastAsia" w:ascii="宋体" w:hAnsi="宋体" w:cs="宋体"/>
          <w:color w:val="auto"/>
          <w:highlight w:val="none"/>
        </w:rPr>
        <w:t>承包人应在签订合同前，按照发包人在招标文件中规定的格式或者其他经过发包人认可的格式向发包人递交一份履约担保（履约担保形式包含担保保函、银行保函以及保证保险等，具备使用电子保函条件的承包人可优先选择使用电子保函）。经过发包人事先书面认可的其他格式的履约担保，其担保条款的实质性内容应当与发包人在招标文件中规定的格式内容保持一致。履约担保的金额按照中标合同额的</w:t>
      </w:r>
      <w:r>
        <w:rPr>
          <w:rFonts w:hint="eastAsia" w:ascii="宋体" w:hAnsi="宋体" w:cs="宋体"/>
          <w:b/>
          <w:bCs/>
          <w:color w:val="auto"/>
          <w:highlight w:val="none"/>
          <w:u w:val="single"/>
        </w:rPr>
        <w:t>10%</w:t>
      </w:r>
      <w:r>
        <w:rPr>
          <w:rFonts w:hint="eastAsia" w:ascii="宋体" w:hAnsi="宋体" w:cs="宋体"/>
          <w:color w:val="auto"/>
          <w:highlight w:val="none"/>
        </w:rPr>
        <w:t>提交（由业主单位视工程重要性、合同金额等情况确定，但不得高于中标合同额的10%）。履约担保是本合同的附件。</w:t>
      </w:r>
    </w:p>
    <w:p w14:paraId="6924710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4.2.1.1承包人以履约银行保函形式提交履约保证金的，在银行保函到期前，承包人应提前7天向发包人提交新的保函以替换即将到期的保函，且新提交的保函的期限延长不得少于6个月。如承包人未及时提交的，发包人有权直接要求担保银行支付其担保的全部金额。</w:t>
      </w:r>
    </w:p>
    <w:p w14:paraId="5DDC9C67">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当发生违约情形而导致履约保证金被扣罚或因其他原因，而导致履约保证金余额少于剩余工程量的10%,或者少于合同总价的2%的，承包人应在收到发包人通知之日起在7天内补足，补足后的履约保证金金额应相当于剩余工程量的10%，且不得低于合同总价的2%，否则按两者较高者补足。对于未按时限要求补足的，发包人有权扣罚剩余的全部履约保证金并有权解除合同。</w:t>
      </w:r>
    </w:p>
    <w:p w14:paraId="7DB51A23">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4.2.1.2承包人应按时足额向雇员支付劳务工资，并不低于当地最低工资标准。对于因承包人拖欠劳务工资而造成群体性示威、游行等，造成一切不良社会影响后果的，发包人有权从承包人履约保证金或应付、将付给承包人的款项中扣除10万元/次作为违约金。发包人有权根据承包人的雇员所提供的数据直接将劳务工资支付给承包人雇员，并在应付、将付给承包人的工程款或其他款项中扣除。上述行为对发包人造成损失和（或）导致工期延误的，应赔偿发包人的损失，工期不予顺延。</w:t>
      </w:r>
    </w:p>
    <w:bookmarkEnd w:id="805"/>
    <w:bookmarkEnd w:id="806"/>
    <w:p w14:paraId="3C29F431">
      <w:pPr>
        <w:snapToGrid w:val="0"/>
        <w:spacing w:line="360" w:lineRule="auto"/>
        <w:ind w:firstLine="480"/>
        <w:rPr>
          <w:rFonts w:ascii="宋体" w:hAnsi="宋体" w:cs="宋体"/>
          <w:color w:val="auto"/>
          <w:highlight w:val="none"/>
        </w:rPr>
      </w:pPr>
      <w:bookmarkStart w:id="807" w:name="_Toc353466310"/>
      <w:bookmarkStart w:id="808" w:name="_Toc354042225"/>
      <w:bookmarkStart w:id="809" w:name="_Toc367280734"/>
      <w:r>
        <w:rPr>
          <w:rFonts w:hint="eastAsia" w:ascii="宋体" w:hAnsi="宋体" w:cs="宋体"/>
          <w:color w:val="auto"/>
          <w:highlight w:val="none"/>
        </w:rPr>
        <w:t>4.2.2履约担保的有效期</w:t>
      </w:r>
      <w:bookmarkEnd w:id="807"/>
      <w:bookmarkEnd w:id="808"/>
      <w:bookmarkEnd w:id="809"/>
    </w:p>
    <w:p w14:paraId="58A5000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履约担保的有效期应当自本合同生效之日起至发包人签认并由监理人向承包人出具工程接收证书之日止。如果承包人无法获得一份不带具体截止日期的担保，履约担保中应当有“变更工程竣工日期的，保证期间按照变更后的竣工日期做相应调整”或类似约定的条款。</w:t>
      </w:r>
    </w:p>
    <w:p w14:paraId="15AD7C15">
      <w:pPr>
        <w:snapToGrid w:val="0"/>
        <w:spacing w:line="360" w:lineRule="auto"/>
        <w:ind w:firstLine="480"/>
        <w:rPr>
          <w:rFonts w:ascii="宋体" w:hAnsi="宋体" w:cs="宋体"/>
          <w:color w:val="auto"/>
          <w:highlight w:val="none"/>
        </w:rPr>
      </w:pPr>
      <w:bookmarkStart w:id="810" w:name="_Toc353466311"/>
      <w:bookmarkStart w:id="811" w:name="_Toc354042226"/>
      <w:bookmarkStart w:id="812" w:name="_Toc367280735"/>
      <w:r>
        <w:rPr>
          <w:rFonts w:hint="eastAsia" w:ascii="宋体" w:hAnsi="宋体" w:cs="宋体"/>
          <w:color w:val="auto"/>
          <w:highlight w:val="none"/>
        </w:rPr>
        <w:t>4.2.3履约担保的退还</w:t>
      </w:r>
      <w:bookmarkEnd w:id="810"/>
      <w:bookmarkEnd w:id="811"/>
      <w:bookmarkEnd w:id="812"/>
    </w:p>
    <w:p w14:paraId="33675E5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履约担保应在监理人向承包人颁发（出具）工程接收证书且完成工程结算之日后28天内退还给承包人。</w:t>
      </w:r>
    </w:p>
    <w:p w14:paraId="687797F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发包人不承担承包人与履约担保有关的任何利息或其它类似的费用或者收益。</w:t>
      </w:r>
    </w:p>
    <w:p w14:paraId="7F593B7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4.2.4通知义务</w:t>
      </w:r>
    </w:p>
    <w:p w14:paraId="5A73DC3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不管履约担保条款中如何约定，发包人根据担保条款提出索赔或兑现要求28天前，应通知承包人并说明导致此类索赔或兑现的违约性质或原因。相应地，承包人根据担保条款提出索赔或兑现要求28天前，也应通知发包人并说明导致此类索赔或兑现的违约性质或原因。但是，本项约定的通知不应理解为是在任何意义上寻求承包人或者发包人的同意。</w:t>
      </w:r>
    </w:p>
    <w:p w14:paraId="0E22E351">
      <w:pPr>
        <w:keepNext/>
        <w:keepLines/>
        <w:spacing w:before="260" w:after="260" w:line="416" w:lineRule="auto"/>
        <w:outlineLvl w:val="2"/>
        <w:rPr>
          <w:rFonts w:ascii="宋体" w:hAnsi="宋体"/>
          <w:b/>
          <w:bCs/>
          <w:color w:val="auto"/>
          <w:kern w:val="0"/>
          <w:sz w:val="32"/>
          <w:szCs w:val="32"/>
          <w:highlight w:val="none"/>
        </w:rPr>
      </w:pPr>
      <w:bookmarkStart w:id="813" w:name="_Toc115179974"/>
      <w:bookmarkStart w:id="814" w:name="_Toc367280736"/>
      <w:bookmarkStart w:id="815" w:name="_Toc354050706"/>
      <w:bookmarkStart w:id="816" w:name="_Toc367280737"/>
      <w:bookmarkStart w:id="817" w:name="_Toc354042229"/>
      <w:r>
        <w:rPr>
          <w:rFonts w:hint="eastAsia" w:ascii="宋体" w:hAnsi="宋体"/>
          <w:b/>
          <w:bCs/>
          <w:color w:val="auto"/>
          <w:kern w:val="0"/>
          <w:sz w:val="32"/>
          <w:szCs w:val="32"/>
          <w:highlight w:val="none"/>
        </w:rPr>
        <w:t>4.3　分包</w:t>
      </w:r>
      <w:bookmarkEnd w:id="813"/>
      <w:bookmarkEnd w:id="814"/>
    </w:p>
    <w:p w14:paraId="5C2B137F">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4.3.2　允许承包人分包的工程项目、工作内容与分包金额限额为：</w:t>
      </w:r>
    </w:p>
    <w:p w14:paraId="13783E8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（1）工程项目：</w:t>
      </w:r>
      <w:r>
        <w:rPr>
          <w:rFonts w:hint="eastAsia" w:ascii="宋体" w:hAnsi="宋体" w:cs="宋体"/>
          <w:color w:val="auto"/>
          <w:highlight w:val="none"/>
          <w:u w:val="single"/>
        </w:rPr>
        <w:t>　　　</w:t>
      </w:r>
      <w:r>
        <w:rPr>
          <w:rFonts w:hint="eastAsia"/>
          <w:color w:val="auto"/>
          <w:highlight w:val="none"/>
          <w:u w:val="single"/>
        </w:rPr>
        <w:t xml:space="preserve"> </w:t>
      </w:r>
      <w:r>
        <w:rPr>
          <w:rFonts w:hint="eastAsia" w:ascii="宋体" w:hAnsi="宋体" w:cs="宋体"/>
          <w:color w:val="auto"/>
          <w:highlight w:val="none"/>
          <w:u w:val="single"/>
        </w:rPr>
        <w:t>　　　　</w:t>
      </w:r>
      <w:r>
        <w:rPr>
          <w:rFonts w:hint="eastAsia" w:ascii="宋体" w:hAnsi="宋体" w:cs="宋体"/>
          <w:color w:val="auto"/>
          <w:highlight w:val="none"/>
        </w:rPr>
        <w:t>。</w:t>
      </w:r>
    </w:p>
    <w:p w14:paraId="4ADF85D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（2）工作内容：</w:t>
      </w:r>
      <w:r>
        <w:rPr>
          <w:rFonts w:hint="eastAsia" w:ascii="宋体" w:hAnsi="宋体" w:cs="宋体"/>
          <w:color w:val="auto"/>
          <w:highlight w:val="none"/>
          <w:u w:val="single"/>
        </w:rPr>
        <w:t>　　　　　　　　　</w:t>
      </w:r>
      <w:r>
        <w:rPr>
          <w:rFonts w:hint="eastAsia" w:ascii="宋体" w:hAnsi="宋体" w:cs="宋体"/>
          <w:color w:val="auto"/>
          <w:highlight w:val="none"/>
        </w:rPr>
        <w:t>。</w:t>
      </w:r>
    </w:p>
    <w:p w14:paraId="49DBE5A6">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（3）分包金额限额：</w:t>
      </w:r>
      <w:r>
        <w:rPr>
          <w:rFonts w:hint="eastAsia" w:ascii="宋体" w:hAnsi="宋体" w:cs="宋体"/>
          <w:color w:val="auto"/>
          <w:highlight w:val="none"/>
          <w:u w:val="single"/>
        </w:rPr>
        <w:t>　　　　　　　　　</w:t>
      </w:r>
      <w:r>
        <w:rPr>
          <w:rFonts w:hint="eastAsia" w:ascii="宋体" w:hAnsi="宋体" w:cs="宋体"/>
          <w:color w:val="auto"/>
          <w:highlight w:val="none"/>
        </w:rPr>
        <w:t>。</w:t>
      </w:r>
    </w:p>
    <w:p w14:paraId="4B9F0D98">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4.3.10　分包人项目管理机构的设立：</w:t>
      </w:r>
      <w:r>
        <w:rPr>
          <w:rFonts w:hint="eastAsia" w:ascii="宋体" w:hAnsi="宋体" w:cs="宋体"/>
          <w:color w:val="auto"/>
          <w:highlight w:val="none"/>
          <w:u w:val="single"/>
        </w:rPr>
        <w:t>　　　　　　　　</w:t>
      </w:r>
      <w:r>
        <w:rPr>
          <w:rFonts w:hint="eastAsia" w:ascii="宋体" w:hAnsi="宋体" w:cs="宋体"/>
          <w:color w:val="auto"/>
          <w:highlight w:val="none"/>
        </w:rPr>
        <w:t>。</w:t>
      </w:r>
    </w:p>
    <w:p w14:paraId="2F79AF71">
      <w:pPr>
        <w:keepNext/>
        <w:keepLines/>
        <w:spacing w:before="260" w:after="260" w:line="416" w:lineRule="auto"/>
        <w:outlineLvl w:val="2"/>
        <w:rPr>
          <w:rFonts w:ascii="宋体" w:hAnsi="宋体"/>
          <w:b/>
          <w:bCs/>
          <w:color w:val="auto"/>
          <w:kern w:val="0"/>
          <w:sz w:val="32"/>
          <w:szCs w:val="32"/>
          <w:highlight w:val="none"/>
        </w:rPr>
      </w:pPr>
      <w:bookmarkStart w:id="818" w:name="_Toc115179975"/>
      <w:r>
        <w:rPr>
          <w:rFonts w:hint="eastAsia" w:ascii="宋体" w:hAnsi="宋体"/>
          <w:b/>
          <w:bCs/>
          <w:color w:val="auto"/>
          <w:kern w:val="0"/>
          <w:sz w:val="32"/>
          <w:szCs w:val="32"/>
          <w:highlight w:val="none"/>
        </w:rPr>
        <w:t>4.7 撤换承包人项目经理和其他人员</w:t>
      </w:r>
      <w:bookmarkEnd w:id="815"/>
      <w:bookmarkEnd w:id="816"/>
      <w:bookmarkEnd w:id="817"/>
      <w:bookmarkEnd w:id="818"/>
    </w:p>
    <w:p w14:paraId="043F9B7B">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4.7.2承包人的项目经理、技术负责人在本工程验收前未经发包人同意不允许更换,由于承包人的原因更换项目经理、技术负责人,发包人将从合同总价中扣减10万元/人次的扣款（具体由发包人视工程重要程度和合同额按10-50万元/人次约定），施工过程中项目经理、项目总监不能按要求到位累计1个月或以上，视为更换。但经发包人书面批准并办理更换手续的，可不扣款。接任的承包人代表的资质、资历与工程经验应等于或高于前任代表，且应继续行使合同规定的前任承包人代表的职权和履行相应的义务。</w:t>
      </w:r>
    </w:p>
    <w:p w14:paraId="1F13583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4.7.3项目经理应保证全过程负责本工程的各项施工管理工作，不得授权他人代理。经发包人现场检查，项目经理不在现场1次，发包人将从合同总价中扣减2万元/人次的扣款，累计达到5次的，发包人可要求撤换该项目经理，并报行政主管部门记项目经理和承包人不良行为各一次。</w:t>
      </w:r>
    </w:p>
    <w:p w14:paraId="17FE0CB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4.7.4技术、安全生产负责人应保证全过程负责本工程的各项技术管理工作，不得授权他人代理。经发包人现场检查，技术、安全生产负责人不在现场1次，发包人将从合同总价中扣减1万元/人次的扣款，累计达到 5 次的，同时发包人可要求撤换该项目技术、安全生产负责人，并报行政主管部门记技术负责人和承包人不良行为各一次。</w:t>
      </w:r>
    </w:p>
    <w:p w14:paraId="13C31254">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4.7.5对于不胜任工作的承包人人员，当监理工程师要求更换时，承包人必须立即予以更换，并不得继续在本合同工程供职。</w:t>
      </w:r>
    </w:p>
    <w:p w14:paraId="6540BBCE">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4.7.6承包人人员资格的特别规定：所有特殊工种人员、各种领班以上人员均应符合有关规定的资质，并且应持有该项工作的上岗证，在施工期间佩带其上岗证供驻地监理工程师随时检查。在特殊工种的施工中，若发现不佩带上岗证的人员施工，则按每发现一次，扣款100元/人.次。</w:t>
      </w:r>
    </w:p>
    <w:p w14:paraId="3246F26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4.7.7上述扣款发包人可以在履约金或者工程款中直接扣除。</w:t>
      </w:r>
    </w:p>
    <w:p w14:paraId="1131662A">
      <w:pPr>
        <w:keepNext/>
        <w:keepLines/>
        <w:spacing w:before="260" w:after="260" w:line="416" w:lineRule="auto"/>
        <w:outlineLvl w:val="2"/>
        <w:rPr>
          <w:rFonts w:ascii="宋体" w:hAnsi="宋体"/>
          <w:b/>
          <w:bCs/>
          <w:color w:val="auto"/>
          <w:kern w:val="0"/>
          <w:sz w:val="32"/>
          <w:szCs w:val="32"/>
          <w:highlight w:val="none"/>
        </w:rPr>
      </w:pPr>
      <w:bookmarkStart w:id="819" w:name="_Toc115179976"/>
      <w:bookmarkStart w:id="820" w:name="_Toc367280738"/>
      <w:r>
        <w:rPr>
          <w:rFonts w:hint="eastAsia" w:ascii="宋体" w:hAnsi="宋体"/>
          <w:b/>
          <w:bCs/>
          <w:color w:val="auto"/>
          <w:kern w:val="0"/>
          <w:sz w:val="32"/>
          <w:szCs w:val="32"/>
          <w:highlight w:val="none"/>
        </w:rPr>
        <w:t>4.8 保障承包人人员的合法权益</w:t>
      </w:r>
      <w:bookmarkEnd w:id="819"/>
      <w:bookmarkEnd w:id="820"/>
    </w:p>
    <w:p w14:paraId="10EB6F4A">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4.8.7 承包人应按有关规定与雇佣的工人签订协议书，按时足额发放工人工资，发包人和监理人可不定期检查工资发放情况，若发现承包人有拖延或拒绝支付工人工资的情况，发包人可以予以代付工人工资，并从应支付给承包人的工程款中扣除。</w:t>
      </w:r>
    </w:p>
    <w:p w14:paraId="31201EC7">
      <w:pPr>
        <w:keepNext/>
        <w:keepLines/>
        <w:spacing w:before="260" w:after="260" w:line="416" w:lineRule="auto"/>
        <w:outlineLvl w:val="2"/>
        <w:rPr>
          <w:rFonts w:ascii="宋体" w:hAnsi="宋体"/>
          <w:b/>
          <w:bCs/>
          <w:color w:val="auto"/>
          <w:kern w:val="0"/>
          <w:sz w:val="32"/>
          <w:szCs w:val="32"/>
          <w:highlight w:val="none"/>
        </w:rPr>
      </w:pPr>
      <w:bookmarkStart w:id="821" w:name="_Toc115179977"/>
      <w:r>
        <w:rPr>
          <w:rFonts w:hint="eastAsia" w:ascii="宋体" w:hAnsi="宋体"/>
          <w:b/>
          <w:bCs/>
          <w:color w:val="auto"/>
          <w:kern w:val="0"/>
          <w:sz w:val="32"/>
          <w:szCs w:val="32"/>
          <w:highlight w:val="none"/>
        </w:rPr>
        <w:t>4.9 工程价款应专款专用</w:t>
      </w:r>
      <w:bookmarkEnd w:id="821"/>
    </w:p>
    <w:p w14:paraId="75B7E8FA">
      <w:pPr>
        <w:snapToGrid w:val="0"/>
        <w:spacing w:line="360" w:lineRule="auto"/>
        <w:ind w:firstLine="480"/>
        <w:rPr>
          <w:rFonts w:ascii="宋体" w:hAnsi="宋体" w:cs="宋体"/>
          <w:color w:val="auto"/>
          <w:highlight w:val="none"/>
          <w:u w:val="single"/>
        </w:rPr>
      </w:pPr>
      <w:r>
        <w:rPr>
          <w:rFonts w:hint="eastAsia" w:ascii="宋体" w:hAnsi="宋体" w:cs="宋体"/>
          <w:color w:val="auto"/>
          <w:highlight w:val="none"/>
        </w:rPr>
        <w:t>补充：</w:t>
      </w:r>
    </w:p>
    <w:p w14:paraId="68A441D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4.9.2安全文明施工费</w:t>
      </w:r>
    </w:p>
    <w:p w14:paraId="7B6BEA0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4.9.2.1内容、范围和金额</w:t>
      </w:r>
    </w:p>
    <w:p w14:paraId="4B771A3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本合同工程安全文明施工费的内容、范围和金额，以现行广东省统一工程计价依据规定为准。</w:t>
      </w:r>
    </w:p>
    <w:p w14:paraId="78A13ACA">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4.9.2.2 约定支付方式</w:t>
      </w:r>
    </w:p>
    <w:p w14:paraId="46ECE4BF">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安全文明施工费按照“专款专用、按实计量、独立拨付、独立核算”的原则进行管理，至安全文明措施费已经按实全部拨付，还需要进行安全措施费投入的，则需增加的安全生产措施费视为已经包含在投标报价中，承包人仍需提交安全文明施工费投入计划，并按批准的计划做好安全文明施工措施，但发包人不另外计量支付。</w:t>
      </w:r>
    </w:p>
    <w:p w14:paraId="3E18061E">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安全文明措施费的计价文件按照以下顺序执行：</w:t>
      </w:r>
    </w:p>
    <w:p w14:paraId="2D87129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（1）广东省统一工程计价依据</w:t>
      </w:r>
    </w:p>
    <w:p w14:paraId="366FB87A">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（2）双方按照市场价进行协商定价</w:t>
      </w:r>
    </w:p>
    <w:p w14:paraId="0B5C1AB1">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（3）承包人提供的发票价格</w:t>
      </w:r>
    </w:p>
    <w:p w14:paraId="324AE61F">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2、本合同签订后的7日内，承包人编制本合同工程安全文明施工费实施方案和预算，经监理工程师审核并报发包人批准后实行。发包人应在工程开工后的 28 天内预付安全文明施工费总额的 50%。</w:t>
      </w:r>
    </w:p>
    <w:p w14:paraId="1BDE11D1">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3、安全文明施工费的支付和抵扣：承包人报送已完工程款额报告和支付申请的同时，应报送上月的“安全文明施工统计表”、 “安全文明施工费支付申请书”、 “安全文明施工费使用计划”，按照“专款专用、按实计量、独立拨付、独立核算”的原则，由承包人按实际开支的费用申报，监理工程师和造价工程师进行审查核实后，由发包人按照计量支付的有关程序按实际发生金额支付，先从前款预付金额中进行抵扣，扣完为止。扣完后，应支付的安全文明施工费与进度款同期支付。除非根据有关条款进行了调整，否则总的支付金额不超过投标时的安全文明施工费总额。</w:t>
      </w:r>
    </w:p>
    <w:p w14:paraId="40269178">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4.9.3工人工资的按时足额支付</w:t>
      </w:r>
    </w:p>
    <w:p w14:paraId="3B68C971">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（1）承包人应当根据劳动合同约定的工人工资标准等内容，按照依法签订的集体合同或劳动合同约定的日期按月支付工资，并不得低于当地最低工资标准。</w:t>
      </w:r>
    </w:p>
    <w:p w14:paraId="1D7B44C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（2）承包人支付工人工资应编制工资支付表，如实记录支付表，支付时间、支付对象、支付数额等工资支付情况，并保存备查。</w:t>
      </w:r>
    </w:p>
    <w:p w14:paraId="32716697">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（3）承包人应对其专业分包或劳务分包单位工资支付进行监督，督促其依法支付工人工资。</w:t>
      </w:r>
    </w:p>
    <w:p w14:paraId="612E5734">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（4）承包人应按上述要求及国家、地方有关规定按时支付工人工资，否则，视为违约，并承担违约责任。</w:t>
      </w:r>
    </w:p>
    <w:p w14:paraId="494DAEC5">
      <w:pPr>
        <w:keepNext/>
        <w:keepLines/>
        <w:spacing w:before="260" w:after="260" w:line="416" w:lineRule="auto"/>
        <w:outlineLvl w:val="2"/>
        <w:rPr>
          <w:rFonts w:ascii="宋体" w:hAnsi="宋体"/>
          <w:b/>
          <w:bCs/>
          <w:color w:val="auto"/>
          <w:kern w:val="0"/>
          <w:sz w:val="32"/>
          <w:szCs w:val="32"/>
          <w:highlight w:val="none"/>
        </w:rPr>
      </w:pPr>
      <w:bookmarkStart w:id="822" w:name="_Toc367280739"/>
      <w:bookmarkStart w:id="823" w:name="_Toc115179978"/>
      <w:bookmarkStart w:id="824" w:name="_Toc25106"/>
      <w:bookmarkStart w:id="825" w:name="_Toc28615"/>
      <w:r>
        <w:rPr>
          <w:rFonts w:hint="eastAsia" w:ascii="宋体" w:hAnsi="宋体"/>
          <w:b/>
          <w:bCs/>
          <w:color w:val="auto"/>
          <w:kern w:val="0"/>
          <w:sz w:val="32"/>
          <w:szCs w:val="32"/>
          <w:highlight w:val="none"/>
        </w:rPr>
        <w:t>4.11　不利物质条件</w:t>
      </w:r>
      <w:bookmarkEnd w:id="822"/>
      <w:bookmarkEnd w:id="823"/>
    </w:p>
    <w:p w14:paraId="4DC4C388">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4.11.1　不利物质条件的范围：</w:t>
      </w:r>
      <w:r>
        <w:rPr>
          <w:rFonts w:hint="eastAsia" w:ascii="宋体" w:hAnsi="宋体" w:cs="宋体"/>
          <w:color w:val="auto"/>
          <w:highlight w:val="none"/>
          <w:u w:val="single"/>
        </w:rPr>
        <w:t>　　　　　/　　　　　</w:t>
      </w:r>
      <w:r>
        <w:rPr>
          <w:rFonts w:hint="eastAsia" w:ascii="宋体" w:hAnsi="宋体" w:cs="宋体"/>
          <w:color w:val="auto"/>
          <w:highlight w:val="none"/>
        </w:rPr>
        <w:t>。</w:t>
      </w:r>
    </w:p>
    <w:p w14:paraId="36486CA2">
      <w:pPr>
        <w:spacing w:before="260" w:after="260" w:line="400" w:lineRule="exact"/>
        <w:outlineLvl w:val="1"/>
        <w:rPr>
          <w:rFonts w:ascii="宋体" w:hAnsi="宋体" w:eastAsia="黑体"/>
          <w:color w:val="auto"/>
          <w:kern w:val="44"/>
          <w:sz w:val="27"/>
          <w:szCs w:val="27"/>
          <w:highlight w:val="none"/>
        </w:rPr>
      </w:pPr>
      <w:bookmarkStart w:id="826" w:name="_Toc115179979"/>
      <w:bookmarkStart w:id="827" w:name="_Toc483383030"/>
      <w:r>
        <w:rPr>
          <w:rFonts w:hint="eastAsia" w:ascii="宋体" w:hAnsi="宋体" w:eastAsia="黑体"/>
          <w:color w:val="auto"/>
          <w:kern w:val="44"/>
          <w:sz w:val="27"/>
          <w:szCs w:val="27"/>
          <w:highlight w:val="none"/>
        </w:rPr>
        <w:t>5  材料和工程设备</w:t>
      </w:r>
      <w:bookmarkEnd w:id="824"/>
      <w:bookmarkEnd w:id="825"/>
      <w:bookmarkEnd w:id="826"/>
      <w:bookmarkEnd w:id="827"/>
    </w:p>
    <w:p w14:paraId="2D6F8D38">
      <w:pPr>
        <w:keepNext/>
        <w:keepLines/>
        <w:spacing w:before="260" w:after="260" w:line="416" w:lineRule="auto"/>
        <w:outlineLvl w:val="2"/>
        <w:rPr>
          <w:rFonts w:ascii="宋体" w:hAnsi="宋体"/>
          <w:b/>
          <w:bCs/>
          <w:color w:val="auto"/>
          <w:kern w:val="0"/>
          <w:sz w:val="32"/>
          <w:szCs w:val="32"/>
          <w:highlight w:val="none"/>
        </w:rPr>
      </w:pPr>
      <w:bookmarkStart w:id="828" w:name="_Toc115179980"/>
      <w:r>
        <w:rPr>
          <w:rFonts w:hint="eastAsia" w:ascii="宋体" w:hAnsi="宋体"/>
          <w:b/>
          <w:bCs/>
          <w:color w:val="auto"/>
          <w:kern w:val="0"/>
          <w:sz w:val="32"/>
          <w:szCs w:val="32"/>
          <w:highlight w:val="none"/>
        </w:rPr>
        <w:t>5.1承包人提供的材料和工程设备</w:t>
      </w:r>
      <w:bookmarkEnd w:id="828"/>
    </w:p>
    <w:p w14:paraId="61081CA1">
      <w:pPr>
        <w:spacing w:line="400" w:lineRule="exact"/>
        <w:ind w:right="248" w:firstLine="480"/>
        <w:rPr>
          <w:rFonts w:ascii="宋体" w:hAnsi="宋体"/>
          <w:color w:val="auto"/>
          <w:szCs w:val="21"/>
          <w:highlight w:val="none"/>
        </w:rPr>
      </w:pPr>
      <w:r>
        <w:rPr>
          <w:rFonts w:hint="eastAsia" w:ascii="宋体" w:hAnsi="宋体"/>
          <w:color w:val="auto"/>
          <w:szCs w:val="21"/>
          <w:highlight w:val="none"/>
        </w:rPr>
        <w:t>补充：</w:t>
      </w:r>
    </w:p>
    <w:p w14:paraId="309C54B8">
      <w:pPr>
        <w:snapToGrid w:val="0"/>
        <w:spacing w:line="360" w:lineRule="auto"/>
        <w:ind w:firstLine="480"/>
        <w:rPr>
          <w:rFonts w:ascii="宋体" w:hAnsi="宋体" w:cs="宋体"/>
          <w:color w:val="auto"/>
          <w:highlight w:val="none"/>
        </w:rPr>
      </w:pPr>
      <w:r>
        <w:rPr>
          <w:rFonts w:hint="eastAsia" w:ascii="宋体" w:hAnsi="宋体" w:cs="宋体"/>
          <w:color w:val="auto"/>
          <w:highlight w:val="none"/>
        </w:rPr>
        <w:t>5.1.4 （1）承包人采购用于本工程的材料。承包人在签订供货协议前应将材质证明材料和供货厂家资质证明材料提交监理人审核、发包人确认。工程所采用的水泥、钢材、装饰装修材料等必须使用优质品牌，</w:t>
      </w:r>
      <w:r>
        <w:rPr>
          <w:rFonts w:hint="eastAsia" w:ascii="宋体" w:hAnsi="宋体" w:cs="宋体"/>
          <w:bCs/>
          <w:color w:val="auto"/>
          <w:highlight w:val="none"/>
        </w:rPr>
        <w:t>工程用沙必须使用中粗河沙（严禁采用海沙，海沙在本工程中视为不合格材料），</w:t>
      </w:r>
      <w:r>
        <w:rPr>
          <w:rFonts w:hint="eastAsia" w:ascii="宋体" w:hAnsi="宋体" w:cs="宋体"/>
          <w:color w:val="auto"/>
          <w:highlight w:val="none"/>
        </w:rPr>
        <w:t>本工程所用混凝土只限商品混凝土。</w:t>
      </w:r>
    </w:p>
    <w:p w14:paraId="7A56E6AE">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 本工程主要设备参考但不限于招标文件中《主要设备清单》所列设备，承包人提供的工程设备性能、质量标准、技术要求不得低于设备清单所列设备的性能、质量标准、技术要求。本工程所需但设备清单中未列的设备，承包人应当根据工程要求提供优质品牌。</w:t>
      </w:r>
    </w:p>
    <w:p w14:paraId="186EA13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 承包人采购用于本工程的重要设备。承包人在选定供货厂家前应组织监理人、设计人和发包人对供货厂家进行考察，经监理人、发包人考察同意后方可签订设备供货协议，承包人必须直接与设备生产厂家签订供货协议，不得与设备经销商签订设备供货协议，发包人作为协议第三方对供货协议签订过程进行见证，并在供货协议上签章确认。承包人组织监理、设计和发包方相关人员考察费用包含在报价中 (不另行计费，施工、监理、设计和发包方所发生的考察费由各单位自理)。</w:t>
      </w:r>
    </w:p>
    <w:p w14:paraId="753B11CF">
      <w:pPr>
        <w:keepNext/>
        <w:keepLines/>
        <w:spacing w:before="260" w:after="260" w:line="416" w:lineRule="auto"/>
        <w:outlineLvl w:val="2"/>
        <w:rPr>
          <w:rFonts w:ascii="宋体" w:hAnsi="宋体"/>
          <w:b/>
          <w:bCs/>
          <w:color w:val="auto"/>
          <w:kern w:val="0"/>
          <w:sz w:val="32"/>
          <w:szCs w:val="32"/>
          <w:highlight w:val="none"/>
        </w:rPr>
      </w:pPr>
      <w:bookmarkStart w:id="829" w:name="_Toc115179981"/>
      <w:bookmarkStart w:id="830" w:name="_Toc367280741"/>
      <w:bookmarkStart w:id="831" w:name="_Toc31032"/>
      <w:bookmarkStart w:id="832" w:name="_Toc30252"/>
      <w:r>
        <w:rPr>
          <w:rFonts w:hint="eastAsia" w:ascii="宋体" w:hAnsi="宋体"/>
          <w:b/>
          <w:bCs/>
          <w:color w:val="auto"/>
          <w:kern w:val="0"/>
          <w:sz w:val="32"/>
          <w:szCs w:val="32"/>
          <w:highlight w:val="none"/>
        </w:rPr>
        <w:t>5.2　发包人提供的材料和工程设备</w:t>
      </w:r>
      <w:bookmarkEnd w:id="829"/>
      <w:bookmarkEnd w:id="830"/>
    </w:p>
    <w:p w14:paraId="3440A502">
      <w:pPr>
        <w:snapToGrid w:val="0"/>
        <w:spacing w:line="360" w:lineRule="auto"/>
        <w:ind w:firstLine="480"/>
        <w:rPr>
          <w:rFonts w:ascii="宋体" w:hAnsi="宋体" w:cs="宋体"/>
          <w:color w:val="auto"/>
          <w:highlight w:val="none"/>
        </w:rPr>
      </w:pPr>
      <w:r>
        <w:rPr>
          <w:rFonts w:hint="eastAsia" w:ascii="宋体" w:hAnsi="宋体" w:cs="宋体"/>
          <w:color w:val="auto"/>
          <w:highlight w:val="none"/>
        </w:rPr>
        <w:t>5.2.1　发包人提供的材料和工程设备见下表：</w:t>
      </w:r>
    </w:p>
    <w:p w14:paraId="14D941FB">
      <w:pPr>
        <w:spacing w:line="560" w:lineRule="exact"/>
        <w:jc w:val="center"/>
        <w:rPr>
          <w:rFonts w:ascii="宋体" w:hAnsi="宋体"/>
          <w:b/>
          <w:color w:val="auto"/>
          <w:szCs w:val="21"/>
          <w:highlight w:val="none"/>
        </w:rPr>
      </w:pPr>
      <w:bookmarkStart w:id="833" w:name="第04章合同条款及格式0206"/>
      <w:bookmarkEnd w:id="833"/>
      <w:bookmarkStart w:id="834" w:name="_Toc367280742"/>
      <w:r>
        <w:rPr>
          <w:rFonts w:ascii="宋体" w:hAnsi="宋体"/>
          <w:b/>
          <w:color w:val="auto"/>
          <w:szCs w:val="21"/>
          <w:highlight w:val="none"/>
        </w:rPr>
        <w:t>发包人提供的材料表（参考格式）</w:t>
      </w:r>
    </w:p>
    <w:tbl>
      <w:tblPr>
        <w:tblStyle w:val="4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9"/>
        <w:gridCol w:w="1302"/>
        <w:gridCol w:w="1300"/>
        <w:gridCol w:w="678"/>
        <w:gridCol w:w="1300"/>
        <w:gridCol w:w="1052"/>
        <w:gridCol w:w="1426"/>
        <w:gridCol w:w="677"/>
      </w:tblGrid>
      <w:tr w14:paraId="1889C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9" w:type="dxa"/>
            <w:noWrap w:val="0"/>
            <w:vAlign w:val="center"/>
          </w:tcPr>
          <w:p w14:paraId="58FA863D">
            <w:pPr>
              <w:jc w:val="center"/>
              <w:rPr>
                <w:rFonts w:ascii="宋体" w:hAnsi="宋体"/>
                <w:color w:val="auto"/>
                <w:szCs w:val="21"/>
                <w:highlight w:val="none"/>
              </w:rPr>
            </w:pPr>
            <w:r>
              <w:rPr>
                <w:rFonts w:hint="eastAsia" w:ascii="宋体" w:hAnsi="宋体"/>
                <w:color w:val="auto"/>
                <w:szCs w:val="21"/>
                <w:highlight w:val="none"/>
              </w:rPr>
              <w:t>序号</w:t>
            </w:r>
          </w:p>
        </w:tc>
        <w:tc>
          <w:tcPr>
            <w:tcW w:w="1302" w:type="dxa"/>
            <w:noWrap w:val="0"/>
            <w:vAlign w:val="center"/>
          </w:tcPr>
          <w:p w14:paraId="26C7D0C6">
            <w:pPr>
              <w:jc w:val="center"/>
              <w:rPr>
                <w:rFonts w:ascii="宋体" w:hAnsi="宋体"/>
                <w:color w:val="auto"/>
                <w:szCs w:val="21"/>
                <w:highlight w:val="none"/>
              </w:rPr>
            </w:pPr>
            <w:r>
              <w:rPr>
                <w:rFonts w:hint="eastAsia" w:ascii="宋体" w:hAnsi="宋体"/>
                <w:color w:val="auto"/>
                <w:szCs w:val="21"/>
                <w:highlight w:val="none"/>
              </w:rPr>
              <w:t>材料名称</w:t>
            </w:r>
          </w:p>
        </w:tc>
        <w:tc>
          <w:tcPr>
            <w:tcW w:w="1300" w:type="dxa"/>
            <w:noWrap w:val="0"/>
            <w:vAlign w:val="center"/>
          </w:tcPr>
          <w:p w14:paraId="1D0309ED">
            <w:pPr>
              <w:jc w:val="center"/>
              <w:rPr>
                <w:rFonts w:ascii="宋体" w:hAnsi="宋体"/>
                <w:color w:val="auto"/>
                <w:szCs w:val="21"/>
                <w:highlight w:val="none"/>
              </w:rPr>
            </w:pPr>
            <w:r>
              <w:rPr>
                <w:rFonts w:hint="eastAsia" w:ascii="宋体" w:hAnsi="宋体"/>
                <w:color w:val="auto"/>
                <w:szCs w:val="21"/>
                <w:highlight w:val="none"/>
              </w:rPr>
              <w:t>材料规格</w:t>
            </w:r>
          </w:p>
        </w:tc>
        <w:tc>
          <w:tcPr>
            <w:tcW w:w="678" w:type="dxa"/>
            <w:noWrap w:val="0"/>
            <w:vAlign w:val="center"/>
          </w:tcPr>
          <w:p w14:paraId="21AA0291">
            <w:pPr>
              <w:jc w:val="center"/>
              <w:rPr>
                <w:rFonts w:ascii="宋体" w:hAnsi="宋体"/>
                <w:color w:val="auto"/>
                <w:szCs w:val="21"/>
                <w:highlight w:val="none"/>
              </w:rPr>
            </w:pPr>
            <w:r>
              <w:rPr>
                <w:rFonts w:hint="eastAsia" w:ascii="宋体" w:hAnsi="宋体"/>
                <w:color w:val="auto"/>
                <w:szCs w:val="21"/>
                <w:highlight w:val="none"/>
              </w:rPr>
              <w:t>数量</w:t>
            </w:r>
          </w:p>
        </w:tc>
        <w:tc>
          <w:tcPr>
            <w:tcW w:w="1300" w:type="dxa"/>
            <w:noWrap w:val="0"/>
            <w:vAlign w:val="center"/>
          </w:tcPr>
          <w:p w14:paraId="1AB316D0">
            <w:pPr>
              <w:jc w:val="center"/>
              <w:rPr>
                <w:rFonts w:ascii="宋体" w:hAnsi="宋体"/>
                <w:color w:val="auto"/>
                <w:szCs w:val="21"/>
                <w:highlight w:val="none"/>
              </w:rPr>
            </w:pPr>
            <w:r>
              <w:rPr>
                <w:rFonts w:hint="eastAsia" w:ascii="宋体" w:hAnsi="宋体"/>
                <w:color w:val="auto"/>
                <w:szCs w:val="21"/>
                <w:highlight w:val="none"/>
              </w:rPr>
              <w:t>交货地点</w:t>
            </w:r>
          </w:p>
        </w:tc>
        <w:tc>
          <w:tcPr>
            <w:tcW w:w="1052" w:type="dxa"/>
            <w:noWrap w:val="0"/>
            <w:vAlign w:val="center"/>
          </w:tcPr>
          <w:p w14:paraId="47328557">
            <w:pPr>
              <w:jc w:val="center"/>
              <w:rPr>
                <w:rFonts w:ascii="宋体" w:hAnsi="宋体"/>
                <w:color w:val="auto"/>
                <w:szCs w:val="21"/>
                <w:highlight w:val="none"/>
              </w:rPr>
            </w:pPr>
            <w:r>
              <w:rPr>
                <w:rFonts w:hint="eastAsia" w:ascii="宋体" w:hAnsi="宋体"/>
                <w:color w:val="auto"/>
                <w:szCs w:val="21"/>
                <w:highlight w:val="none"/>
              </w:rPr>
              <w:t>交货</w:t>
            </w:r>
          </w:p>
          <w:p w14:paraId="36ED53C8">
            <w:pPr>
              <w:jc w:val="center"/>
              <w:rPr>
                <w:rFonts w:ascii="宋体" w:hAnsi="宋体"/>
                <w:color w:val="auto"/>
                <w:szCs w:val="21"/>
                <w:highlight w:val="none"/>
              </w:rPr>
            </w:pPr>
            <w:r>
              <w:rPr>
                <w:rFonts w:hint="eastAsia" w:ascii="宋体" w:hAnsi="宋体"/>
                <w:color w:val="auto"/>
                <w:szCs w:val="21"/>
                <w:highlight w:val="none"/>
              </w:rPr>
              <w:t>方式</w:t>
            </w:r>
          </w:p>
        </w:tc>
        <w:tc>
          <w:tcPr>
            <w:tcW w:w="1426" w:type="dxa"/>
            <w:noWrap w:val="0"/>
            <w:vAlign w:val="center"/>
          </w:tcPr>
          <w:p w14:paraId="544A784C">
            <w:pPr>
              <w:jc w:val="center"/>
              <w:rPr>
                <w:rFonts w:ascii="宋体" w:hAnsi="宋体"/>
                <w:color w:val="auto"/>
                <w:szCs w:val="21"/>
                <w:highlight w:val="none"/>
              </w:rPr>
            </w:pPr>
            <w:r>
              <w:rPr>
                <w:rFonts w:hint="eastAsia" w:ascii="宋体" w:hAnsi="宋体"/>
                <w:color w:val="auto"/>
                <w:szCs w:val="21"/>
                <w:highlight w:val="none"/>
              </w:rPr>
              <w:t>计划交货</w:t>
            </w:r>
          </w:p>
          <w:p w14:paraId="42225E94">
            <w:pPr>
              <w:jc w:val="center"/>
              <w:rPr>
                <w:rFonts w:ascii="宋体" w:hAnsi="宋体"/>
                <w:color w:val="auto"/>
                <w:szCs w:val="21"/>
                <w:highlight w:val="none"/>
              </w:rPr>
            </w:pPr>
            <w:r>
              <w:rPr>
                <w:rFonts w:hint="eastAsia" w:ascii="宋体" w:hAnsi="宋体"/>
                <w:color w:val="auto"/>
                <w:szCs w:val="21"/>
                <w:highlight w:val="none"/>
              </w:rPr>
              <w:t>日期</w:t>
            </w:r>
          </w:p>
        </w:tc>
        <w:tc>
          <w:tcPr>
            <w:tcW w:w="677" w:type="dxa"/>
            <w:noWrap w:val="0"/>
            <w:vAlign w:val="center"/>
          </w:tcPr>
          <w:p w14:paraId="6DF8D2CB">
            <w:pPr>
              <w:jc w:val="center"/>
              <w:rPr>
                <w:rFonts w:ascii="宋体" w:hAnsi="宋体"/>
                <w:color w:val="auto"/>
                <w:szCs w:val="21"/>
                <w:highlight w:val="none"/>
              </w:rPr>
            </w:pPr>
            <w:r>
              <w:rPr>
                <w:rFonts w:hint="eastAsia" w:ascii="宋体" w:hAnsi="宋体"/>
                <w:color w:val="auto"/>
                <w:szCs w:val="21"/>
                <w:highlight w:val="none"/>
              </w:rPr>
              <w:t>备注</w:t>
            </w:r>
          </w:p>
        </w:tc>
      </w:tr>
      <w:tr w14:paraId="3A42B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9" w:type="dxa"/>
            <w:noWrap w:val="0"/>
            <w:vAlign w:val="center"/>
          </w:tcPr>
          <w:p w14:paraId="3DA07629">
            <w:pPr>
              <w:jc w:val="center"/>
              <w:rPr>
                <w:rFonts w:ascii="宋体" w:hAnsi="宋体"/>
                <w:color w:val="auto"/>
                <w:szCs w:val="21"/>
                <w:highlight w:val="none"/>
              </w:rPr>
            </w:pPr>
            <w:r>
              <w:rPr>
                <w:rFonts w:hint="eastAsia" w:ascii="宋体" w:hAnsi="宋体"/>
                <w:color w:val="auto"/>
                <w:szCs w:val="21"/>
                <w:highlight w:val="none"/>
              </w:rPr>
              <w:t>1</w:t>
            </w:r>
          </w:p>
        </w:tc>
        <w:tc>
          <w:tcPr>
            <w:tcW w:w="1302" w:type="dxa"/>
            <w:noWrap w:val="0"/>
            <w:vAlign w:val="center"/>
          </w:tcPr>
          <w:p w14:paraId="0F14B2C2">
            <w:pPr>
              <w:jc w:val="center"/>
              <w:rPr>
                <w:rFonts w:ascii="宋体" w:hAnsi="宋体"/>
                <w:color w:val="auto"/>
                <w:szCs w:val="21"/>
                <w:highlight w:val="none"/>
              </w:rPr>
            </w:pPr>
            <w:r>
              <w:rPr>
                <w:rFonts w:hint="eastAsia" w:ascii="宋体" w:hAnsi="宋体"/>
                <w:color w:val="auto"/>
                <w:szCs w:val="21"/>
                <w:highlight w:val="none"/>
              </w:rPr>
              <w:t>/</w:t>
            </w:r>
          </w:p>
        </w:tc>
        <w:tc>
          <w:tcPr>
            <w:tcW w:w="1300" w:type="dxa"/>
            <w:noWrap w:val="0"/>
            <w:vAlign w:val="center"/>
          </w:tcPr>
          <w:p w14:paraId="2578AC36">
            <w:pPr>
              <w:jc w:val="center"/>
              <w:rPr>
                <w:rFonts w:ascii="宋体" w:hAnsi="宋体"/>
                <w:color w:val="auto"/>
                <w:szCs w:val="21"/>
                <w:highlight w:val="none"/>
              </w:rPr>
            </w:pPr>
            <w:r>
              <w:rPr>
                <w:rFonts w:hint="eastAsia" w:ascii="宋体" w:hAnsi="宋体"/>
                <w:color w:val="auto"/>
                <w:szCs w:val="21"/>
                <w:highlight w:val="none"/>
              </w:rPr>
              <w:t>/</w:t>
            </w:r>
          </w:p>
        </w:tc>
        <w:tc>
          <w:tcPr>
            <w:tcW w:w="678" w:type="dxa"/>
            <w:noWrap w:val="0"/>
            <w:vAlign w:val="center"/>
          </w:tcPr>
          <w:p w14:paraId="7AF5B7B0">
            <w:pPr>
              <w:jc w:val="center"/>
              <w:rPr>
                <w:rFonts w:ascii="宋体" w:hAnsi="宋体"/>
                <w:color w:val="auto"/>
                <w:szCs w:val="21"/>
                <w:highlight w:val="none"/>
              </w:rPr>
            </w:pPr>
            <w:r>
              <w:rPr>
                <w:rFonts w:hint="eastAsia" w:ascii="宋体" w:hAnsi="宋体"/>
                <w:color w:val="auto"/>
                <w:szCs w:val="21"/>
                <w:highlight w:val="none"/>
              </w:rPr>
              <w:t>/</w:t>
            </w:r>
          </w:p>
        </w:tc>
        <w:tc>
          <w:tcPr>
            <w:tcW w:w="1300" w:type="dxa"/>
            <w:noWrap w:val="0"/>
            <w:vAlign w:val="center"/>
          </w:tcPr>
          <w:p w14:paraId="68E08087">
            <w:pPr>
              <w:jc w:val="center"/>
              <w:rPr>
                <w:rFonts w:ascii="宋体" w:hAnsi="宋体"/>
                <w:color w:val="auto"/>
                <w:szCs w:val="21"/>
                <w:highlight w:val="none"/>
              </w:rPr>
            </w:pPr>
            <w:r>
              <w:rPr>
                <w:rFonts w:hint="eastAsia" w:ascii="宋体" w:hAnsi="宋体"/>
                <w:color w:val="auto"/>
                <w:szCs w:val="21"/>
                <w:highlight w:val="none"/>
              </w:rPr>
              <w:t>/</w:t>
            </w:r>
          </w:p>
        </w:tc>
        <w:tc>
          <w:tcPr>
            <w:tcW w:w="1052" w:type="dxa"/>
            <w:noWrap w:val="0"/>
            <w:vAlign w:val="center"/>
          </w:tcPr>
          <w:p w14:paraId="2CC95BC3">
            <w:pPr>
              <w:jc w:val="center"/>
              <w:rPr>
                <w:rFonts w:ascii="宋体" w:hAnsi="宋体"/>
                <w:color w:val="auto"/>
                <w:szCs w:val="21"/>
                <w:highlight w:val="none"/>
              </w:rPr>
            </w:pPr>
            <w:r>
              <w:rPr>
                <w:rFonts w:hint="eastAsia" w:ascii="宋体" w:hAnsi="宋体"/>
                <w:color w:val="auto"/>
                <w:szCs w:val="21"/>
                <w:highlight w:val="none"/>
              </w:rPr>
              <w:t>/</w:t>
            </w:r>
          </w:p>
        </w:tc>
        <w:tc>
          <w:tcPr>
            <w:tcW w:w="1426" w:type="dxa"/>
            <w:noWrap w:val="0"/>
            <w:vAlign w:val="center"/>
          </w:tcPr>
          <w:p w14:paraId="31496B22">
            <w:pPr>
              <w:jc w:val="center"/>
              <w:rPr>
                <w:rFonts w:ascii="宋体" w:hAnsi="宋体"/>
                <w:color w:val="auto"/>
                <w:szCs w:val="21"/>
                <w:highlight w:val="none"/>
              </w:rPr>
            </w:pPr>
            <w:r>
              <w:rPr>
                <w:rFonts w:hint="eastAsia" w:ascii="宋体" w:hAnsi="宋体"/>
                <w:color w:val="auto"/>
                <w:szCs w:val="21"/>
                <w:highlight w:val="none"/>
              </w:rPr>
              <w:t>/</w:t>
            </w:r>
          </w:p>
        </w:tc>
        <w:tc>
          <w:tcPr>
            <w:tcW w:w="677" w:type="dxa"/>
            <w:noWrap w:val="0"/>
            <w:vAlign w:val="center"/>
          </w:tcPr>
          <w:p w14:paraId="1B236F0E">
            <w:pPr>
              <w:jc w:val="center"/>
              <w:rPr>
                <w:rFonts w:ascii="宋体" w:hAnsi="宋体"/>
                <w:color w:val="auto"/>
                <w:szCs w:val="21"/>
                <w:highlight w:val="none"/>
              </w:rPr>
            </w:pPr>
          </w:p>
        </w:tc>
      </w:tr>
      <w:tr w14:paraId="0A778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9" w:type="dxa"/>
            <w:noWrap w:val="0"/>
            <w:vAlign w:val="center"/>
          </w:tcPr>
          <w:p w14:paraId="5FAB3857">
            <w:pPr>
              <w:jc w:val="center"/>
              <w:rPr>
                <w:rFonts w:ascii="宋体" w:hAnsi="宋体"/>
                <w:color w:val="auto"/>
                <w:szCs w:val="21"/>
                <w:highlight w:val="none"/>
              </w:rPr>
            </w:pPr>
            <w:r>
              <w:rPr>
                <w:rFonts w:hint="eastAsia" w:ascii="宋体" w:hAnsi="宋体"/>
                <w:color w:val="auto"/>
                <w:szCs w:val="21"/>
                <w:highlight w:val="none"/>
              </w:rPr>
              <w:t>2</w:t>
            </w:r>
          </w:p>
        </w:tc>
        <w:tc>
          <w:tcPr>
            <w:tcW w:w="1302" w:type="dxa"/>
            <w:noWrap w:val="0"/>
            <w:vAlign w:val="center"/>
          </w:tcPr>
          <w:p w14:paraId="38052637">
            <w:pPr>
              <w:jc w:val="center"/>
              <w:rPr>
                <w:rFonts w:ascii="宋体" w:hAnsi="宋体"/>
                <w:color w:val="auto"/>
                <w:szCs w:val="21"/>
                <w:highlight w:val="none"/>
              </w:rPr>
            </w:pPr>
            <w:r>
              <w:rPr>
                <w:rFonts w:hint="eastAsia" w:ascii="宋体" w:hAnsi="宋体"/>
                <w:color w:val="auto"/>
                <w:szCs w:val="21"/>
                <w:highlight w:val="none"/>
              </w:rPr>
              <w:t>/</w:t>
            </w:r>
          </w:p>
        </w:tc>
        <w:tc>
          <w:tcPr>
            <w:tcW w:w="1300" w:type="dxa"/>
            <w:noWrap w:val="0"/>
            <w:vAlign w:val="center"/>
          </w:tcPr>
          <w:p w14:paraId="0C4ADAAB">
            <w:pPr>
              <w:jc w:val="center"/>
              <w:rPr>
                <w:rFonts w:ascii="宋体" w:hAnsi="宋体"/>
                <w:color w:val="auto"/>
                <w:szCs w:val="21"/>
                <w:highlight w:val="none"/>
              </w:rPr>
            </w:pPr>
            <w:r>
              <w:rPr>
                <w:rFonts w:hint="eastAsia" w:ascii="宋体" w:hAnsi="宋体"/>
                <w:color w:val="auto"/>
                <w:szCs w:val="21"/>
                <w:highlight w:val="none"/>
              </w:rPr>
              <w:t>/</w:t>
            </w:r>
          </w:p>
        </w:tc>
        <w:tc>
          <w:tcPr>
            <w:tcW w:w="678" w:type="dxa"/>
            <w:noWrap w:val="0"/>
            <w:vAlign w:val="center"/>
          </w:tcPr>
          <w:p w14:paraId="3C3CC5B5">
            <w:pPr>
              <w:jc w:val="center"/>
              <w:rPr>
                <w:rFonts w:ascii="宋体" w:hAnsi="宋体"/>
                <w:color w:val="auto"/>
                <w:szCs w:val="21"/>
                <w:highlight w:val="none"/>
              </w:rPr>
            </w:pPr>
            <w:r>
              <w:rPr>
                <w:rFonts w:hint="eastAsia" w:ascii="宋体" w:hAnsi="宋体"/>
                <w:color w:val="auto"/>
                <w:szCs w:val="21"/>
                <w:highlight w:val="none"/>
              </w:rPr>
              <w:t>/</w:t>
            </w:r>
          </w:p>
        </w:tc>
        <w:tc>
          <w:tcPr>
            <w:tcW w:w="1300" w:type="dxa"/>
            <w:noWrap w:val="0"/>
            <w:vAlign w:val="center"/>
          </w:tcPr>
          <w:p w14:paraId="42576373">
            <w:pPr>
              <w:jc w:val="center"/>
              <w:rPr>
                <w:rFonts w:ascii="宋体" w:hAnsi="宋体"/>
                <w:color w:val="auto"/>
                <w:szCs w:val="21"/>
                <w:highlight w:val="none"/>
              </w:rPr>
            </w:pPr>
            <w:r>
              <w:rPr>
                <w:rFonts w:hint="eastAsia" w:ascii="宋体" w:hAnsi="宋体"/>
                <w:color w:val="auto"/>
                <w:szCs w:val="21"/>
                <w:highlight w:val="none"/>
              </w:rPr>
              <w:t>/</w:t>
            </w:r>
          </w:p>
        </w:tc>
        <w:tc>
          <w:tcPr>
            <w:tcW w:w="1052" w:type="dxa"/>
            <w:noWrap w:val="0"/>
            <w:vAlign w:val="center"/>
          </w:tcPr>
          <w:p w14:paraId="1142FE60">
            <w:pPr>
              <w:jc w:val="center"/>
              <w:rPr>
                <w:rFonts w:ascii="宋体" w:hAnsi="宋体"/>
                <w:color w:val="auto"/>
                <w:szCs w:val="21"/>
                <w:highlight w:val="none"/>
              </w:rPr>
            </w:pPr>
            <w:r>
              <w:rPr>
                <w:rFonts w:hint="eastAsia" w:ascii="宋体" w:hAnsi="宋体"/>
                <w:color w:val="auto"/>
                <w:szCs w:val="21"/>
                <w:highlight w:val="none"/>
              </w:rPr>
              <w:t>/</w:t>
            </w:r>
          </w:p>
        </w:tc>
        <w:tc>
          <w:tcPr>
            <w:tcW w:w="1426" w:type="dxa"/>
            <w:noWrap w:val="0"/>
            <w:vAlign w:val="center"/>
          </w:tcPr>
          <w:p w14:paraId="73588AFA">
            <w:pPr>
              <w:jc w:val="center"/>
              <w:rPr>
                <w:rFonts w:ascii="宋体" w:hAnsi="宋体"/>
                <w:color w:val="auto"/>
                <w:szCs w:val="21"/>
                <w:highlight w:val="none"/>
              </w:rPr>
            </w:pPr>
            <w:r>
              <w:rPr>
                <w:rFonts w:hint="eastAsia" w:ascii="宋体" w:hAnsi="宋体"/>
                <w:color w:val="auto"/>
                <w:szCs w:val="21"/>
                <w:highlight w:val="none"/>
              </w:rPr>
              <w:t>/</w:t>
            </w:r>
          </w:p>
        </w:tc>
        <w:tc>
          <w:tcPr>
            <w:tcW w:w="677" w:type="dxa"/>
            <w:noWrap w:val="0"/>
            <w:vAlign w:val="center"/>
          </w:tcPr>
          <w:p w14:paraId="59DC5454">
            <w:pPr>
              <w:jc w:val="center"/>
              <w:rPr>
                <w:rFonts w:ascii="宋体" w:hAnsi="宋体"/>
                <w:color w:val="auto"/>
                <w:szCs w:val="21"/>
                <w:highlight w:val="none"/>
              </w:rPr>
            </w:pPr>
          </w:p>
        </w:tc>
      </w:tr>
    </w:tbl>
    <w:p w14:paraId="548AA93B">
      <w:pPr>
        <w:rPr>
          <w:rFonts w:ascii="宋体" w:hAnsi="宋体"/>
          <w:color w:val="auto"/>
          <w:szCs w:val="21"/>
          <w:highlight w:val="none"/>
        </w:rPr>
      </w:pPr>
    </w:p>
    <w:p w14:paraId="4FE4C8D2">
      <w:pPr>
        <w:spacing w:line="560" w:lineRule="exact"/>
        <w:jc w:val="center"/>
        <w:rPr>
          <w:rFonts w:ascii="宋体" w:hAnsi="宋体"/>
          <w:b/>
          <w:color w:val="auto"/>
          <w:szCs w:val="21"/>
          <w:highlight w:val="none"/>
        </w:rPr>
      </w:pPr>
      <w:r>
        <w:rPr>
          <w:rFonts w:hint="eastAsia" w:ascii="宋体" w:hAnsi="宋体"/>
          <w:b/>
          <w:color w:val="auto"/>
          <w:szCs w:val="21"/>
          <w:highlight w:val="none"/>
        </w:rPr>
        <w:t>发包人提供的工程设备表（参考格式）</w:t>
      </w:r>
    </w:p>
    <w:tbl>
      <w:tblPr>
        <w:tblStyle w:val="4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
        <w:gridCol w:w="1518"/>
        <w:gridCol w:w="1156"/>
        <w:gridCol w:w="815"/>
        <w:gridCol w:w="1063"/>
        <w:gridCol w:w="1063"/>
        <w:gridCol w:w="1437"/>
        <w:gridCol w:w="690"/>
      </w:tblGrid>
      <w:tr w14:paraId="59015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2" w:type="dxa"/>
            <w:noWrap w:val="0"/>
            <w:vAlign w:val="center"/>
          </w:tcPr>
          <w:p w14:paraId="4970AB53">
            <w:pPr>
              <w:jc w:val="center"/>
              <w:rPr>
                <w:rFonts w:ascii="宋体" w:hAnsi="宋体"/>
                <w:color w:val="auto"/>
                <w:szCs w:val="21"/>
                <w:highlight w:val="none"/>
              </w:rPr>
            </w:pPr>
            <w:r>
              <w:rPr>
                <w:rFonts w:hint="eastAsia" w:ascii="宋体" w:hAnsi="宋体"/>
                <w:color w:val="auto"/>
                <w:szCs w:val="21"/>
                <w:highlight w:val="none"/>
              </w:rPr>
              <w:t>序号</w:t>
            </w:r>
          </w:p>
        </w:tc>
        <w:tc>
          <w:tcPr>
            <w:tcW w:w="1518" w:type="dxa"/>
            <w:noWrap w:val="0"/>
            <w:vAlign w:val="center"/>
          </w:tcPr>
          <w:p w14:paraId="78E353CD">
            <w:pPr>
              <w:jc w:val="center"/>
              <w:rPr>
                <w:rFonts w:ascii="宋体" w:hAnsi="宋体"/>
                <w:color w:val="auto"/>
                <w:szCs w:val="21"/>
                <w:highlight w:val="none"/>
              </w:rPr>
            </w:pPr>
            <w:r>
              <w:rPr>
                <w:rFonts w:hint="eastAsia" w:ascii="宋体" w:hAnsi="宋体"/>
                <w:color w:val="auto"/>
                <w:szCs w:val="21"/>
                <w:highlight w:val="none"/>
              </w:rPr>
              <w:t>工程设备名称</w:t>
            </w:r>
          </w:p>
        </w:tc>
        <w:tc>
          <w:tcPr>
            <w:tcW w:w="1156" w:type="dxa"/>
            <w:noWrap w:val="0"/>
            <w:vAlign w:val="center"/>
          </w:tcPr>
          <w:p w14:paraId="2C937E7D">
            <w:pPr>
              <w:jc w:val="center"/>
              <w:rPr>
                <w:rFonts w:ascii="宋体" w:hAnsi="宋体"/>
                <w:color w:val="auto"/>
                <w:szCs w:val="21"/>
                <w:highlight w:val="none"/>
              </w:rPr>
            </w:pPr>
            <w:r>
              <w:rPr>
                <w:rFonts w:hint="eastAsia" w:ascii="宋体" w:hAnsi="宋体"/>
                <w:color w:val="auto"/>
                <w:szCs w:val="21"/>
                <w:highlight w:val="none"/>
              </w:rPr>
              <w:t>型号及</w:t>
            </w:r>
          </w:p>
          <w:p w14:paraId="3959FDCB">
            <w:pPr>
              <w:jc w:val="center"/>
              <w:rPr>
                <w:rFonts w:ascii="宋体" w:hAnsi="宋体"/>
                <w:color w:val="auto"/>
                <w:szCs w:val="21"/>
                <w:highlight w:val="none"/>
              </w:rPr>
            </w:pPr>
            <w:r>
              <w:rPr>
                <w:rFonts w:hint="eastAsia" w:ascii="宋体" w:hAnsi="宋体"/>
                <w:color w:val="auto"/>
                <w:szCs w:val="21"/>
                <w:highlight w:val="none"/>
              </w:rPr>
              <w:t>规格</w:t>
            </w:r>
          </w:p>
        </w:tc>
        <w:tc>
          <w:tcPr>
            <w:tcW w:w="815" w:type="dxa"/>
            <w:noWrap w:val="0"/>
            <w:vAlign w:val="center"/>
          </w:tcPr>
          <w:p w14:paraId="2BF5AA1C">
            <w:pPr>
              <w:jc w:val="center"/>
              <w:rPr>
                <w:rFonts w:ascii="宋体" w:hAnsi="宋体"/>
                <w:color w:val="auto"/>
                <w:szCs w:val="21"/>
                <w:highlight w:val="none"/>
              </w:rPr>
            </w:pPr>
            <w:r>
              <w:rPr>
                <w:rFonts w:hint="eastAsia" w:ascii="宋体" w:hAnsi="宋体"/>
                <w:color w:val="auto"/>
                <w:szCs w:val="21"/>
                <w:highlight w:val="none"/>
              </w:rPr>
              <w:t>数量</w:t>
            </w:r>
          </w:p>
        </w:tc>
        <w:tc>
          <w:tcPr>
            <w:tcW w:w="1063" w:type="dxa"/>
            <w:noWrap w:val="0"/>
            <w:vAlign w:val="center"/>
          </w:tcPr>
          <w:p w14:paraId="52CB80EB">
            <w:pPr>
              <w:jc w:val="center"/>
              <w:rPr>
                <w:rFonts w:ascii="宋体" w:hAnsi="宋体"/>
                <w:color w:val="auto"/>
                <w:szCs w:val="21"/>
                <w:highlight w:val="none"/>
              </w:rPr>
            </w:pPr>
            <w:r>
              <w:rPr>
                <w:rFonts w:hint="eastAsia" w:ascii="宋体" w:hAnsi="宋体"/>
                <w:color w:val="auto"/>
                <w:szCs w:val="21"/>
                <w:highlight w:val="none"/>
              </w:rPr>
              <w:t>交货地点</w:t>
            </w:r>
          </w:p>
        </w:tc>
        <w:tc>
          <w:tcPr>
            <w:tcW w:w="1063" w:type="dxa"/>
            <w:noWrap w:val="0"/>
            <w:vAlign w:val="center"/>
          </w:tcPr>
          <w:p w14:paraId="662B2456">
            <w:pPr>
              <w:jc w:val="center"/>
              <w:rPr>
                <w:rFonts w:ascii="宋体" w:hAnsi="宋体"/>
                <w:color w:val="auto"/>
                <w:szCs w:val="21"/>
                <w:highlight w:val="none"/>
              </w:rPr>
            </w:pPr>
            <w:r>
              <w:rPr>
                <w:rFonts w:hint="eastAsia" w:ascii="宋体" w:hAnsi="宋体"/>
                <w:color w:val="auto"/>
                <w:szCs w:val="21"/>
                <w:highlight w:val="none"/>
              </w:rPr>
              <w:t>交货方式</w:t>
            </w:r>
          </w:p>
        </w:tc>
        <w:tc>
          <w:tcPr>
            <w:tcW w:w="1437" w:type="dxa"/>
            <w:noWrap w:val="0"/>
            <w:vAlign w:val="center"/>
          </w:tcPr>
          <w:p w14:paraId="0C50E218">
            <w:pPr>
              <w:jc w:val="center"/>
              <w:rPr>
                <w:rFonts w:ascii="宋体" w:hAnsi="宋体"/>
                <w:color w:val="auto"/>
                <w:szCs w:val="21"/>
                <w:highlight w:val="none"/>
              </w:rPr>
            </w:pPr>
            <w:r>
              <w:rPr>
                <w:rFonts w:hint="eastAsia" w:ascii="宋体" w:hAnsi="宋体"/>
                <w:color w:val="auto"/>
                <w:szCs w:val="21"/>
                <w:highlight w:val="none"/>
              </w:rPr>
              <w:t>计划交货</w:t>
            </w:r>
          </w:p>
          <w:p w14:paraId="25C2E4A1">
            <w:pPr>
              <w:jc w:val="center"/>
              <w:rPr>
                <w:rFonts w:ascii="宋体" w:hAnsi="宋体"/>
                <w:color w:val="auto"/>
                <w:szCs w:val="21"/>
                <w:highlight w:val="none"/>
              </w:rPr>
            </w:pPr>
            <w:r>
              <w:rPr>
                <w:rFonts w:hint="eastAsia" w:ascii="宋体" w:hAnsi="宋体"/>
                <w:color w:val="auto"/>
                <w:szCs w:val="21"/>
                <w:highlight w:val="none"/>
              </w:rPr>
              <w:t>日期</w:t>
            </w:r>
          </w:p>
        </w:tc>
        <w:tc>
          <w:tcPr>
            <w:tcW w:w="690" w:type="dxa"/>
            <w:noWrap w:val="0"/>
            <w:vAlign w:val="center"/>
          </w:tcPr>
          <w:p w14:paraId="424BB001">
            <w:pPr>
              <w:jc w:val="center"/>
              <w:rPr>
                <w:rFonts w:ascii="宋体" w:hAnsi="宋体"/>
                <w:color w:val="auto"/>
                <w:szCs w:val="21"/>
                <w:highlight w:val="none"/>
              </w:rPr>
            </w:pPr>
            <w:r>
              <w:rPr>
                <w:rFonts w:hint="eastAsia" w:ascii="宋体" w:hAnsi="宋体"/>
                <w:color w:val="auto"/>
                <w:szCs w:val="21"/>
                <w:highlight w:val="none"/>
              </w:rPr>
              <w:t>备注</w:t>
            </w:r>
          </w:p>
        </w:tc>
      </w:tr>
      <w:tr w14:paraId="48575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2" w:type="dxa"/>
            <w:noWrap w:val="0"/>
            <w:vAlign w:val="center"/>
          </w:tcPr>
          <w:p w14:paraId="01E4BB4C">
            <w:pPr>
              <w:jc w:val="center"/>
              <w:rPr>
                <w:rFonts w:ascii="宋体" w:hAnsi="宋体"/>
                <w:color w:val="auto"/>
                <w:szCs w:val="21"/>
                <w:highlight w:val="none"/>
              </w:rPr>
            </w:pPr>
            <w:r>
              <w:rPr>
                <w:rFonts w:hint="eastAsia" w:ascii="宋体" w:hAnsi="宋体"/>
                <w:color w:val="auto"/>
                <w:szCs w:val="21"/>
                <w:highlight w:val="none"/>
              </w:rPr>
              <w:t>1</w:t>
            </w:r>
          </w:p>
        </w:tc>
        <w:tc>
          <w:tcPr>
            <w:tcW w:w="1518" w:type="dxa"/>
            <w:noWrap w:val="0"/>
            <w:vAlign w:val="center"/>
          </w:tcPr>
          <w:p w14:paraId="1D025FD1">
            <w:pPr>
              <w:jc w:val="center"/>
              <w:rPr>
                <w:rFonts w:ascii="宋体" w:hAnsi="宋体"/>
                <w:color w:val="auto"/>
                <w:szCs w:val="21"/>
                <w:highlight w:val="none"/>
              </w:rPr>
            </w:pPr>
            <w:r>
              <w:rPr>
                <w:rFonts w:hint="eastAsia" w:ascii="宋体" w:hAnsi="宋体"/>
                <w:color w:val="auto"/>
                <w:szCs w:val="21"/>
                <w:highlight w:val="none"/>
              </w:rPr>
              <w:t>/</w:t>
            </w:r>
          </w:p>
        </w:tc>
        <w:tc>
          <w:tcPr>
            <w:tcW w:w="1156" w:type="dxa"/>
            <w:noWrap w:val="0"/>
            <w:vAlign w:val="center"/>
          </w:tcPr>
          <w:p w14:paraId="1C58925B">
            <w:pPr>
              <w:jc w:val="center"/>
              <w:rPr>
                <w:rFonts w:ascii="宋体" w:hAnsi="宋体"/>
                <w:color w:val="auto"/>
                <w:szCs w:val="21"/>
                <w:highlight w:val="none"/>
              </w:rPr>
            </w:pPr>
            <w:r>
              <w:rPr>
                <w:rFonts w:hint="eastAsia" w:ascii="宋体" w:hAnsi="宋体"/>
                <w:color w:val="auto"/>
                <w:szCs w:val="21"/>
                <w:highlight w:val="none"/>
              </w:rPr>
              <w:t>/</w:t>
            </w:r>
          </w:p>
        </w:tc>
        <w:tc>
          <w:tcPr>
            <w:tcW w:w="815" w:type="dxa"/>
            <w:noWrap w:val="0"/>
            <w:vAlign w:val="center"/>
          </w:tcPr>
          <w:p w14:paraId="521DCCC1">
            <w:pPr>
              <w:jc w:val="center"/>
              <w:rPr>
                <w:rFonts w:ascii="宋体" w:hAnsi="宋体"/>
                <w:color w:val="auto"/>
                <w:szCs w:val="21"/>
                <w:highlight w:val="none"/>
              </w:rPr>
            </w:pPr>
            <w:r>
              <w:rPr>
                <w:rFonts w:hint="eastAsia" w:ascii="宋体" w:hAnsi="宋体"/>
                <w:color w:val="auto"/>
                <w:szCs w:val="21"/>
                <w:highlight w:val="none"/>
              </w:rPr>
              <w:t>/</w:t>
            </w:r>
          </w:p>
        </w:tc>
        <w:tc>
          <w:tcPr>
            <w:tcW w:w="1063" w:type="dxa"/>
            <w:noWrap w:val="0"/>
            <w:vAlign w:val="center"/>
          </w:tcPr>
          <w:p w14:paraId="77380135">
            <w:pPr>
              <w:jc w:val="center"/>
              <w:rPr>
                <w:rFonts w:ascii="宋体" w:hAnsi="宋体"/>
                <w:color w:val="auto"/>
                <w:szCs w:val="21"/>
                <w:highlight w:val="none"/>
              </w:rPr>
            </w:pPr>
            <w:r>
              <w:rPr>
                <w:rFonts w:hint="eastAsia" w:ascii="宋体" w:hAnsi="宋体"/>
                <w:color w:val="auto"/>
                <w:szCs w:val="21"/>
                <w:highlight w:val="none"/>
              </w:rPr>
              <w:t>/</w:t>
            </w:r>
          </w:p>
        </w:tc>
        <w:tc>
          <w:tcPr>
            <w:tcW w:w="1063" w:type="dxa"/>
            <w:noWrap w:val="0"/>
            <w:vAlign w:val="center"/>
          </w:tcPr>
          <w:p w14:paraId="0575D2B9">
            <w:pPr>
              <w:jc w:val="center"/>
              <w:rPr>
                <w:rFonts w:ascii="宋体" w:hAnsi="宋体"/>
                <w:color w:val="auto"/>
                <w:szCs w:val="21"/>
                <w:highlight w:val="none"/>
              </w:rPr>
            </w:pPr>
            <w:r>
              <w:rPr>
                <w:rFonts w:hint="eastAsia" w:ascii="宋体" w:hAnsi="宋体"/>
                <w:color w:val="auto"/>
                <w:szCs w:val="21"/>
                <w:highlight w:val="none"/>
              </w:rPr>
              <w:t>/</w:t>
            </w:r>
          </w:p>
        </w:tc>
        <w:tc>
          <w:tcPr>
            <w:tcW w:w="1437" w:type="dxa"/>
            <w:noWrap w:val="0"/>
            <w:vAlign w:val="center"/>
          </w:tcPr>
          <w:p w14:paraId="73EEA71E">
            <w:pPr>
              <w:jc w:val="center"/>
              <w:rPr>
                <w:rFonts w:ascii="宋体" w:hAnsi="宋体"/>
                <w:color w:val="auto"/>
                <w:szCs w:val="21"/>
                <w:highlight w:val="none"/>
              </w:rPr>
            </w:pPr>
            <w:r>
              <w:rPr>
                <w:rFonts w:hint="eastAsia" w:ascii="宋体" w:hAnsi="宋体"/>
                <w:color w:val="auto"/>
                <w:szCs w:val="21"/>
                <w:highlight w:val="none"/>
              </w:rPr>
              <w:t>/</w:t>
            </w:r>
          </w:p>
        </w:tc>
        <w:tc>
          <w:tcPr>
            <w:tcW w:w="690" w:type="dxa"/>
            <w:noWrap w:val="0"/>
            <w:vAlign w:val="center"/>
          </w:tcPr>
          <w:p w14:paraId="78CA532D">
            <w:pPr>
              <w:jc w:val="center"/>
              <w:rPr>
                <w:rFonts w:ascii="宋体" w:hAnsi="宋体"/>
                <w:color w:val="auto"/>
                <w:szCs w:val="21"/>
                <w:highlight w:val="none"/>
              </w:rPr>
            </w:pPr>
          </w:p>
        </w:tc>
      </w:tr>
      <w:tr w14:paraId="0BB16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2" w:type="dxa"/>
            <w:noWrap w:val="0"/>
            <w:vAlign w:val="center"/>
          </w:tcPr>
          <w:p w14:paraId="2AA78F3E">
            <w:pPr>
              <w:jc w:val="center"/>
              <w:rPr>
                <w:rFonts w:ascii="宋体" w:hAnsi="宋体"/>
                <w:color w:val="auto"/>
                <w:szCs w:val="21"/>
                <w:highlight w:val="none"/>
              </w:rPr>
            </w:pPr>
            <w:r>
              <w:rPr>
                <w:rFonts w:hint="eastAsia" w:ascii="宋体" w:hAnsi="宋体"/>
                <w:color w:val="auto"/>
                <w:szCs w:val="21"/>
                <w:highlight w:val="none"/>
              </w:rPr>
              <w:t>2</w:t>
            </w:r>
          </w:p>
        </w:tc>
        <w:tc>
          <w:tcPr>
            <w:tcW w:w="1518" w:type="dxa"/>
            <w:noWrap w:val="0"/>
            <w:vAlign w:val="center"/>
          </w:tcPr>
          <w:p w14:paraId="7DCFF373">
            <w:pPr>
              <w:jc w:val="center"/>
              <w:rPr>
                <w:rFonts w:ascii="宋体" w:hAnsi="宋体"/>
                <w:color w:val="auto"/>
                <w:szCs w:val="21"/>
                <w:highlight w:val="none"/>
              </w:rPr>
            </w:pPr>
            <w:r>
              <w:rPr>
                <w:rFonts w:hint="eastAsia" w:ascii="宋体" w:hAnsi="宋体"/>
                <w:color w:val="auto"/>
                <w:szCs w:val="21"/>
                <w:highlight w:val="none"/>
              </w:rPr>
              <w:t>/</w:t>
            </w:r>
          </w:p>
        </w:tc>
        <w:tc>
          <w:tcPr>
            <w:tcW w:w="1156" w:type="dxa"/>
            <w:noWrap w:val="0"/>
            <w:vAlign w:val="center"/>
          </w:tcPr>
          <w:p w14:paraId="6831F6B1">
            <w:pPr>
              <w:jc w:val="center"/>
              <w:rPr>
                <w:rFonts w:ascii="宋体" w:hAnsi="宋体"/>
                <w:color w:val="auto"/>
                <w:szCs w:val="21"/>
                <w:highlight w:val="none"/>
              </w:rPr>
            </w:pPr>
            <w:r>
              <w:rPr>
                <w:rFonts w:hint="eastAsia" w:ascii="宋体" w:hAnsi="宋体"/>
                <w:color w:val="auto"/>
                <w:szCs w:val="21"/>
                <w:highlight w:val="none"/>
              </w:rPr>
              <w:t>/</w:t>
            </w:r>
          </w:p>
        </w:tc>
        <w:tc>
          <w:tcPr>
            <w:tcW w:w="815" w:type="dxa"/>
            <w:noWrap w:val="0"/>
            <w:vAlign w:val="center"/>
          </w:tcPr>
          <w:p w14:paraId="1C3F50AE">
            <w:pPr>
              <w:jc w:val="center"/>
              <w:rPr>
                <w:rFonts w:ascii="宋体" w:hAnsi="宋体"/>
                <w:color w:val="auto"/>
                <w:szCs w:val="21"/>
                <w:highlight w:val="none"/>
              </w:rPr>
            </w:pPr>
            <w:r>
              <w:rPr>
                <w:rFonts w:hint="eastAsia" w:ascii="宋体" w:hAnsi="宋体"/>
                <w:color w:val="auto"/>
                <w:szCs w:val="21"/>
                <w:highlight w:val="none"/>
              </w:rPr>
              <w:t>/</w:t>
            </w:r>
          </w:p>
        </w:tc>
        <w:tc>
          <w:tcPr>
            <w:tcW w:w="1063" w:type="dxa"/>
            <w:noWrap w:val="0"/>
            <w:vAlign w:val="center"/>
          </w:tcPr>
          <w:p w14:paraId="14A7EA1D">
            <w:pPr>
              <w:jc w:val="center"/>
              <w:rPr>
                <w:rFonts w:ascii="宋体" w:hAnsi="宋体"/>
                <w:color w:val="auto"/>
                <w:szCs w:val="21"/>
                <w:highlight w:val="none"/>
              </w:rPr>
            </w:pPr>
            <w:r>
              <w:rPr>
                <w:rFonts w:hint="eastAsia" w:ascii="宋体" w:hAnsi="宋体"/>
                <w:color w:val="auto"/>
                <w:szCs w:val="21"/>
                <w:highlight w:val="none"/>
              </w:rPr>
              <w:t>/</w:t>
            </w:r>
          </w:p>
        </w:tc>
        <w:tc>
          <w:tcPr>
            <w:tcW w:w="1063" w:type="dxa"/>
            <w:noWrap w:val="0"/>
            <w:vAlign w:val="center"/>
          </w:tcPr>
          <w:p w14:paraId="31613679">
            <w:pPr>
              <w:jc w:val="center"/>
              <w:rPr>
                <w:rFonts w:ascii="宋体" w:hAnsi="宋体"/>
                <w:color w:val="auto"/>
                <w:szCs w:val="21"/>
                <w:highlight w:val="none"/>
              </w:rPr>
            </w:pPr>
            <w:r>
              <w:rPr>
                <w:rFonts w:hint="eastAsia" w:ascii="宋体" w:hAnsi="宋体"/>
                <w:color w:val="auto"/>
                <w:szCs w:val="21"/>
                <w:highlight w:val="none"/>
              </w:rPr>
              <w:t>/</w:t>
            </w:r>
          </w:p>
        </w:tc>
        <w:tc>
          <w:tcPr>
            <w:tcW w:w="1437" w:type="dxa"/>
            <w:noWrap w:val="0"/>
            <w:vAlign w:val="center"/>
          </w:tcPr>
          <w:p w14:paraId="4D34B152">
            <w:pPr>
              <w:jc w:val="center"/>
              <w:rPr>
                <w:rFonts w:ascii="宋体" w:hAnsi="宋体"/>
                <w:color w:val="auto"/>
                <w:szCs w:val="21"/>
                <w:highlight w:val="none"/>
              </w:rPr>
            </w:pPr>
            <w:r>
              <w:rPr>
                <w:rFonts w:hint="eastAsia" w:ascii="宋体" w:hAnsi="宋体"/>
                <w:color w:val="auto"/>
                <w:szCs w:val="21"/>
                <w:highlight w:val="none"/>
              </w:rPr>
              <w:t>/</w:t>
            </w:r>
          </w:p>
        </w:tc>
        <w:tc>
          <w:tcPr>
            <w:tcW w:w="690" w:type="dxa"/>
            <w:noWrap w:val="0"/>
            <w:vAlign w:val="center"/>
          </w:tcPr>
          <w:p w14:paraId="2257EE39">
            <w:pPr>
              <w:jc w:val="center"/>
              <w:rPr>
                <w:rFonts w:ascii="宋体" w:hAnsi="宋体"/>
                <w:color w:val="auto"/>
                <w:szCs w:val="21"/>
                <w:highlight w:val="none"/>
              </w:rPr>
            </w:pPr>
          </w:p>
        </w:tc>
      </w:tr>
    </w:tbl>
    <w:p w14:paraId="27AD8C5F">
      <w:pPr>
        <w:spacing w:before="260" w:after="260" w:line="400" w:lineRule="exact"/>
        <w:outlineLvl w:val="1"/>
        <w:rPr>
          <w:rFonts w:ascii="宋体" w:hAnsi="宋体" w:eastAsia="黑体"/>
          <w:color w:val="auto"/>
          <w:kern w:val="44"/>
          <w:sz w:val="27"/>
          <w:szCs w:val="27"/>
          <w:highlight w:val="none"/>
        </w:rPr>
      </w:pPr>
      <w:bookmarkStart w:id="835" w:name="_Toc115179982"/>
      <w:bookmarkStart w:id="836" w:name="_Toc483383031"/>
      <w:r>
        <w:rPr>
          <w:rFonts w:hint="eastAsia" w:ascii="宋体" w:hAnsi="宋体" w:eastAsia="黑体"/>
          <w:color w:val="auto"/>
          <w:kern w:val="44"/>
          <w:sz w:val="27"/>
          <w:szCs w:val="27"/>
          <w:highlight w:val="none"/>
        </w:rPr>
        <w:t>6　施工设备和临时设施</w:t>
      </w:r>
      <w:bookmarkEnd w:id="834"/>
      <w:bookmarkEnd w:id="835"/>
      <w:bookmarkEnd w:id="836"/>
    </w:p>
    <w:p w14:paraId="216D9872">
      <w:pPr>
        <w:keepNext/>
        <w:keepLines/>
        <w:spacing w:before="260" w:after="260" w:line="416" w:lineRule="auto"/>
        <w:outlineLvl w:val="2"/>
        <w:rPr>
          <w:rFonts w:ascii="宋体" w:hAnsi="宋体"/>
          <w:b/>
          <w:bCs/>
          <w:color w:val="auto"/>
          <w:kern w:val="0"/>
          <w:sz w:val="32"/>
          <w:szCs w:val="32"/>
          <w:highlight w:val="none"/>
        </w:rPr>
      </w:pPr>
      <w:bookmarkStart w:id="837" w:name="_Toc367280743"/>
      <w:bookmarkStart w:id="838" w:name="_Toc115179983"/>
      <w:r>
        <w:rPr>
          <w:rFonts w:ascii="宋体" w:hAnsi="宋体"/>
          <w:b/>
          <w:bCs/>
          <w:color w:val="auto"/>
          <w:kern w:val="0"/>
          <w:sz w:val="32"/>
          <w:szCs w:val="32"/>
          <w:highlight w:val="none"/>
        </w:rPr>
        <w:t>6.2　发包人提供的施工设备和临时设施</w:t>
      </w:r>
      <w:bookmarkEnd w:id="837"/>
      <w:bookmarkEnd w:id="838"/>
    </w:p>
    <w:p w14:paraId="195317D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（1）发包人提供的施工设备见下表：</w:t>
      </w:r>
    </w:p>
    <w:p w14:paraId="5B762763">
      <w:pPr>
        <w:spacing w:line="560" w:lineRule="exact"/>
        <w:jc w:val="center"/>
        <w:rPr>
          <w:rFonts w:ascii="宋体" w:hAnsi="宋体"/>
          <w:b/>
          <w:color w:val="auto"/>
          <w:szCs w:val="21"/>
          <w:highlight w:val="none"/>
        </w:rPr>
      </w:pPr>
      <w:r>
        <w:rPr>
          <w:rFonts w:hint="eastAsia" w:ascii="宋体" w:hAnsi="宋体"/>
          <w:b/>
          <w:color w:val="auto"/>
          <w:szCs w:val="21"/>
          <w:highlight w:val="none"/>
        </w:rPr>
        <w:t>发包人提供的施工设备表（参考格式）</w:t>
      </w:r>
    </w:p>
    <w:tbl>
      <w:tblPr>
        <w:tblStyle w:val="4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
        <w:gridCol w:w="1362"/>
        <w:gridCol w:w="1190"/>
        <w:gridCol w:w="1277"/>
        <w:gridCol w:w="723"/>
        <w:gridCol w:w="1063"/>
        <w:gridCol w:w="1437"/>
        <w:gridCol w:w="690"/>
      </w:tblGrid>
      <w:tr w14:paraId="69631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72" w:type="dxa"/>
            <w:noWrap w:val="0"/>
            <w:vAlign w:val="center"/>
          </w:tcPr>
          <w:p w14:paraId="3786DCD8">
            <w:pPr>
              <w:jc w:val="center"/>
              <w:rPr>
                <w:rFonts w:ascii="宋体" w:hAnsi="宋体"/>
                <w:color w:val="auto"/>
                <w:szCs w:val="21"/>
                <w:highlight w:val="none"/>
              </w:rPr>
            </w:pPr>
            <w:r>
              <w:rPr>
                <w:rFonts w:hint="eastAsia" w:ascii="宋体" w:hAnsi="宋体"/>
                <w:color w:val="auto"/>
                <w:szCs w:val="21"/>
                <w:highlight w:val="none"/>
              </w:rPr>
              <w:t>序号</w:t>
            </w:r>
          </w:p>
        </w:tc>
        <w:tc>
          <w:tcPr>
            <w:tcW w:w="1362" w:type="dxa"/>
            <w:noWrap w:val="0"/>
            <w:vAlign w:val="center"/>
          </w:tcPr>
          <w:p w14:paraId="5E3E658C">
            <w:pPr>
              <w:jc w:val="center"/>
              <w:rPr>
                <w:rFonts w:ascii="宋体" w:hAnsi="宋体"/>
                <w:color w:val="auto"/>
                <w:szCs w:val="21"/>
                <w:highlight w:val="none"/>
              </w:rPr>
            </w:pPr>
            <w:r>
              <w:rPr>
                <w:rFonts w:hint="eastAsia" w:ascii="宋体" w:hAnsi="宋体"/>
                <w:color w:val="auto"/>
                <w:szCs w:val="21"/>
                <w:highlight w:val="none"/>
              </w:rPr>
              <w:t>施工设备</w:t>
            </w:r>
          </w:p>
          <w:p w14:paraId="532644A3">
            <w:pPr>
              <w:jc w:val="center"/>
              <w:rPr>
                <w:rFonts w:ascii="宋体" w:hAnsi="宋体"/>
                <w:color w:val="auto"/>
                <w:szCs w:val="21"/>
                <w:highlight w:val="none"/>
              </w:rPr>
            </w:pPr>
            <w:r>
              <w:rPr>
                <w:rFonts w:hint="eastAsia" w:ascii="宋体" w:hAnsi="宋体"/>
                <w:color w:val="auto"/>
                <w:szCs w:val="21"/>
                <w:highlight w:val="none"/>
              </w:rPr>
              <w:t>名称</w:t>
            </w:r>
          </w:p>
        </w:tc>
        <w:tc>
          <w:tcPr>
            <w:tcW w:w="1190" w:type="dxa"/>
            <w:noWrap w:val="0"/>
            <w:vAlign w:val="center"/>
          </w:tcPr>
          <w:p w14:paraId="03B8D17E">
            <w:pPr>
              <w:jc w:val="center"/>
              <w:rPr>
                <w:rFonts w:ascii="宋体" w:hAnsi="宋体"/>
                <w:color w:val="auto"/>
                <w:szCs w:val="21"/>
                <w:highlight w:val="none"/>
              </w:rPr>
            </w:pPr>
            <w:r>
              <w:rPr>
                <w:rFonts w:hint="eastAsia" w:ascii="宋体" w:hAnsi="宋体"/>
                <w:color w:val="auto"/>
                <w:szCs w:val="21"/>
                <w:highlight w:val="none"/>
              </w:rPr>
              <w:t>型号及</w:t>
            </w:r>
          </w:p>
          <w:p w14:paraId="70DBC839">
            <w:pPr>
              <w:jc w:val="center"/>
              <w:rPr>
                <w:rFonts w:ascii="宋体" w:hAnsi="宋体"/>
                <w:color w:val="auto"/>
                <w:szCs w:val="21"/>
                <w:highlight w:val="none"/>
              </w:rPr>
            </w:pPr>
            <w:r>
              <w:rPr>
                <w:rFonts w:hint="eastAsia" w:ascii="宋体" w:hAnsi="宋体"/>
                <w:color w:val="auto"/>
                <w:szCs w:val="21"/>
                <w:highlight w:val="none"/>
              </w:rPr>
              <w:t>规格</w:t>
            </w:r>
          </w:p>
        </w:tc>
        <w:tc>
          <w:tcPr>
            <w:tcW w:w="1277" w:type="dxa"/>
            <w:noWrap w:val="0"/>
            <w:vAlign w:val="center"/>
          </w:tcPr>
          <w:p w14:paraId="70CB30D5">
            <w:pPr>
              <w:jc w:val="center"/>
              <w:rPr>
                <w:rFonts w:ascii="宋体" w:hAnsi="宋体"/>
                <w:color w:val="auto"/>
                <w:szCs w:val="21"/>
                <w:highlight w:val="none"/>
              </w:rPr>
            </w:pPr>
            <w:r>
              <w:rPr>
                <w:rFonts w:hint="eastAsia" w:ascii="宋体" w:hAnsi="宋体"/>
                <w:color w:val="auto"/>
                <w:szCs w:val="21"/>
                <w:highlight w:val="none"/>
              </w:rPr>
              <w:t>设备状况</w:t>
            </w:r>
          </w:p>
        </w:tc>
        <w:tc>
          <w:tcPr>
            <w:tcW w:w="723" w:type="dxa"/>
            <w:noWrap w:val="0"/>
            <w:vAlign w:val="center"/>
          </w:tcPr>
          <w:p w14:paraId="4A347758">
            <w:pPr>
              <w:jc w:val="center"/>
              <w:rPr>
                <w:rFonts w:ascii="宋体" w:hAnsi="宋体"/>
                <w:color w:val="auto"/>
                <w:szCs w:val="21"/>
                <w:highlight w:val="none"/>
              </w:rPr>
            </w:pPr>
            <w:r>
              <w:rPr>
                <w:rFonts w:hint="eastAsia" w:ascii="宋体" w:hAnsi="宋体"/>
                <w:color w:val="auto"/>
                <w:szCs w:val="21"/>
                <w:highlight w:val="none"/>
              </w:rPr>
              <w:t>数量</w:t>
            </w:r>
          </w:p>
        </w:tc>
        <w:tc>
          <w:tcPr>
            <w:tcW w:w="1063" w:type="dxa"/>
            <w:noWrap w:val="0"/>
            <w:vAlign w:val="center"/>
          </w:tcPr>
          <w:p w14:paraId="029A5A3E">
            <w:pPr>
              <w:jc w:val="center"/>
              <w:rPr>
                <w:rFonts w:ascii="宋体" w:hAnsi="宋体"/>
                <w:color w:val="auto"/>
                <w:szCs w:val="21"/>
                <w:highlight w:val="none"/>
              </w:rPr>
            </w:pPr>
            <w:r>
              <w:rPr>
                <w:rFonts w:hint="eastAsia" w:ascii="宋体" w:hAnsi="宋体"/>
                <w:color w:val="auto"/>
                <w:szCs w:val="21"/>
                <w:highlight w:val="none"/>
              </w:rPr>
              <w:t>移交地点</w:t>
            </w:r>
          </w:p>
        </w:tc>
        <w:tc>
          <w:tcPr>
            <w:tcW w:w="1437" w:type="dxa"/>
            <w:noWrap w:val="0"/>
            <w:vAlign w:val="center"/>
          </w:tcPr>
          <w:p w14:paraId="011E7742">
            <w:pPr>
              <w:jc w:val="center"/>
              <w:rPr>
                <w:rFonts w:ascii="宋体" w:hAnsi="宋体"/>
                <w:color w:val="auto"/>
                <w:szCs w:val="21"/>
                <w:highlight w:val="none"/>
              </w:rPr>
            </w:pPr>
            <w:r>
              <w:rPr>
                <w:rFonts w:hint="eastAsia" w:ascii="宋体" w:hAnsi="宋体"/>
                <w:color w:val="auto"/>
                <w:szCs w:val="21"/>
                <w:highlight w:val="none"/>
              </w:rPr>
              <w:t>计划移交</w:t>
            </w:r>
          </w:p>
          <w:p w14:paraId="2BB90ECE">
            <w:pPr>
              <w:jc w:val="center"/>
              <w:rPr>
                <w:rFonts w:ascii="宋体" w:hAnsi="宋体"/>
                <w:color w:val="auto"/>
                <w:szCs w:val="21"/>
                <w:highlight w:val="none"/>
              </w:rPr>
            </w:pPr>
            <w:r>
              <w:rPr>
                <w:rFonts w:hint="eastAsia" w:ascii="宋体" w:hAnsi="宋体"/>
                <w:color w:val="auto"/>
                <w:szCs w:val="21"/>
                <w:highlight w:val="none"/>
              </w:rPr>
              <w:t>日期</w:t>
            </w:r>
          </w:p>
        </w:tc>
        <w:tc>
          <w:tcPr>
            <w:tcW w:w="690" w:type="dxa"/>
            <w:noWrap w:val="0"/>
            <w:vAlign w:val="center"/>
          </w:tcPr>
          <w:p w14:paraId="3B9A4394">
            <w:pPr>
              <w:jc w:val="center"/>
              <w:rPr>
                <w:rFonts w:ascii="宋体" w:hAnsi="宋体"/>
                <w:color w:val="auto"/>
                <w:szCs w:val="21"/>
                <w:highlight w:val="none"/>
              </w:rPr>
            </w:pPr>
            <w:r>
              <w:rPr>
                <w:rFonts w:hint="eastAsia" w:ascii="宋体" w:hAnsi="宋体"/>
                <w:color w:val="auto"/>
                <w:szCs w:val="21"/>
                <w:highlight w:val="none"/>
              </w:rPr>
              <w:t>备注</w:t>
            </w:r>
          </w:p>
        </w:tc>
      </w:tr>
      <w:tr w14:paraId="32326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72" w:type="dxa"/>
            <w:noWrap w:val="0"/>
            <w:vAlign w:val="center"/>
          </w:tcPr>
          <w:p w14:paraId="77F7FC6E">
            <w:pPr>
              <w:jc w:val="center"/>
              <w:rPr>
                <w:rFonts w:ascii="宋体" w:hAnsi="宋体"/>
                <w:b/>
                <w:color w:val="auto"/>
                <w:szCs w:val="21"/>
                <w:highlight w:val="none"/>
              </w:rPr>
            </w:pPr>
            <w:r>
              <w:rPr>
                <w:rFonts w:hint="eastAsia" w:ascii="宋体" w:hAnsi="宋体"/>
                <w:color w:val="auto"/>
                <w:szCs w:val="21"/>
                <w:highlight w:val="none"/>
              </w:rPr>
              <w:t>1</w:t>
            </w:r>
          </w:p>
        </w:tc>
        <w:tc>
          <w:tcPr>
            <w:tcW w:w="1362" w:type="dxa"/>
            <w:noWrap w:val="0"/>
            <w:vAlign w:val="center"/>
          </w:tcPr>
          <w:p w14:paraId="27B28ADB">
            <w:pPr>
              <w:jc w:val="center"/>
              <w:rPr>
                <w:rFonts w:ascii="宋体" w:hAnsi="宋体"/>
                <w:b/>
                <w:color w:val="auto"/>
                <w:szCs w:val="21"/>
                <w:highlight w:val="none"/>
              </w:rPr>
            </w:pPr>
            <w:r>
              <w:rPr>
                <w:rFonts w:hint="eastAsia" w:ascii="宋体" w:hAnsi="宋体"/>
                <w:color w:val="auto"/>
                <w:szCs w:val="21"/>
                <w:highlight w:val="none"/>
              </w:rPr>
              <w:t>/</w:t>
            </w:r>
          </w:p>
        </w:tc>
        <w:tc>
          <w:tcPr>
            <w:tcW w:w="1190" w:type="dxa"/>
            <w:noWrap w:val="0"/>
            <w:vAlign w:val="center"/>
          </w:tcPr>
          <w:p w14:paraId="38A11F97">
            <w:pPr>
              <w:jc w:val="center"/>
              <w:rPr>
                <w:rFonts w:ascii="宋体" w:hAnsi="宋体"/>
                <w:b/>
                <w:color w:val="auto"/>
                <w:szCs w:val="21"/>
                <w:highlight w:val="none"/>
              </w:rPr>
            </w:pPr>
            <w:r>
              <w:rPr>
                <w:rFonts w:hint="eastAsia" w:ascii="宋体" w:hAnsi="宋体"/>
                <w:color w:val="auto"/>
                <w:szCs w:val="21"/>
                <w:highlight w:val="none"/>
              </w:rPr>
              <w:t>/</w:t>
            </w:r>
          </w:p>
        </w:tc>
        <w:tc>
          <w:tcPr>
            <w:tcW w:w="1277" w:type="dxa"/>
            <w:noWrap w:val="0"/>
            <w:vAlign w:val="center"/>
          </w:tcPr>
          <w:p w14:paraId="4E33A57D">
            <w:pPr>
              <w:jc w:val="center"/>
              <w:rPr>
                <w:rFonts w:ascii="宋体" w:hAnsi="宋体"/>
                <w:b/>
                <w:color w:val="auto"/>
                <w:szCs w:val="21"/>
                <w:highlight w:val="none"/>
              </w:rPr>
            </w:pPr>
            <w:r>
              <w:rPr>
                <w:rFonts w:hint="eastAsia" w:ascii="宋体" w:hAnsi="宋体"/>
                <w:color w:val="auto"/>
                <w:szCs w:val="21"/>
                <w:highlight w:val="none"/>
              </w:rPr>
              <w:t>/</w:t>
            </w:r>
          </w:p>
        </w:tc>
        <w:tc>
          <w:tcPr>
            <w:tcW w:w="723" w:type="dxa"/>
            <w:noWrap w:val="0"/>
            <w:vAlign w:val="center"/>
          </w:tcPr>
          <w:p w14:paraId="56437C58">
            <w:pPr>
              <w:jc w:val="center"/>
              <w:rPr>
                <w:rFonts w:ascii="宋体" w:hAnsi="宋体"/>
                <w:b/>
                <w:color w:val="auto"/>
                <w:szCs w:val="21"/>
                <w:highlight w:val="none"/>
              </w:rPr>
            </w:pPr>
            <w:r>
              <w:rPr>
                <w:rFonts w:hint="eastAsia" w:ascii="宋体" w:hAnsi="宋体"/>
                <w:color w:val="auto"/>
                <w:szCs w:val="21"/>
                <w:highlight w:val="none"/>
              </w:rPr>
              <w:t>/</w:t>
            </w:r>
          </w:p>
        </w:tc>
        <w:tc>
          <w:tcPr>
            <w:tcW w:w="1063" w:type="dxa"/>
            <w:noWrap w:val="0"/>
            <w:vAlign w:val="center"/>
          </w:tcPr>
          <w:p w14:paraId="5D01E519">
            <w:pPr>
              <w:jc w:val="center"/>
              <w:rPr>
                <w:rFonts w:ascii="宋体" w:hAnsi="宋体"/>
                <w:b/>
                <w:color w:val="auto"/>
                <w:szCs w:val="21"/>
                <w:highlight w:val="none"/>
              </w:rPr>
            </w:pPr>
            <w:r>
              <w:rPr>
                <w:rFonts w:hint="eastAsia" w:ascii="宋体" w:hAnsi="宋体"/>
                <w:color w:val="auto"/>
                <w:szCs w:val="21"/>
                <w:highlight w:val="none"/>
              </w:rPr>
              <w:t>/</w:t>
            </w:r>
          </w:p>
        </w:tc>
        <w:tc>
          <w:tcPr>
            <w:tcW w:w="1437" w:type="dxa"/>
            <w:noWrap w:val="0"/>
            <w:vAlign w:val="center"/>
          </w:tcPr>
          <w:p w14:paraId="7743DB8B">
            <w:pPr>
              <w:jc w:val="center"/>
              <w:rPr>
                <w:rFonts w:ascii="宋体" w:hAnsi="宋体"/>
                <w:b/>
                <w:color w:val="auto"/>
                <w:szCs w:val="21"/>
                <w:highlight w:val="none"/>
              </w:rPr>
            </w:pPr>
            <w:r>
              <w:rPr>
                <w:rFonts w:hint="eastAsia" w:ascii="宋体" w:hAnsi="宋体"/>
                <w:color w:val="auto"/>
                <w:szCs w:val="21"/>
                <w:highlight w:val="none"/>
              </w:rPr>
              <w:t>/</w:t>
            </w:r>
          </w:p>
        </w:tc>
        <w:tc>
          <w:tcPr>
            <w:tcW w:w="690" w:type="dxa"/>
            <w:noWrap w:val="0"/>
            <w:vAlign w:val="center"/>
          </w:tcPr>
          <w:p w14:paraId="2CD38332">
            <w:pPr>
              <w:jc w:val="center"/>
              <w:rPr>
                <w:rFonts w:ascii="宋体" w:hAnsi="宋体"/>
                <w:b/>
                <w:color w:val="auto"/>
                <w:szCs w:val="21"/>
                <w:highlight w:val="none"/>
              </w:rPr>
            </w:pPr>
          </w:p>
        </w:tc>
      </w:tr>
      <w:tr w14:paraId="28E18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72" w:type="dxa"/>
            <w:noWrap w:val="0"/>
            <w:vAlign w:val="center"/>
          </w:tcPr>
          <w:p w14:paraId="2A646BA8">
            <w:pPr>
              <w:jc w:val="center"/>
              <w:rPr>
                <w:rFonts w:ascii="宋体" w:hAnsi="宋体"/>
                <w:b/>
                <w:color w:val="auto"/>
                <w:szCs w:val="21"/>
                <w:highlight w:val="none"/>
              </w:rPr>
            </w:pPr>
            <w:r>
              <w:rPr>
                <w:rFonts w:hint="eastAsia" w:ascii="宋体" w:hAnsi="宋体"/>
                <w:color w:val="auto"/>
                <w:szCs w:val="21"/>
                <w:highlight w:val="none"/>
              </w:rPr>
              <w:t>2</w:t>
            </w:r>
          </w:p>
        </w:tc>
        <w:tc>
          <w:tcPr>
            <w:tcW w:w="1362" w:type="dxa"/>
            <w:noWrap w:val="0"/>
            <w:vAlign w:val="center"/>
          </w:tcPr>
          <w:p w14:paraId="2C7C8349">
            <w:pPr>
              <w:jc w:val="center"/>
              <w:rPr>
                <w:rFonts w:ascii="宋体" w:hAnsi="宋体"/>
                <w:b/>
                <w:color w:val="auto"/>
                <w:szCs w:val="21"/>
                <w:highlight w:val="none"/>
              </w:rPr>
            </w:pPr>
            <w:r>
              <w:rPr>
                <w:rFonts w:hint="eastAsia" w:ascii="宋体" w:hAnsi="宋体"/>
                <w:color w:val="auto"/>
                <w:szCs w:val="21"/>
                <w:highlight w:val="none"/>
              </w:rPr>
              <w:t>/</w:t>
            </w:r>
          </w:p>
        </w:tc>
        <w:tc>
          <w:tcPr>
            <w:tcW w:w="1190" w:type="dxa"/>
            <w:noWrap w:val="0"/>
            <w:vAlign w:val="center"/>
          </w:tcPr>
          <w:p w14:paraId="6E335C10">
            <w:pPr>
              <w:jc w:val="center"/>
              <w:rPr>
                <w:rFonts w:ascii="宋体" w:hAnsi="宋体"/>
                <w:b/>
                <w:color w:val="auto"/>
                <w:szCs w:val="21"/>
                <w:highlight w:val="none"/>
              </w:rPr>
            </w:pPr>
            <w:r>
              <w:rPr>
                <w:rFonts w:hint="eastAsia" w:ascii="宋体" w:hAnsi="宋体"/>
                <w:color w:val="auto"/>
                <w:szCs w:val="21"/>
                <w:highlight w:val="none"/>
              </w:rPr>
              <w:t>/</w:t>
            </w:r>
          </w:p>
        </w:tc>
        <w:tc>
          <w:tcPr>
            <w:tcW w:w="1277" w:type="dxa"/>
            <w:noWrap w:val="0"/>
            <w:vAlign w:val="center"/>
          </w:tcPr>
          <w:p w14:paraId="1AA12DA7">
            <w:pPr>
              <w:jc w:val="center"/>
              <w:rPr>
                <w:rFonts w:ascii="宋体" w:hAnsi="宋体"/>
                <w:b/>
                <w:color w:val="auto"/>
                <w:szCs w:val="21"/>
                <w:highlight w:val="none"/>
              </w:rPr>
            </w:pPr>
            <w:r>
              <w:rPr>
                <w:rFonts w:hint="eastAsia" w:ascii="宋体" w:hAnsi="宋体"/>
                <w:color w:val="auto"/>
                <w:szCs w:val="21"/>
                <w:highlight w:val="none"/>
              </w:rPr>
              <w:t>/</w:t>
            </w:r>
          </w:p>
        </w:tc>
        <w:tc>
          <w:tcPr>
            <w:tcW w:w="723" w:type="dxa"/>
            <w:noWrap w:val="0"/>
            <w:vAlign w:val="center"/>
          </w:tcPr>
          <w:p w14:paraId="38A315F6">
            <w:pPr>
              <w:jc w:val="center"/>
              <w:rPr>
                <w:rFonts w:ascii="宋体" w:hAnsi="宋体"/>
                <w:b/>
                <w:color w:val="auto"/>
                <w:szCs w:val="21"/>
                <w:highlight w:val="none"/>
              </w:rPr>
            </w:pPr>
            <w:r>
              <w:rPr>
                <w:rFonts w:hint="eastAsia" w:ascii="宋体" w:hAnsi="宋体"/>
                <w:color w:val="auto"/>
                <w:szCs w:val="21"/>
                <w:highlight w:val="none"/>
              </w:rPr>
              <w:t>/</w:t>
            </w:r>
          </w:p>
        </w:tc>
        <w:tc>
          <w:tcPr>
            <w:tcW w:w="1063" w:type="dxa"/>
            <w:noWrap w:val="0"/>
            <w:vAlign w:val="center"/>
          </w:tcPr>
          <w:p w14:paraId="198D5E7A">
            <w:pPr>
              <w:jc w:val="center"/>
              <w:rPr>
                <w:rFonts w:ascii="宋体" w:hAnsi="宋体"/>
                <w:b/>
                <w:color w:val="auto"/>
                <w:szCs w:val="21"/>
                <w:highlight w:val="none"/>
              </w:rPr>
            </w:pPr>
            <w:r>
              <w:rPr>
                <w:rFonts w:hint="eastAsia" w:ascii="宋体" w:hAnsi="宋体"/>
                <w:color w:val="auto"/>
                <w:szCs w:val="21"/>
                <w:highlight w:val="none"/>
              </w:rPr>
              <w:t>/</w:t>
            </w:r>
          </w:p>
        </w:tc>
        <w:tc>
          <w:tcPr>
            <w:tcW w:w="1437" w:type="dxa"/>
            <w:noWrap w:val="0"/>
            <w:vAlign w:val="center"/>
          </w:tcPr>
          <w:p w14:paraId="2F0C2E36">
            <w:pPr>
              <w:jc w:val="center"/>
              <w:rPr>
                <w:rFonts w:ascii="宋体" w:hAnsi="宋体"/>
                <w:b/>
                <w:color w:val="auto"/>
                <w:szCs w:val="21"/>
                <w:highlight w:val="none"/>
              </w:rPr>
            </w:pPr>
            <w:r>
              <w:rPr>
                <w:rFonts w:hint="eastAsia" w:ascii="宋体" w:hAnsi="宋体"/>
                <w:color w:val="auto"/>
                <w:szCs w:val="21"/>
                <w:highlight w:val="none"/>
              </w:rPr>
              <w:t>/</w:t>
            </w:r>
          </w:p>
        </w:tc>
        <w:tc>
          <w:tcPr>
            <w:tcW w:w="690" w:type="dxa"/>
            <w:noWrap w:val="0"/>
            <w:vAlign w:val="center"/>
          </w:tcPr>
          <w:p w14:paraId="0767AFCB">
            <w:pPr>
              <w:jc w:val="center"/>
              <w:rPr>
                <w:rFonts w:ascii="宋体" w:hAnsi="宋体"/>
                <w:b/>
                <w:color w:val="auto"/>
                <w:szCs w:val="21"/>
                <w:highlight w:val="none"/>
              </w:rPr>
            </w:pPr>
          </w:p>
        </w:tc>
      </w:tr>
    </w:tbl>
    <w:p w14:paraId="284C827C">
      <w:pPr>
        <w:snapToGrid w:val="0"/>
        <w:spacing w:line="360" w:lineRule="auto"/>
        <w:ind w:firstLine="480"/>
        <w:rPr>
          <w:rFonts w:ascii="宋体" w:hAnsi="宋体" w:cs="宋体"/>
          <w:color w:val="auto"/>
          <w:highlight w:val="none"/>
        </w:rPr>
      </w:pPr>
      <w:r>
        <w:rPr>
          <w:rFonts w:hint="eastAsia" w:ascii="宋体" w:hAnsi="宋体" w:cs="宋体"/>
          <w:b/>
          <w:bCs/>
          <w:color w:val="auto"/>
          <w:highlight w:val="none"/>
        </w:rPr>
        <w:t>注　</w:t>
      </w:r>
      <w:r>
        <w:rPr>
          <w:rFonts w:hint="eastAsia" w:ascii="宋体" w:hAnsi="宋体" w:cs="宋体"/>
          <w:color w:val="auto"/>
          <w:highlight w:val="none"/>
        </w:rPr>
        <w:t>设备状况栏内填写该设备的新旧程度、购进时间、已使用小时数和最近一次的大修时间。</w:t>
      </w:r>
    </w:p>
    <w:p w14:paraId="4E13438C">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（2）发包人提供的临时设施：</w:t>
      </w:r>
      <w:r>
        <w:rPr>
          <w:rFonts w:hint="eastAsia" w:ascii="宋体" w:hAnsi="宋体" w:cs="宋体"/>
          <w:color w:val="auto"/>
          <w:highlight w:val="none"/>
          <w:u w:val="single"/>
        </w:rPr>
        <w:t>　　　　/　　　　　</w:t>
      </w:r>
      <w:r>
        <w:rPr>
          <w:rFonts w:hint="eastAsia" w:ascii="宋体" w:hAnsi="宋体" w:cs="宋体"/>
          <w:color w:val="auto"/>
          <w:highlight w:val="none"/>
        </w:rPr>
        <w:t>。</w:t>
      </w:r>
    </w:p>
    <w:p w14:paraId="6B880A99">
      <w:pPr>
        <w:spacing w:before="260" w:after="260" w:line="400" w:lineRule="exact"/>
        <w:outlineLvl w:val="1"/>
        <w:rPr>
          <w:rFonts w:ascii="宋体" w:hAnsi="宋体" w:eastAsia="黑体"/>
          <w:color w:val="auto"/>
          <w:kern w:val="44"/>
          <w:sz w:val="27"/>
          <w:szCs w:val="27"/>
          <w:highlight w:val="none"/>
        </w:rPr>
      </w:pPr>
      <w:bookmarkStart w:id="839" w:name="第04章合同条款及格式0207"/>
      <w:bookmarkEnd w:id="839"/>
      <w:bookmarkStart w:id="840" w:name="_Toc367280744"/>
      <w:bookmarkStart w:id="841" w:name="_Toc483383032"/>
      <w:bookmarkStart w:id="842" w:name="_Toc115179984"/>
      <w:r>
        <w:rPr>
          <w:rFonts w:hint="eastAsia" w:ascii="宋体" w:hAnsi="宋体" w:eastAsia="黑体"/>
          <w:color w:val="auto"/>
          <w:kern w:val="44"/>
          <w:sz w:val="27"/>
          <w:szCs w:val="27"/>
          <w:highlight w:val="none"/>
        </w:rPr>
        <w:t>7　交通运输</w:t>
      </w:r>
      <w:bookmarkEnd w:id="840"/>
      <w:bookmarkEnd w:id="841"/>
      <w:bookmarkEnd w:id="842"/>
    </w:p>
    <w:p w14:paraId="7D036DDC">
      <w:pPr>
        <w:keepNext/>
        <w:keepLines/>
        <w:spacing w:before="260" w:after="260" w:line="416" w:lineRule="auto"/>
        <w:outlineLvl w:val="2"/>
        <w:rPr>
          <w:rFonts w:ascii="宋体" w:hAnsi="宋体"/>
          <w:b/>
          <w:bCs/>
          <w:color w:val="auto"/>
          <w:kern w:val="0"/>
          <w:sz w:val="32"/>
          <w:szCs w:val="32"/>
          <w:highlight w:val="none"/>
        </w:rPr>
      </w:pPr>
      <w:bookmarkStart w:id="843" w:name="_Toc367280745"/>
      <w:bookmarkStart w:id="844" w:name="_Toc115179985"/>
      <w:r>
        <w:rPr>
          <w:rFonts w:ascii="宋体" w:hAnsi="宋体"/>
          <w:b/>
          <w:bCs/>
          <w:color w:val="auto"/>
          <w:kern w:val="0"/>
          <w:sz w:val="32"/>
          <w:szCs w:val="32"/>
          <w:highlight w:val="none"/>
        </w:rPr>
        <w:t>7.1　道路通行权和场外设施</w:t>
      </w:r>
      <w:bookmarkEnd w:id="843"/>
      <w:bookmarkEnd w:id="844"/>
    </w:p>
    <w:p w14:paraId="76A22B13">
      <w:pPr>
        <w:snapToGrid w:val="0"/>
        <w:spacing w:line="360" w:lineRule="auto"/>
        <w:ind w:firstLine="480"/>
        <w:rPr>
          <w:rFonts w:ascii="宋体" w:hAnsi="宋体" w:cs="宋体"/>
          <w:color w:val="auto"/>
          <w:highlight w:val="none"/>
        </w:rPr>
      </w:pPr>
      <w:r>
        <w:rPr>
          <w:rFonts w:hint="eastAsia" w:ascii="宋体" w:hAnsi="宋体" w:cs="宋体"/>
          <w:color w:val="auto"/>
          <w:highlight w:val="none"/>
        </w:rPr>
        <w:t>道路通行权和场外设施的约定：</w:t>
      </w:r>
      <w:r>
        <w:rPr>
          <w:rFonts w:ascii="宋体" w:hAnsi="宋体" w:cs="宋体"/>
          <w:color w:val="auto"/>
          <w:highlight w:val="none"/>
          <w:u w:val="single"/>
        </w:rPr>
        <w:t xml:space="preserve">本合同工程场外交通道路的通行情况、通行能力、标准、距离等均由承包人通过现场考察确定，并对该成果负责，施工过程中不得阻碍水陆交通。同时承包人应负责与当地交通管理、城管、环保及卫生等部门的协调工作，并应承担由此发生的有关一切费用。 </w:t>
      </w:r>
      <w:bookmarkStart w:id="845" w:name="第04章合同条款及格式0208"/>
      <w:bookmarkEnd w:id="845"/>
      <w:bookmarkStart w:id="846" w:name="_Toc367280746"/>
    </w:p>
    <w:p w14:paraId="29313E8E">
      <w:pPr>
        <w:spacing w:before="260" w:after="260" w:line="400" w:lineRule="exact"/>
        <w:outlineLvl w:val="1"/>
        <w:rPr>
          <w:rFonts w:ascii="宋体" w:hAnsi="宋体" w:eastAsia="黑体"/>
          <w:color w:val="auto"/>
          <w:kern w:val="44"/>
          <w:sz w:val="27"/>
          <w:szCs w:val="27"/>
          <w:highlight w:val="none"/>
        </w:rPr>
      </w:pPr>
      <w:bookmarkStart w:id="847" w:name="_Toc115179986"/>
      <w:bookmarkStart w:id="848" w:name="_Toc483383033"/>
      <w:r>
        <w:rPr>
          <w:rFonts w:hint="eastAsia" w:ascii="宋体" w:hAnsi="宋体" w:eastAsia="黑体"/>
          <w:color w:val="auto"/>
          <w:kern w:val="44"/>
          <w:sz w:val="27"/>
          <w:szCs w:val="27"/>
          <w:highlight w:val="none"/>
        </w:rPr>
        <w:t>8　测量放线</w:t>
      </w:r>
      <w:bookmarkEnd w:id="846"/>
      <w:bookmarkEnd w:id="847"/>
      <w:bookmarkEnd w:id="848"/>
    </w:p>
    <w:p w14:paraId="65CF59B0">
      <w:pPr>
        <w:keepNext/>
        <w:keepLines/>
        <w:spacing w:before="260" w:after="260" w:line="416" w:lineRule="auto"/>
        <w:outlineLvl w:val="2"/>
        <w:rPr>
          <w:rFonts w:ascii="宋体" w:hAnsi="宋体"/>
          <w:b/>
          <w:bCs/>
          <w:color w:val="auto"/>
          <w:kern w:val="0"/>
          <w:sz w:val="32"/>
          <w:szCs w:val="32"/>
          <w:highlight w:val="none"/>
        </w:rPr>
      </w:pPr>
      <w:bookmarkStart w:id="849" w:name="_Toc367280747"/>
      <w:bookmarkStart w:id="850" w:name="_Toc115179987"/>
      <w:r>
        <w:rPr>
          <w:rFonts w:ascii="宋体" w:hAnsi="宋体"/>
          <w:b/>
          <w:bCs/>
          <w:color w:val="auto"/>
          <w:kern w:val="0"/>
          <w:sz w:val="32"/>
          <w:szCs w:val="32"/>
          <w:highlight w:val="none"/>
        </w:rPr>
        <w:t>8.1　施工控制网</w:t>
      </w:r>
      <w:bookmarkEnd w:id="849"/>
      <w:bookmarkEnd w:id="850"/>
    </w:p>
    <w:p w14:paraId="685038D9">
      <w:pPr>
        <w:snapToGrid w:val="0"/>
        <w:spacing w:line="360" w:lineRule="auto"/>
        <w:ind w:firstLine="480"/>
        <w:rPr>
          <w:rFonts w:ascii="宋体" w:hAnsi="宋体" w:cs="宋体"/>
          <w:color w:val="auto"/>
          <w:highlight w:val="none"/>
          <w:u w:val="single"/>
        </w:rPr>
      </w:pPr>
      <w:r>
        <w:rPr>
          <w:rFonts w:hint="eastAsia" w:ascii="宋体" w:hAnsi="宋体" w:cs="宋体"/>
          <w:color w:val="auto"/>
          <w:highlight w:val="none"/>
        </w:rPr>
        <w:t>8.1.1　施工控制网的约定：</w:t>
      </w:r>
      <w:r>
        <w:rPr>
          <w:rFonts w:ascii="宋体" w:hAnsi="宋体" w:cs="宋体"/>
          <w:color w:val="auto"/>
          <w:highlight w:val="none"/>
          <w:u w:val="single"/>
        </w:rPr>
        <w:t xml:space="preserve">发包人应在进场后7天内，通过监理人向承包人提供测量基准点、基准线和水准点及其书面资料。承包人应根据国家测绘基准、测绘系统和工程测量技术规范，按上述基准点（线）以及合同工程精度要求，测设施工控制网，并在开工前7天内，将施工控制网资料报送监理人审批。承包人将施工控制网资料报送监理人审批时间为：开工前7天内。 </w:t>
      </w:r>
    </w:p>
    <w:p w14:paraId="2ECC50DE">
      <w:pPr>
        <w:spacing w:before="260" w:after="260" w:line="400" w:lineRule="exact"/>
        <w:outlineLvl w:val="1"/>
        <w:rPr>
          <w:rFonts w:ascii="宋体" w:hAnsi="宋体" w:eastAsia="黑体"/>
          <w:color w:val="auto"/>
          <w:kern w:val="44"/>
          <w:sz w:val="27"/>
          <w:szCs w:val="27"/>
          <w:highlight w:val="none"/>
        </w:rPr>
      </w:pPr>
      <w:bookmarkStart w:id="851" w:name="_Toc483383034"/>
      <w:bookmarkStart w:id="852" w:name="_Toc115179988"/>
      <w:r>
        <w:rPr>
          <w:rFonts w:ascii="宋体" w:hAnsi="宋体" w:eastAsia="黑体"/>
          <w:color w:val="auto"/>
          <w:kern w:val="44"/>
          <w:sz w:val="27"/>
          <w:szCs w:val="27"/>
          <w:highlight w:val="none"/>
        </w:rPr>
        <w:t xml:space="preserve">9. </w:t>
      </w:r>
      <w:r>
        <w:rPr>
          <w:rFonts w:hint="eastAsia" w:ascii="宋体" w:hAnsi="宋体" w:eastAsia="黑体"/>
          <w:color w:val="auto"/>
          <w:kern w:val="44"/>
          <w:sz w:val="27"/>
          <w:szCs w:val="27"/>
          <w:highlight w:val="none"/>
        </w:rPr>
        <w:t>施工安全、治安保卫和环境保护</w:t>
      </w:r>
      <w:bookmarkEnd w:id="831"/>
      <w:bookmarkEnd w:id="832"/>
      <w:bookmarkEnd w:id="851"/>
      <w:bookmarkEnd w:id="852"/>
    </w:p>
    <w:p w14:paraId="5D113652">
      <w:pPr>
        <w:keepNext/>
        <w:keepLines/>
        <w:spacing w:before="260" w:after="260" w:line="416" w:lineRule="auto"/>
        <w:outlineLvl w:val="2"/>
        <w:rPr>
          <w:rFonts w:ascii="宋体" w:hAnsi="宋体"/>
          <w:b/>
          <w:bCs/>
          <w:color w:val="auto"/>
          <w:kern w:val="0"/>
          <w:sz w:val="32"/>
          <w:szCs w:val="32"/>
          <w:highlight w:val="none"/>
        </w:rPr>
      </w:pPr>
      <w:bookmarkStart w:id="853" w:name="_Toc367280749"/>
      <w:bookmarkStart w:id="854" w:name="_Toc115179989"/>
      <w:bookmarkStart w:id="855" w:name="_Toc367280750"/>
      <w:r>
        <w:rPr>
          <w:rFonts w:ascii="宋体" w:hAnsi="宋体"/>
          <w:b/>
          <w:bCs/>
          <w:color w:val="auto"/>
          <w:kern w:val="0"/>
          <w:sz w:val="32"/>
          <w:szCs w:val="32"/>
          <w:highlight w:val="none"/>
        </w:rPr>
        <w:t>9.1　发包人的施工安全责任</w:t>
      </w:r>
      <w:bookmarkEnd w:id="853"/>
      <w:bookmarkEnd w:id="854"/>
    </w:p>
    <w:p w14:paraId="798FC4CE">
      <w:pPr>
        <w:snapToGrid w:val="0"/>
        <w:spacing w:line="360" w:lineRule="auto"/>
        <w:ind w:firstLine="480"/>
        <w:rPr>
          <w:rFonts w:ascii="宋体" w:hAnsi="宋体" w:cs="宋体"/>
          <w:color w:val="auto"/>
          <w:highlight w:val="none"/>
        </w:rPr>
      </w:pPr>
      <w:r>
        <w:rPr>
          <w:rFonts w:hint="eastAsia" w:ascii="宋体" w:hAnsi="宋体" w:cs="宋体"/>
          <w:color w:val="auto"/>
          <w:highlight w:val="none"/>
        </w:rPr>
        <w:t>9.1.4　发包人提供</w:t>
      </w:r>
      <w:r>
        <w:rPr>
          <w:rFonts w:hint="eastAsia" w:ascii="宋体" w:hAnsi="宋体" w:cs="宋体"/>
          <w:color w:val="auto"/>
          <w:highlight w:val="none"/>
          <w:u w:val="single"/>
        </w:rPr>
        <w:t xml:space="preserve">　工程设计 </w:t>
      </w:r>
      <w:r>
        <w:rPr>
          <w:rFonts w:hint="eastAsia" w:ascii="宋体" w:hAnsi="宋体" w:cs="宋体"/>
          <w:color w:val="auto"/>
          <w:highlight w:val="none"/>
        </w:rPr>
        <w:t>资料，</w:t>
      </w:r>
      <w:r>
        <w:rPr>
          <w:rFonts w:ascii="宋体" w:hAnsi="宋体" w:cs="宋体"/>
          <w:color w:val="auto"/>
          <w:highlight w:val="none"/>
          <w:u w:val="single"/>
        </w:rPr>
        <w:t>承包人负责自行收集施工现场及施工可能影响的毗邻区域内供水、排水、供电、供气、供热、通信、广播电视等地下管线资料，气象和水文观测资料，拟建工程可能影响的相邻建筑物地下工程的有关资料，并保证有关资料的真实、准确、完整，满足有关技术规程的要求。</w:t>
      </w:r>
      <w:r>
        <w:rPr>
          <w:rFonts w:ascii="宋体" w:hAnsi="宋体"/>
          <w:color w:val="auto"/>
          <w:highlight w:val="none"/>
        </w:rPr>
        <w:t xml:space="preserve"> </w:t>
      </w:r>
    </w:p>
    <w:p w14:paraId="79176F43">
      <w:pPr>
        <w:keepNext/>
        <w:keepLines/>
        <w:spacing w:before="260" w:after="260" w:line="416" w:lineRule="auto"/>
        <w:outlineLvl w:val="2"/>
        <w:rPr>
          <w:rFonts w:ascii="宋体" w:hAnsi="宋体"/>
          <w:b/>
          <w:bCs/>
          <w:color w:val="auto"/>
          <w:kern w:val="0"/>
          <w:sz w:val="32"/>
          <w:szCs w:val="32"/>
          <w:highlight w:val="none"/>
        </w:rPr>
      </w:pPr>
      <w:bookmarkStart w:id="856" w:name="_Toc115179990"/>
      <w:r>
        <w:rPr>
          <w:rFonts w:ascii="宋体" w:hAnsi="宋体"/>
          <w:b/>
          <w:bCs/>
          <w:color w:val="auto"/>
          <w:kern w:val="0"/>
          <w:sz w:val="32"/>
          <w:szCs w:val="32"/>
          <w:highlight w:val="none"/>
        </w:rPr>
        <w:t>9.2　承包人的施工安全责任</w:t>
      </w:r>
      <w:bookmarkEnd w:id="855"/>
      <w:bookmarkEnd w:id="856"/>
    </w:p>
    <w:p w14:paraId="3BECD004">
      <w:pPr>
        <w:snapToGrid w:val="0"/>
        <w:spacing w:line="360" w:lineRule="auto"/>
        <w:ind w:firstLine="480"/>
        <w:rPr>
          <w:rFonts w:ascii="宋体" w:hAnsi="宋体" w:cs="宋体"/>
          <w:color w:val="auto"/>
          <w:highlight w:val="none"/>
        </w:rPr>
      </w:pPr>
      <w:r>
        <w:rPr>
          <w:rFonts w:hint="eastAsia" w:ascii="宋体" w:hAnsi="宋体" w:cs="宋体"/>
          <w:color w:val="auto"/>
          <w:highlight w:val="none"/>
        </w:rPr>
        <w:t>9.2.1.1承包人应当按照相关法律法规、规范的要求实施安全文明施工，履行《安全生产和文明施工管理协议书》的约定（见附件四）。</w:t>
      </w:r>
    </w:p>
    <w:p w14:paraId="7E65B23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9.2.1.2安全生产和文明施工中的履约保证金管理制度</w:t>
      </w:r>
    </w:p>
    <w:p w14:paraId="2A639888">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承包人违反《安全生产和文明施工管理协议》约定扣款行为的，由发包人直接从履约保证金中扣除。</w:t>
      </w:r>
    </w:p>
    <w:p w14:paraId="737D9E3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9.2.1.3  安全生产责任事故追加扣款</w:t>
      </w:r>
    </w:p>
    <w:p w14:paraId="37F5485E">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对发生安全生产死亡事故的施工承包人，每死亡一人扣款50万元，由发包人直接从履约保证金中扣除，履约保证金不足的，从应支付的工程款扣除。</w:t>
      </w:r>
    </w:p>
    <w:p w14:paraId="162FADD2">
      <w:pPr>
        <w:snapToGrid w:val="0"/>
        <w:spacing w:line="360" w:lineRule="auto"/>
        <w:ind w:firstLine="480"/>
        <w:rPr>
          <w:rFonts w:ascii="宋体" w:hAnsi="宋体" w:cs="宋体"/>
          <w:color w:val="auto"/>
          <w:highlight w:val="none"/>
        </w:rPr>
      </w:pPr>
      <w:r>
        <w:rPr>
          <w:rFonts w:ascii="宋体" w:hAnsi="宋体" w:cs="宋体"/>
          <w:color w:val="auto"/>
          <w:highlight w:val="none"/>
        </w:rPr>
        <w:t>9.2.12　</w:t>
      </w:r>
      <w:r>
        <w:rPr>
          <w:rFonts w:hint="eastAsia" w:ascii="宋体" w:hAnsi="宋体" w:cs="宋体"/>
          <w:color w:val="auto"/>
          <w:highlight w:val="none"/>
          <w:u w:val="single"/>
        </w:rPr>
        <w:t>按</w:t>
      </w:r>
      <w:r>
        <w:rPr>
          <w:rFonts w:ascii="宋体" w:hAnsi="宋体" w:cs="宋体"/>
          <w:color w:val="auto"/>
          <w:highlight w:val="none"/>
          <w:u w:val="single"/>
        </w:rPr>
        <w:t>《危险性较大工程安全专项施工方案编制及专家论证审查办法》</w:t>
      </w:r>
      <w:r>
        <w:rPr>
          <w:rFonts w:hint="eastAsia" w:ascii="宋体" w:hAnsi="宋体" w:cs="宋体"/>
          <w:color w:val="auto"/>
          <w:highlight w:val="none"/>
          <w:u w:val="single"/>
        </w:rPr>
        <w:t>要求。</w:t>
      </w:r>
      <w:r>
        <w:rPr>
          <w:rFonts w:ascii="宋体" w:hAnsi="宋体" w:cs="宋体"/>
          <w:color w:val="auto"/>
          <w:highlight w:val="none"/>
        </w:rPr>
        <w:t>下列工程应编制专项施工方案：</w:t>
      </w:r>
    </w:p>
    <w:p w14:paraId="469587F9">
      <w:pPr>
        <w:numPr>
          <w:ilvl w:val="0"/>
          <w:numId w:val="23"/>
        </w:numPr>
        <w:snapToGrid w:val="0"/>
        <w:spacing w:line="360" w:lineRule="auto"/>
        <w:ind w:firstLine="480"/>
        <w:rPr>
          <w:rFonts w:ascii="宋体" w:hAnsi="宋体" w:cs="宋体"/>
          <w:color w:val="auto"/>
          <w:highlight w:val="none"/>
          <w:u w:val="single"/>
        </w:rPr>
      </w:pPr>
      <w:r>
        <w:rPr>
          <w:rFonts w:ascii="宋体" w:hAnsi="宋体" w:cs="宋体"/>
          <w:color w:val="auto"/>
          <w:highlight w:val="none"/>
          <w:u w:val="single"/>
        </w:rPr>
        <w:t>基坑支护与降水工程</w:t>
      </w:r>
    </w:p>
    <w:p w14:paraId="23C285F6">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基坑支护工程是指开挖深度超过5m（含5m）的基坑（槽）并采用支护结构施工的工程；或基坑虽未超过5m，但地质条件和周围环境复杂、地下水位在坑底以上等工程。</w:t>
      </w:r>
    </w:p>
    <w:p w14:paraId="0308C641">
      <w:pPr>
        <w:numPr>
          <w:ilvl w:val="0"/>
          <w:numId w:val="23"/>
        </w:numPr>
        <w:snapToGrid w:val="0"/>
        <w:spacing w:line="360" w:lineRule="auto"/>
        <w:ind w:firstLine="420"/>
        <w:rPr>
          <w:rFonts w:ascii="宋体" w:hAnsi="宋体" w:cs="宋体"/>
          <w:color w:val="auto"/>
          <w:highlight w:val="none"/>
          <w:u w:val="single"/>
        </w:rPr>
      </w:pPr>
      <w:r>
        <w:rPr>
          <w:rFonts w:ascii="宋体" w:hAnsi="宋体" w:cs="宋体"/>
          <w:color w:val="auto"/>
          <w:highlight w:val="none"/>
          <w:u w:val="single"/>
        </w:rPr>
        <w:t>土方开挖工程</w:t>
      </w:r>
    </w:p>
    <w:p w14:paraId="0CB7A1F1">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土方开挖工程是指开挖深度超过5m（含5m）的基坑、槽的土方开挖。</w:t>
      </w:r>
    </w:p>
    <w:p w14:paraId="6F99E9B5">
      <w:pPr>
        <w:numPr>
          <w:ilvl w:val="0"/>
          <w:numId w:val="23"/>
        </w:numPr>
        <w:snapToGrid w:val="0"/>
        <w:spacing w:line="360" w:lineRule="auto"/>
        <w:ind w:firstLine="420"/>
        <w:rPr>
          <w:rFonts w:ascii="宋体" w:hAnsi="宋体" w:cs="宋体"/>
          <w:color w:val="auto"/>
          <w:highlight w:val="none"/>
          <w:u w:val="single"/>
        </w:rPr>
      </w:pPr>
      <w:r>
        <w:rPr>
          <w:rFonts w:ascii="宋体" w:hAnsi="宋体" w:cs="宋体"/>
          <w:color w:val="auto"/>
          <w:highlight w:val="none"/>
          <w:u w:val="single"/>
        </w:rPr>
        <w:t>模板工程</w:t>
      </w:r>
    </w:p>
    <w:p w14:paraId="2262CEF7">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各类工具式模板工程，包括滑模、爬模、大模板等；水平混凝土构件模板支撑系统及特殊结构模板工程。</w:t>
      </w:r>
    </w:p>
    <w:p w14:paraId="221E2DF1">
      <w:pPr>
        <w:numPr>
          <w:ilvl w:val="0"/>
          <w:numId w:val="23"/>
        </w:numPr>
        <w:snapToGrid w:val="0"/>
        <w:spacing w:line="360" w:lineRule="auto"/>
        <w:ind w:firstLine="420"/>
        <w:rPr>
          <w:rFonts w:ascii="宋体" w:hAnsi="宋体" w:cs="宋体"/>
          <w:color w:val="auto"/>
          <w:highlight w:val="none"/>
          <w:u w:val="single"/>
        </w:rPr>
      </w:pPr>
      <w:r>
        <w:rPr>
          <w:rFonts w:ascii="宋体" w:hAnsi="宋体" w:cs="宋体"/>
          <w:color w:val="auto"/>
          <w:highlight w:val="none"/>
          <w:u w:val="single"/>
        </w:rPr>
        <w:t>起重吊装工程</w:t>
      </w:r>
    </w:p>
    <w:p w14:paraId="1936C2D6">
      <w:pPr>
        <w:numPr>
          <w:ilvl w:val="0"/>
          <w:numId w:val="23"/>
        </w:numPr>
        <w:snapToGrid w:val="0"/>
        <w:spacing w:line="360" w:lineRule="auto"/>
        <w:ind w:firstLine="420"/>
        <w:rPr>
          <w:rFonts w:ascii="宋体" w:hAnsi="宋体" w:cs="宋体"/>
          <w:color w:val="auto"/>
          <w:highlight w:val="none"/>
          <w:u w:val="single"/>
        </w:rPr>
      </w:pPr>
      <w:r>
        <w:rPr>
          <w:rFonts w:ascii="宋体" w:hAnsi="宋体" w:cs="宋体"/>
          <w:color w:val="auto"/>
          <w:highlight w:val="none"/>
          <w:u w:val="single"/>
        </w:rPr>
        <w:t>脚手架工程</w:t>
      </w:r>
    </w:p>
    <w:p w14:paraId="7F08BBA9">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1、高度超过24m的落地式钢管脚手架；</w:t>
      </w:r>
    </w:p>
    <w:p w14:paraId="23800A3F">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2、附着式升降脚手架，包括整体提升与分片式提升；</w:t>
      </w:r>
    </w:p>
    <w:p w14:paraId="4962D3BB">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3、悬挑式脚手架；</w:t>
      </w:r>
    </w:p>
    <w:p w14:paraId="4CC7B840">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4、门型脚手架；</w:t>
      </w:r>
    </w:p>
    <w:p w14:paraId="5639ED36">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5、挂脚手架；</w:t>
      </w:r>
    </w:p>
    <w:p w14:paraId="61263191">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6、吊篮脚手架；</w:t>
      </w:r>
    </w:p>
    <w:p w14:paraId="34E3261C">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7、卸料平台。</w:t>
      </w:r>
    </w:p>
    <w:p w14:paraId="59195348">
      <w:pPr>
        <w:numPr>
          <w:ilvl w:val="0"/>
          <w:numId w:val="23"/>
        </w:numPr>
        <w:snapToGrid w:val="0"/>
        <w:spacing w:line="360" w:lineRule="auto"/>
        <w:ind w:firstLine="480"/>
        <w:rPr>
          <w:rFonts w:ascii="宋体" w:hAnsi="宋体" w:cs="宋体"/>
          <w:color w:val="auto"/>
          <w:highlight w:val="none"/>
          <w:u w:val="single"/>
        </w:rPr>
      </w:pPr>
      <w:r>
        <w:rPr>
          <w:rFonts w:ascii="宋体" w:hAnsi="宋体" w:cs="宋体"/>
          <w:color w:val="auto"/>
          <w:highlight w:val="none"/>
          <w:u w:val="single"/>
        </w:rPr>
        <w:t>拆除、爆破工程</w:t>
      </w:r>
    </w:p>
    <w:p w14:paraId="4A57D296">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采用人工、机械拆除或爆破拆除的工程。</w:t>
      </w:r>
    </w:p>
    <w:p w14:paraId="0FA644D1">
      <w:pPr>
        <w:numPr>
          <w:ilvl w:val="0"/>
          <w:numId w:val="23"/>
        </w:numPr>
        <w:snapToGrid w:val="0"/>
        <w:spacing w:line="360" w:lineRule="auto"/>
        <w:ind w:firstLine="480"/>
        <w:rPr>
          <w:rFonts w:ascii="宋体" w:hAnsi="宋体" w:cs="宋体"/>
          <w:color w:val="auto"/>
          <w:highlight w:val="none"/>
          <w:u w:val="single"/>
        </w:rPr>
      </w:pPr>
      <w:r>
        <w:rPr>
          <w:rFonts w:ascii="宋体" w:hAnsi="宋体" w:cs="宋体"/>
          <w:color w:val="auto"/>
          <w:highlight w:val="none"/>
          <w:u w:val="single"/>
        </w:rPr>
        <w:t>其他危险性较大的工程</w:t>
      </w:r>
    </w:p>
    <w:p w14:paraId="0595B43C">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1、建筑幕墙的安装施工；</w:t>
      </w:r>
    </w:p>
    <w:p w14:paraId="3D3DFF2B">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2、预应力结构张拉施工；</w:t>
      </w:r>
    </w:p>
    <w:p w14:paraId="6CFFC2FF">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3、隧道工程施工；</w:t>
      </w:r>
    </w:p>
    <w:p w14:paraId="6D1EC985">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4、桥梁工程施工（含架桥）；</w:t>
      </w:r>
    </w:p>
    <w:p w14:paraId="622ECE3E">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5、特种设备施工；</w:t>
      </w:r>
    </w:p>
    <w:p w14:paraId="3746E77F">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6、网架和索膜结构施工；</w:t>
      </w:r>
    </w:p>
    <w:p w14:paraId="11A5EC5E">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7、6m以上的边坡施工；</w:t>
      </w:r>
    </w:p>
    <w:p w14:paraId="583EB4CB">
      <w:pPr>
        <w:snapToGrid w:val="0"/>
        <w:spacing w:line="360" w:lineRule="auto"/>
        <w:ind w:firstLine="420" w:firstLineChars="200"/>
        <w:rPr>
          <w:rFonts w:ascii="宋体" w:hAnsi="宋体" w:cs="宋体"/>
          <w:color w:val="auto"/>
          <w:highlight w:val="none"/>
          <w:u w:val="single"/>
        </w:rPr>
      </w:pPr>
      <w:r>
        <w:rPr>
          <w:rFonts w:hint="eastAsia" w:ascii="宋体" w:hAnsi="宋体" w:cs="宋体"/>
          <w:color w:val="auto"/>
          <w:highlight w:val="none"/>
          <w:u w:val="single"/>
        </w:rPr>
        <w:t>8、</w:t>
      </w:r>
      <w:r>
        <w:rPr>
          <w:rFonts w:ascii="宋体" w:hAnsi="宋体" w:cs="宋体"/>
          <w:color w:val="auto"/>
          <w:highlight w:val="none"/>
          <w:u w:val="single"/>
        </w:rPr>
        <w:t>大江、大河的导流、截流施工；</w:t>
      </w:r>
    </w:p>
    <w:p w14:paraId="6F7E5AE2">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9、港口工程、航道工程；</w:t>
      </w:r>
    </w:p>
    <w:p w14:paraId="20217D77">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10、采用新技术、新工艺、新材料，可能影响建设工程质量安全，已经行政许可，尚无技术标准的施工。</w:t>
      </w:r>
    </w:p>
    <w:p w14:paraId="389F4DFF">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安全专项施工方案编制审核</w:t>
      </w:r>
      <w:r>
        <w:rPr>
          <w:rFonts w:hint="eastAsia" w:ascii="宋体" w:hAnsi="宋体" w:cs="宋体"/>
          <w:color w:val="auto"/>
          <w:highlight w:val="none"/>
          <w:u w:val="single"/>
        </w:rPr>
        <w:t>：</w:t>
      </w:r>
      <w:r>
        <w:rPr>
          <w:rFonts w:ascii="宋体" w:hAnsi="宋体" w:cs="宋体"/>
          <w:color w:val="auto"/>
          <w:highlight w:val="none"/>
          <w:u w:val="single"/>
        </w:rPr>
        <w:t>建筑施工企业专业工程技术人员编制的安全专项施工方案，由施工企业技术部门的专业技术人员及监理单位专业监理工程师进行审核，审核合格，由施工企业技术负责人、监理单位总监理工程师签字。</w:t>
      </w:r>
    </w:p>
    <w:p w14:paraId="014468EA">
      <w:pPr>
        <w:snapToGrid w:val="0"/>
        <w:spacing w:line="360" w:lineRule="auto"/>
        <w:ind w:firstLine="480"/>
        <w:rPr>
          <w:rFonts w:ascii="宋体" w:hAnsi="宋体" w:cs="宋体"/>
          <w:color w:val="auto"/>
          <w:highlight w:val="none"/>
        </w:rPr>
      </w:pPr>
      <w:r>
        <w:rPr>
          <w:rFonts w:ascii="宋体" w:hAnsi="宋体" w:cs="宋体"/>
          <w:color w:val="auto"/>
          <w:highlight w:val="none"/>
        </w:rPr>
        <w:t>其中建筑施工企业应当组织专家组进行论证审查的工程</w:t>
      </w:r>
      <w:r>
        <w:rPr>
          <w:rFonts w:hint="eastAsia" w:ascii="宋体" w:hAnsi="宋体" w:cs="宋体"/>
          <w:color w:val="auto"/>
          <w:highlight w:val="none"/>
        </w:rPr>
        <w:t>：</w:t>
      </w:r>
    </w:p>
    <w:p w14:paraId="697F8BE7">
      <w:pPr>
        <w:numPr>
          <w:ilvl w:val="0"/>
          <w:numId w:val="24"/>
        </w:numPr>
        <w:snapToGrid w:val="0"/>
        <w:spacing w:line="360" w:lineRule="auto"/>
        <w:ind w:firstLine="420" w:firstLineChars="200"/>
        <w:rPr>
          <w:rFonts w:ascii="宋体" w:hAnsi="宋体"/>
          <w:color w:val="auto"/>
          <w:highlight w:val="none"/>
          <w:u w:val="single"/>
          <w:shd w:val="clear" w:color="auto" w:fill="FFFFFF"/>
        </w:rPr>
      </w:pPr>
      <w:r>
        <w:rPr>
          <w:rFonts w:ascii="宋体" w:hAnsi="宋体"/>
          <w:color w:val="auto"/>
          <w:highlight w:val="none"/>
          <w:u w:val="single"/>
          <w:shd w:val="clear" w:color="auto" w:fill="FFFFFF"/>
        </w:rPr>
        <w:t>深基坑工程</w:t>
      </w:r>
    </w:p>
    <w:p w14:paraId="3CA3E7E7">
      <w:pPr>
        <w:snapToGrid w:val="0"/>
        <w:spacing w:line="360" w:lineRule="auto"/>
        <w:rPr>
          <w:rFonts w:ascii="宋体" w:hAnsi="宋体"/>
          <w:color w:val="auto"/>
          <w:highlight w:val="none"/>
          <w:u w:val="single"/>
          <w:shd w:val="clear" w:color="auto" w:fill="FFFFFF"/>
        </w:rPr>
      </w:pPr>
      <w:r>
        <w:rPr>
          <w:rFonts w:hint="eastAsia" w:ascii="宋体" w:hAnsi="宋体"/>
          <w:color w:val="auto"/>
          <w:highlight w:val="none"/>
          <w:u w:val="single"/>
          <w:shd w:val="clear" w:color="auto" w:fill="FFFFFF"/>
        </w:rPr>
        <w:t xml:space="preserve">    </w:t>
      </w:r>
      <w:r>
        <w:rPr>
          <w:rFonts w:ascii="宋体" w:hAnsi="宋体"/>
          <w:color w:val="auto"/>
          <w:highlight w:val="none"/>
          <w:u w:val="single"/>
          <w:shd w:val="clear" w:color="auto" w:fill="FFFFFF"/>
        </w:rPr>
        <w:t>开挖深度超过5m（含5m）或地下室三层以上（含三层），或深度虽未超过5m（含5m），但地质条件和周围环境及地下管线极其复杂的工程。</w:t>
      </w:r>
    </w:p>
    <w:p w14:paraId="520BE404">
      <w:pPr>
        <w:numPr>
          <w:ilvl w:val="0"/>
          <w:numId w:val="24"/>
        </w:numPr>
        <w:snapToGrid w:val="0"/>
        <w:spacing w:line="360" w:lineRule="auto"/>
        <w:ind w:firstLine="420" w:firstLineChars="200"/>
        <w:rPr>
          <w:rFonts w:ascii="宋体" w:hAnsi="宋体" w:cs="宋体"/>
          <w:color w:val="auto"/>
          <w:highlight w:val="none"/>
          <w:u w:val="single"/>
        </w:rPr>
      </w:pPr>
      <w:r>
        <w:rPr>
          <w:rFonts w:ascii="宋体" w:hAnsi="宋体"/>
          <w:color w:val="auto"/>
          <w:highlight w:val="none"/>
          <w:u w:val="single"/>
          <w:shd w:val="clear" w:color="auto" w:fill="FFFFFF"/>
        </w:rPr>
        <w:t>地下暗挖工程</w:t>
      </w:r>
    </w:p>
    <w:p w14:paraId="2A133538">
      <w:pPr>
        <w:snapToGrid w:val="0"/>
        <w:spacing w:line="360" w:lineRule="auto"/>
        <w:rPr>
          <w:rFonts w:ascii="宋体" w:hAnsi="宋体" w:cs="宋体"/>
          <w:color w:val="auto"/>
          <w:highlight w:val="none"/>
          <w:u w:val="single"/>
        </w:rPr>
      </w:pPr>
      <w:r>
        <w:rPr>
          <w:rFonts w:hint="eastAsia" w:ascii="宋体" w:hAnsi="宋体"/>
          <w:color w:val="auto"/>
          <w:highlight w:val="none"/>
          <w:u w:val="single"/>
          <w:shd w:val="clear" w:color="auto" w:fill="FFFFFF"/>
        </w:rPr>
        <w:t xml:space="preserve">    </w:t>
      </w:r>
      <w:r>
        <w:rPr>
          <w:rFonts w:ascii="宋体" w:hAnsi="宋体"/>
          <w:color w:val="auto"/>
          <w:highlight w:val="none"/>
          <w:u w:val="single"/>
          <w:shd w:val="clear" w:color="auto" w:fill="FFFFFF"/>
        </w:rPr>
        <w:t>地下暗挖及遇有溶洞、暗河、瓦斯、岩爆、涌泥、断层等地质复杂的隧道工程。</w:t>
      </w:r>
    </w:p>
    <w:p w14:paraId="3A3C1ACC">
      <w:pPr>
        <w:numPr>
          <w:ilvl w:val="0"/>
          <w:numId w:val="24"/>
        </w:numPr>
        <w:snapToGrid w:val="0"/>
        <w:spacing w:line="360" w:lineRule="auto"/>
        <w:ind w:firstLine="420" w:firstLineChars="200"/>
        <w:rPr>
          <w:rFonts w:ascii="宋体" w:hAnsi="宋体" w:cs="宋体"/>
          <w:color w:val="auto"/>
          <w:highlight w:val="none"/>
          <w:u w:val="single"/>
        </w:rPr>
      </w:pPr>
      <w:r>
        <w:rPr>
          <w:rFonts w:ascii="宋体" w:hAnsi="宋体"/>
          <w:color w:val="auto"/>
          <w:highlight w:val="none"/>
          <w:u w:val="single"/>
          <w:shd w:val="clear" w:color="auto" w:fill="FFFFFF"/>
        </w:rPr>
        <w:t>高大模板工程</w:t>
      </w:r>
    </w:p>
    <w:p w14:paraId="267A1FBC">
      <w:pPr>
        <w:snapToGrid w:val="0"/>
        <w:spacing w:line="360" w:lineRule="auto"/>
        <w:rPr>
          <w:rFonts w:ascii="宋体" w:hAnsi="宋体" w:cs="宋体"/>
          <w:color w:val="auto"/>
          <w:highlight w:val="none"/>
          <w:u w:val="single"/>
        </w:rPr>
      </w:pPr>
      <w:r>
        <w:rPr>
          <w:rFonts w:hint="eastAsia" w:ascii="宋体" w:hAnsi="宋体"/>
          <w:color w:val="auto"/>
          <w:highlight w:val="none"/>
          <w:u w:val="single"/>
          <w:shd w:val="clear" w:color="auto" w:fill="FFFFFF"/>
        </w:rPr>
        <w:t xml:space="preserve">    </w:t>
      </w:r>
      <w:r>
        <w:rPr>
          <w:rFonts w:ascii="宋体" w:hAnsi="宋体"/>
          <w:color w:val="auto"/>
          <w:highlight w:val="none"/>
          <w:u w:val="single"/>
          <w:shd w:val="clear" w:color="auto" w:fill="FFFFFF"/>
        </w:rPr>
        <w:t>水平混凝土构件模板支撑系统高度超过8m，或跨度超过18m，施工总荷载大于10kN/m2，或集中线荷载大于15kN/m的模板支撑系统。</w:t>
      </w:r>
    </w:p>
    <w:p w14:paraId="795B35DD">
      <w:pPr>
        <w:numPr>
          <w:ilvl w:val="0"/>
          <w:numId w:val="24"/>
        </w:numPr>
        <w:snapToGrid w:val="0"/>
        <w:spacing w:line="360" w:lineRule="auto"/>
        <w:ind w:firstLine="420" w:firstLineChars="200"/>
        <w:rPr>
          <w:rFonts w:ascii="宋体" w:hAnsi="宋体" w:cs="宋体"/>
          <w:color w:val="auto"/>
          <w:highlight w:val="none"/>
          <w:u w:val="single"/>
        </w:rPr>
      </w:pPr>
      <w:r>
        <w:rPr>
          <w:rFonts w:ascii="宋体" w:hAnsi="宋体"/>
          <w:color w:val="auto"/>
          <w:highlight w:val="none"/>
          <w:u w:val="single"/>
          <w:shd w:val="clear" w:color="auto" w:fill="FFFFFF"/>
        </w:rPr>
        <w:t>30m及以上高空作业的工程</w:t>
      </w:r>
    </w:p>
    <w:p w14:paraId="5FEE7AE7">
      <w:pPr>
        <w:numPr>
          <w:ilvl w:val="0"/>
          <w:numId w:val="24"/>
        </w:numPr>
        <w:snapToGrid w:val="0"/>
        <w:spacing w:line="360" w:lineRule="auto"/>
        <w:ind w:firstLine="420" w:firstLineChars="200"/>
        <w:rPr>
          <w:rFonts w:ascii="宋体" w:hAnsi="宋体" w:cs="宋体"/>
          <w:color w:val="auto"/>
          <w:highlight w:val="none"/>
          <w:u w:val="single"/>
        </w:rPr>
      </w:pPr>
      <w:r>
        <w:rPr>
          <w:rFonts w:ascii="宋体" w:hAnsi="宋体"/>
          <w:color w:val="auto"/>
          <w:highlight w:val="none"/>
          <w:u w:val="single"/>
          <w:shd w:val="clear" w:color="auto" w:fill="FFFFFF"/>
        </w:rPr>
        <w:t xml:space="preserve">大江、大河中深水作业的工程 </w:t>
      </w:r>
    </w:p>
    <w:p w14:paraId="2EE84A3D">
      <w:pPr>
        <w:numPr>
          <w:ilvl w:val="0"/>
          <w:numId w:val="24"/>
        </w:numPr>
        <w:snapToGrid w:val="0"/>
        <w:spacing w:line="360" w:lineRule="auto"/>
        <w:ind w:firstLine="420" w:firstLineChars="200"/>
        <w:rPr>
          <w:rFonts w:ascii="宋体" w:hAnsi="宋体" w:cs="宋体"/>
          <w:color w:val="auto"/>
          <w:highlight w:val="none"/>
          <w:u w:val="single"/>
        </w:rPr>
      </w:pPr>
      <w:r>
        <w:rPr>
          <w:rFonts w:ascii="宋体" w:hAnsi="宋体"/>
          <w:color w:val="auto"/>
          <w:highlight w:val="none"/>
          <w:u w:val="single"/>
          <w:shd w:val="clear" w:color="auto" w:fill="FFFFFF"/>
        </w:rPr>
        <w:t>城市房屋拆除爆破和其他土石大爆破工程</w:t>
      </w:r>
    </w:p>
    <w:p w14:paraId="19AB80A1">
      <w:pPr>
        <w:snapToGrid w:val="0"/>
        <w:spacing w:line="360" w:lineRule="auto"/>
        <w:ind w:firstLine="480"/>
        <w:rPr>
          <w:rFonts w:ascii="宋体" w:hAnsi="宋体" w:cs="宋体"/>
          <w:color w:val="auto"/>
          <w:highlight w:val="none"/>
          <w:u w:val="single"/>
        </w:rPr>
      </w:pPr>
      <w:r>
        <w:rPr>
          <w:rFonts w:hint="eastAsia" w:ascii="宋体" w:hAnsi="宋体"/>
          <w:color w:val="auto"/>
          <w:highlight w:val="none"/>
          <w:u w:val="single"/>
          <w:shd w:val="clear" w:color="auto" w:fill="FFFFFF"/>
        </w:rPr>
        <w:t xml:space="preserve"> </w:t>
      </w:r>
      <w:r>
        <w:rPr>
          <w:rFonts w:ascii="宋体" w:hAnsi="宋体"/>
          <w:color w:val="auto"/>
          <w:highlight w:val="none"/>
          <w:u w:val="single"/>
          <w:shd w:val="clear" w:color="auto" w:fill="FFFFFF"/>
        </w:rPr>
        <w:t>专家论证审查</w:t>
      </w:r>
      <w:r>
        <w:rPr>
          <w:rFonts w:hint="eastAsia" w:ascii="宋体" w:hAnsi="宋体"/>
          <w:color w:val="auto"/>
          <w:highlight w:val="none"/>
          <w:u w:val="single"/>
          <w:shd w:val="clear" w:color="auto" w:fill="FFFFFF"/>
        </w:rPr>
        <w:t>：</w:t>
      </w:r>
      <w:r>
        <w:rPr>
          <w:rFonts w:ascii="宋体" w:hAnsi="宋体"/>
          <w:color w:val="auto"/>
          <w:highlight w:val="none"/>
          <w:u w:val="single"/>
          <w:shd w:val="clear" w:color="auto" w:fill="FFFFFF"/>
        </w:rPr>
        <w:t>（一）建筑施工企业应当组织不少于5人的专家组，对已编制的安全专项施工方案进行论证审查。（二）安全专项施工方案专家组必须提出书面论证审查报告，施工企业应根据论证审查报告进行完善，施工企业技术负责人、总监理工程师签字后，方可实施。（三）专家组书面论证审查报告应作为安全专项施工方案的附件，在实施过程中，施工企业应严格按照安全专项方案组织施工。</w:t>
      </w:r>
    </w:p>
    <w:p w14:paraId="2A5A92E6">
      <w:pPr>
        <w:keepNext/>
        <w:keepLines/>
        <w:spacing w:before="260" w:after="260" w:line="416" w:lineRule="auto"/>
        <w:outlineLvl w:val="2"/>
        <w:rPr>
          <w:rFonts w:ascii="宋体" w:hAnsi="宋体"/>
          <w:b/>
          <w:bCs/>
          <w:color w:val="auto"/>
          <w:kern w:val="0"/>
          <w:sz w:val="32"/>
          <w:szCs w:val="32"/>
          <w:highlight w:val="none"/>
        </w:rPr>
      </w:pPr>
      <w:bookmarkStart w:id="857" w:name="_Toc115179991"/>
      <w:r>
        <w:rPr>
          <w:rFonts w:hint="eastAsia" w:ascii="宋体" w:hAnsi="宋体"/>
          <w:b/>
          <w:bCs/>
          <w:color w:val="auto"/>
          <w:kern w:val="0"/>
          <w:sz w:val="32"/>
          <w:szCs w:val="32"/>
          <w:highlight w:val="none"/>
        </w:rPr>
        <w:t>9.7文明工地</w:t>
      </w:r>
      <w:bookmarkEnd w:id="857"/>
    </w:p>
    <w:p w14:paraId="35848649">
      <w:pPr>
        <w:spacing w:line="400" w:lineRule="exact"/>
        <w:ind w:right="248" w:firstLine="480"/>
        <w:rPr>
          <w:rFonts w:ascii="宋体" w:hAnsi="宋体"/>
          <w:color w:val="auto"/>
          <w:szCs w:val="21"/>
          <w:highlight w:val="none"/>
        </w:rPr>
      </w:pPr>
      <w:r>
        <w:rPr>
          <w:rFonts w:hint="eastAsia" w:ascii="宋体" w:hAnsi="宋体"/>
          <w:color w:val="auto"/>
          <w:szCs w:val="21"/>
          <w:highlight w:val="none"/>
        </w:rPr>
        <w:t>补充：</w:t>
      </w:r>
    </w:p>
    <w:p w14:paraId="6E0DAA0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9.7.3 （1）承包人必须在施工组织设计中专章编制文明施工措施，将投标时承诺的文明施工措施落实到位。</w:t>
      </w:r>
    </w:p>
    <w:p w14:paraId="5CED2888">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（2）承包人按广州市水务局穗水建设[2008]137号《转发市建委关于修订并重新印发“广州市建设工程现场文明施工管理办法”的通知》执行，其费用已包含在合同总价中，结算时不作调整。</w:t>
      </w:r>
    </w:p>
    <w:p w14:paraId="67FDE7F4">
      <w:pPr>
        <w:snapToGrid w:val="0"/>
        <w:spacing w:line="360" w:lineRule="auto"/>
        <w:ind w:firstLine="480"/>
        <w:rPr>
          <w:rFonts w:ascii="宋体" w:hAnsi="宋体" w:cs="宋体"/>
          <w:color w:val="auto"/>
          <w:highlight w:val="none"/>
        </w:rPr>
      </w:pPr>
      <w:r>
        <w:rPr>
          <w:rFonts w:hint="eastAsia" w:ascii="宋体" w:hAnsi="宋体" w:cs="宋体"/>
          <w:color w:val="auto"/>
          <w:highlight w:val="none"/>
        </w:rPr>
        <w:t>9.7.4  承包人应在进入现场前提交一式四份施工期间的环境保护方案，经监理工程师批准后实施。环境保护方案必须包括：施工现场所必须的照明灯光、护板、围护、栅栏、警告标志和值班人员名单，以及建筑垃圾、施工和生活污水、噪音、粉尘的处理排放。方案在实施过程中所采用的材料、设备等应使监理工程师和发包人满意。</w:t>
      </w:r>
    </w:p>
    <w:p w14:paraId="45592997">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对于承包人施工过程中造成的环境污染问题，经发包人或者监理工程师指出后，承包人未能在24小时之内采取整治措施，或者所采取的整治措施未有效消除污染的，发包人可以自行或者委托他人代为整治，由此所产生的一切损失、费用均由承包人承担。</w:t>
      </w:r>
    </w:p>
    <w:p w14:paraId="154A3A5D">
      <w:pPr>
        <w:spacing w:before="260" w:after="260" w:line="400" w:lineRule="exact"/>
        <w:outlineLvl w:val="1"/>
        <w:rPr>
          <w:rFonts w:ascii="宋体" w:hAnsi="宋体" w:eastAsia="黑体"/>
          <w:color w:val="auto"/>
          <w:kern w:val="44"/>
          <w:sz w:val="27"/>
          <w:szCs w:val="27"/>
          <w:highlight w:val="none"/>
        </w:rPr>
      </w:pPr>
      <w:bookmarkStart w:id="858" w:name="_Toc26238"/>
      <w:bookmarkStart w:id="859" w:name="_Toc115179992"/>
      <w:bookmarkStart w:id="860" w:name="_Toc483383035"/>
      <w:bookmarkStart w:id="861" w:name="_Toc32005"/>
      <w:r>
        <w:rPr>
          <w:rFonts w:hint="eastAsia" w:ascii="宋体" w:hAnsi="宋体" w:eastAsia="黑体"/>
          <w:color w:val="auto"/>
          <w:kern w:val="44"/>
          <w:sz w:val="27"/>
          <w:szCs w:val="27"/>
          <w:highlight w:val="none"/>
        </w:rPr>
        <w:t>11  开工和竣工（完工）</w:t>
      </w:r>
      <w:bookmarkEnd w:id="858"/>
      <w:bookmarkEnd w:id="859"/>
      <w:bookmarkEnd w:id="860"/>
      <w:bookmarkEnd w:id="861"/>
    </w:p>
    <w:p w14:paraId="6BDCC5C1">
      <w:pPr>
        <w:keepNext/>
        <w:keepLines/>
        <w:spacing w:before="260" w:after="260" w:line="416" w:lineRule="auto"/>
        <w:outlineLvl w:val="2"/>
        <w:rPr>
          <w:rFonts w:ascii="宋体" w:hAnsi="宋体"/>
          <w:b/>
          <w:bCs/>
          <w:color w:val="auto"/>
          <w:kern w:val="0"/>
          <w:sz w:val="32"/>
          <w:szCs w:val="32"/>
          <w:highlight w:val="none"/>
        </w:rPr>
      </w:pPr>
      <w:bookmarkStart w:id="862" w:name="_Toc115179993"/>
      <w:r>
        <w:rPr>
          <w:rFonts w:hint="eastAsia" w:ascii="宋体" w:hAnsi="宋体"/>
          <w:b/>
          <w:bCs/>
          <w:color w:val="auto"/>
          <w:kern w:val="0"/>
          <w:sz w:val="32"/>
          <w:szCs w:val="32"/>
          <w:highlight w:val="none"/>
        </w:rPr>
        <w:t>11.1开工</w:t>
      </w:r>
      <w:bookmarkEnd w:id="862"/>
    </w:p>
    <w:p w14:paraId="0268BE4F">
      <w:pPr>
        <w:snapToGrid w:val="0"/>
        <w:spacing w:line="360" w:lineRule="auto"/>
        <w:ind w:firstLine="480"/>
        <w:rPr>
          <w:rFonts w:ascii="宋体" w:hAnsi="宋体" w:cs="宋体"/>
          <w:color w:val="auto"/>
          <w:highlight w:val="none"/>
          <w:u w:val="single"/>
        </w:rPr>
      </w:pPr>
      <w:r>
        <w:rPr>
          <w:rFonts w:hint="eastAsia" w:ascii="宋体" w:hAnsi="宋体" w:cs="宋体"/>
          <w:color w:val="auto"/>
          <w:highlight w:val="none"/>
        </w:rPr>
        <w:t>11.1.5  关键节点工期要求：</w:t>
      </w:r>
      <w:r>
        <w:rPr>
          <w:rFonts w:hint="eastAsia" w:ascii="宋体" w:hAnsi="宋体" w:cs="宋体"/>
          <w:color w:val="auto"/>
          <w:highlight w:val="none"/>
          <w:u w:val="single"/>
        </w:rPr>
        <w:t xml:space="preserve">                      。</w:t>
      </w:r>
    </w:p>
    <w:p w14:paraId="78E8E8C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11.1.6  承包人必须采取一切有效措施保证完工日期，不得延误。除非发生了以下情形：</w:t>
      </w:r>
    </w:p>
    <w:p w14:paraId="1FC294E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（1）政府对本工程建设项目作出停建、缓建的决定；</w:t>
      </w:r>
    </w:p>
    <w:p w14:paraId="55A2532F">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（2）重大设计变更导致本工程在规划、使用、功能方面有重大调整；</w:t>
      </w:r>
    </w:p>
    <w:p w14:paraId="7BC39D92">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（3）不可抗力持续影响而延误工期超过20天以上。</w:t>
      </w:r>
    </w:p>
    <w:p w14:paraId="5B5A271E">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11.1.7承包人延误进点：承包人必须在收到开工通知书的 7 日内进入施工场地，做好施工准备工作，尽快开工。在工程已具备开工条件，但因承包人自身的原因（包括但不限于项目负责人及现场管理机构尚未到位）而无法实际开工的，经发包人书面同意，总监理工程师可以签发开工令，工期开始正式计算，但现场不允许开工；再由总监理工程师发出停工令，待承包人准备妥当后才批准复工。由此产生的工期延误等损失由承包人承担，并按照约定承担违约责任。</w:t>
      </w:r>
    </w:p>
    <w:p w14:paraId="2E4C03F6">
      <w:pPr>
        <w:keepNext/>
        <w:keepLines/>
        <w:spacing w:before="260" w:after="260" w:line="416" w:lineRule="auto"/>
        <w:outlineLvl w:val="2"/>
        <w:rPr>
          <w:rFonts w:ascii="宋体" w:hAnsi="宋体"/>
          <w:b/>
          <w:bCs/>
          <w:color w:val="auto"/>
          <w:kern w:val="0"/>
          <w:sz w:val="32"/>
          <w:szCs w:val="32"/>
          <w:highlight w:val="none"/>
        </w:rPr>
      </w:pPr>
      <w:bookmarkStart w:id="863" w:name="_Toc115179994"/>
      <w:r>
        <w:rPr>
          <w:rFonts w:hint="eastAsia" w:ascii="宋体" w:hAnsi="宋体"/>
          <w:b/>
          <w:bCs/>
          <w:color w:val="auto"/>
          <w:kern w:val="0"/>
          <w:sz w:val="32"/>
          <w:szCs w:val="32"/>
          <w:highlight w:val="none"/>
        </w:rPr>
        <w:t>11.4  异常恶劣的气候条件</w:t>
      </w:r>
      <w:bookmarkEnd w:id="863"/>
      <w:r>
        <w:rPr>
          <w:rFonts w:hint="eastAsia" w:ascii="宋体" w:hAnsi="宋体"/>
          <w:b/>
          <w:bCs/>
          <w:color w:val="auto"/>
          <w:kern w:val="0"/>
          <w:sz w:val="32"/>
          <w:szCs w:val="32"/>
          <w:highlight w:val="none"/>
        </w:rPr>
        <w:t xml:space="preserve"> </w:t>
      </w:r>
    </w:p>
    <w:p w14:paraId="7D1B7443">
      <w:pPr>
        <w:spacing w:line="400" w:lineRule="exact"/>
        <w:ind w:right="248" w:firstLine="480"/>
        <w:rPr>
          <w:rFonts w:ascii="宋体" w:hAnsi="宋体"/>
          <w:color w:val="auto"/>
          <w:highlight w:val="none"/>
        </w:rPr>
      </w:pPr>
      <w:r>
        <w:rPr>
          <w:rFonts w:hint="eastAsia" w:ascii="宋体" w:hAnsi="宋体"/>
          <w:color w:val="auto"/>
          <w:highlight w:val="none"/>
        </w:rPr>
        <w:t>11.4.3  本合同工程界定异常恶劣气候条件的范围为：</w:t>
      </w:r>
    </w:p>
    <w:p w14:paraId="474C0E42">
      <w:pPr>
        <w:spacing w:line="400" w:lineRule="exact"/>
        <w:ind w:right="248" w:firstLine="480"/>
        <w:rPr>
          <w:rFonts w:ascii="宋体" w:hAnsi="宋体"/>
          <w:color w:val="auto"/>
          <w:highlight w:val="none"/>
        </w:rPr>
      </w:pPr>
      <w:r>
        <w:rPr>
          <w:rFonts w:hint="eastAsia" w:ascii="宋体" w:hAnsi="宋体"/>
          <w:color w:val="auto"/>
          <w:highlight w:val="none"/>
        </w:rPr>
        <w:t>（1）日降雨量大于 100 ㎜的雨日超过 3 天；</w:t>
      </w:r>
    </w:p>
    <w:p w14:paraId="25F9E873">
      <w:pPr>
        <w:spacing w:line="400" w:lineRule="exact"/>
        <w:ind w:right="248" w:firstLine="480"/>
        <w:rPr>
          <w:rFonts w:ascii="宋体" w:hAnsi="宋体"/>
          <w:color w:val="auto"/>
          <w:highlight w:val="none"/>
        </w:rPr>
      </w:pPr>
      <w:r>
        <w:rPr>
          <w:rFonts w:hint="eastAsia" w:ascii="宋体" w:hAnsi="宋体"/>
          <w:color w:val="auto"/>
          <w:highlight w:val="none"/>
        </w:rPr>
        <w:t xml:space="preserve">（2）风速大于 </w:t>
      </w:r>
      <w:r>
        <w:rPr>
          <w:rFonts w:ascii="宋体" w:hAnsi="宋体"/>
          <w:color w:val="auto"/>
          <w:highlight w:val="none"/>
        </w:rPr>
        <w:t>24.5 m/s</w:t>
      </w:r>
      <w:r>
        <w:rPr>
          <w:rFonts w:hint="eastAsia" w:ascii="宋体" w:hAnsi="宋体"/>
          <w:color w:val="auto"/>
          <w:highlight w:val="none"/>
        </w:rPr>
        <w:t>的 10级以上台风灾害；</w:t>
      </w:r>
    </w:p>
    <w:p w14:paraId="11AEBB57">
      <w:pPr>
        <w:spacing w:line="400" w:lineRule="exact"/>
        <w:ind w:right="248" w:firstLine="480"/>
        <w:rPr>
          <w:rFonts w:ascii="宋体" w:hAnsi="宋体"/>
          <w:color w:val="auto"/>
          <w:highlight w:val="none"/>
        </w:rPr>
      </w:pPr>
      <w:r>
        <w:rPr>
          <w:rFonts w:hint="eastAsia" w:ascii="宋体" w:hAnsi="宋体"/>
          <w:color w:val="auto"/>
          <w:highlight w:val="none"/>
        </w:rPr>
        <w:t>（3）日气温超过 38 ℃的高温大于 3 天；</w:t>
      </w:r>
    </w:p>
    <w:p w14:paraId="07EFA654">
      <w:pPr>
        <w:spacing w:line="400" w:lineRule="exact"/>
        <w:ind w:right="248" w:firstLine="480"/>
        <w:rPr>
          <w:rFonts w:ascii="宋体" w:hAnsi="宋体"/>
          <w:color w:val="auto"/>
          <w:highlight w:val="none"/>
        </w:rPr>
      </w:pPr>
      <w:r>
        <w:rPr>
          <w:rFonts w:hint="eastAsia" w:ascii="宋体" w:hAnsi="宋体"/>
          <w:color w:val="auto"/>
          <w:highlight w:val="none"/>
        </w:rPr>
        <w:t>（4）日气温低于 -3 ℃的严寒大于 3 天。</w:t>
      </w:r>
    </w:p>
    <w:p w14:paraId="24DD9CC5">
      <w:pPr>
        <w:spacing w:line="400" w:lineRule="exact"/>
        <w:ind w:right="248" w:firstLine="480"/>
        <w:rPr>
          <w:rFonts w:ascii="宋体" w:hAnsi="宋体"/>
          <w:color w:val="auto"/>
          <w:highlight w:val="none"/>
        </w:rPr>
      </w:pPr>
      <w:r>
        <w:rPr>
          <w:rFonts w:hint="eastAsia" w:ascii="宋体" w:hAnsi="宋体"/>
          <w:color w:val="auto"/>
          <w:highlight w:val="none"/>
        </w:rPr>
        <w:t>（5）造成工程损坏的冰雹和大雪灾害：</w:t>
      </w:r>
      <w:r>
        <w:rPr>
          <w:rFonts w:ascii="宋体" w:hAnsi="宋体"/>
          <w:color w:val="auto"/>
          <w:highlight w:val="none"/>
        </w:rPr>
        <w:t>日</w:t>
      </w:r>
      <w:r>
        <w:rPr>
          <w:color w:val="auto"/>
          <w:highlight w:val="none"/>
        </w:rPr>
        <w:fldChar w:fldCharType="begin"/>
      </w:r>
      <w:r>
        <w:rPr>
          <w:color w:val="auto"/>
          <w:highlight w:val="none"/>
        </w:rPr>
        <w:instrText xml:space="preserve"> HYPERLINK "http://wenwen.soso.com/z/Search.e?sp=S%E9%99%8D%E9%9B%AA%E9%87%8F&amp;ch=w.search.yjjlink&amp;cid=w.search.yjjlink" \t "_blank" </w:instrText>
      </w:r>
      <w:r>
        <w:rPr>
          <w:color w:val="auto"/>
          <w:highlight w:val="none"/>
        </w:rPr>
        <w:fldChar w:fldCharType="separate"/>
      </w:r>
      <w:r>
        <w:rPr>
          <w:rFonts w:ascii="宋体" w:hAnsi="宋体"/>
          <w:color w:val="auto"/>
          <w:highlight w:val="none"/>
        </w:rPr>
        <w:t>降雪量</w:t>
      </w:r>
      <w:r>
        <w:rPr>
          <w:rFonts w:ascii="宋体" w:hAnsi="宋体"/>
          <w:color w:val="auto"/>
          <w:highlight w:val="none"/>
        </w:rPr>
        <w:fldChar w:fldCharType="end"/>
      </w:r>
      <w:r>
        <w:rPr>
          <w:rFonts w:ascii="宋体" w:hAnsi="宋体"/>
          <w:color w:val="auto"/>
          <w:highlight w:val="none"/>
        </w:rPr>
        <w:t>10mm的天气持续2天以上</w:t>
      </w:r>
      <w:r>
        <w:rPr>
          <w:rFonts w:hint="eastAsia" w:ascii="宋体" w:hAnsi="宋体"/>
          <w:color w:val="auto"/>
          <w:highlight w:val="none"/>
        </w:rPr>
        <w:t xml:space="preserve"> 。</w:t>
      </w:r>
    </w:p>
    <w:p w14:paraId="7A78929D">
      <w:pPr>
        <w:spacing w:line="400" w:lineRule="exact"/>
        <w:ind w:right="248" w:firstLine="480"/>
        <w:rPr>
          <w:rFonts w:ascii="宋体" w:hAnsi="宋体"/>
          <w:color w:val="auto"/>
          <w:highlight w:val="none"/>
        </w:rPr>
      </w:pPr>
      <w:r>
        <w:rPr>
          <w:rFonts w:hint="eastAsia" w:ascii="宋体" w:hAnsi="宋体"/>
          <w:color w:val="auto"/>
          <w:highlight w:val="none"/>
        </w:rPr>
        <w:t>（6）其他异常恶劣气候灾害</w:t>
      </w:r>
      <w:r>
        <w:rPr>
          <w:rFonts w:ascii="宋体" w:hAnsi="宋体"/>
          <w:color w:val="auto"/>
          <w:highlight w:val="none"/>
        </w:rPr>
        <w:t>：以省市气象台发布的气象资料为准</w:t>
      </w:r>
      <w:r>
        <w:rPr>
          <w:rFonts w:hint="eastAsia" w:ascii="宋体" w:hAnsi="宋体"/>
          <w:color w:val="auto"/>
          <w:highlight w:val="none"/>
        </w:rPr>
        <w:t>。</w:t>
      </w:r>
    </w:p>
    <w:p w14:paraId="32E5181E">
      <w:pPr>
        <w:keepNext/>
        <w:keepLines/>
        <w:spacing w:before="260" w:after="260" w:line="416" w:lineRule="auto"/>
        <w:outlineLvl w:val="2"/>
        <w:rPr>
          <w:rFonts w:ascii="宋体" w:hAnsi="宋体"/>
          <w:b/>
          <w:bCs/>
          <w:color w:val="auto"/>
          <w:kern w:val="0"/>
          <w:sz w:val="32"/>
          <w:szCs w:val="32"/>
          <w:highlight w:val="none"/>
        </w:rPr>
      </w:pPr>
      <w:bookmarkStart w:id="864" w:name="_Toc115179995"/>
      <w:r>
        <w:rPr>
          <w:rFonts w:hint="eastAsia" w:ascii="宋体" w:hAnsi="宋体"/>
          <w:b/>
          <w:bCs/>
          <w:color w:val="auto"/>
          <w:kern w:val="0"/>
          <w:sz w:val="32"/>
          <w:szCs w:val="32"/>
          <w:highlight w:val="none"/>
        </w:rPr>
        <w:t>11.5  承包人工期延误</w:t>
      </w:r>
      <w:bookmarkEnd w:id="864"/>
      <w:r>
        <w:rPr>
          <w:rFonts w:hint="eastAsia" w:ascii="宋体" w:hAnsi="宋体"/>
          <w:b/>
          <w:bCs/>
          <w:color w:val="auto"/>
          <w:kern w:val="0"/>
          <w:sz w:val="32"/>
          <w:szCs w:val="32"/>
          <w:highlight w:val="none"/>
        </w:rPr>
        <w:t xml:space="preserve"> </w:t>
      </w:r>
    </w:p>
    <w:p w14:paraId="5E32A55B">
      <w:pPr>
        <w:spacing w:line="400" w:lineRule="exact"/>
        <w:ind w:right="248" w:firstLine="420" w:firstLineChars="200"/>
        <w:rPr>
          <w:rFonts w:ascii="宋体" w:hAnsi="宋体"/>
          <w:bCs/>
          <w:color w:val="auto"/>
          <w:szCs w:val="21"/>
          <w:highlight w:val="none"/>
        </w:rPr>
      </w:pPr>
      <w:r>
        <w:rPr>
          <w:rFonts w:hint="eastAsia" w:ascii="宋体" w:hAnsi="宋体"/>
          <w:bCs/>
          <w:color w:val="auto"/>
          <w:szCs w:val="21"/>
          <w:highlight w:val="none"/>
        </w:rPr>
        <w:t>（1）逾期竣工违约金表（参考格式）</w:t>
      </w:r>
    </w:p>
    <w:tbl>
      <w:tblPr>
        <w:tblStyle w:val="4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3"/>
        <w:gridCol w:w="3675"/>
        <w:gridCol w:w="1995"/>
        <w:gridCol w:w="1995"/>
      </w:tblGrid>
      <w:tr w14:paraId="3D40B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center"/>
          </w:tcPr>
          <w:p w14:paraId="398DA31B">
            <w:pPr>
              <w:spacing w:line="400" w:lineRule="exact"/>
              <w:ind w:right="-3"/>
              <w:jc w:val="center"/>
              <w:rPr>
                <w:rFonts w:ascii="宋体" w:hAnsi="宋体"/>
                <w:color w:val="auto"/>
                <w:sz w:val="20"/>
                <w:szCs w:val="20"/>
                <w:highlight w:val="none"/>
              </w:rPr>
            </w:pPr>
            <w:r>
              <w:rPr>
                <w:rFonts w:hint="eastAsia" w:ascii="宋体" w:hAnsi="宋体"/>
                <w:color w:val="auto"/>
                <w:sz w:val="20"/>
                <w:szCs w:val="20"/>
                <w:highlight w:val="none"/>
              </w:rPr>
              <w:t>序号</w:t>
            </w:r>
          </w:p>
        </w:tc>
        <w:tc>
          <w:tcPr>
            <w:tcW w:w="3675" w:type="dxa"/>
            <w:noWrap w:val="0"/>
            <w:vAlign w:val="center"/>
          </w:tcPr>
          <w:p w14:paraId="4188307F">
            <w:pPr>
              <w:spacing w:line="400" w:lineRule="exact"/>
              <w:ind w:right="3"/>
              <w:jc w:val="center"/>
              <w:rPr>
                <w:rFonts w:ascii="宋体" w:hAnsi="宋体"/>
                <w:color w:val="auto"/>
                <w:sz w:val="20"/>
                <w:szCs w:val="20"/>
                <w:highlight w:val="none"/>
              </w:rPr>
            </w:pPr>
            <w:r>
              <w:rPr>
                <w:rFonts w:hint="eastAsia" w:ascii="宋体" w:hAnsi="宋体"/>
                <w:color w:val="auto"/>
                <w:sz w:val="20"/>
                <w:szCs w:val="20"/>
                <w:highlight w:val="none"/>
              </w:rPr>
              <w:t>项目及其说明</w:t>
            </w:r>
          </w:p>
        </w:tc>
        <w:tc>
          <w:tcPr>
            <w:tcW w:w="1995" w:type="dxa"/>
            <w:noWrap w:val="0"/>
            <w:vAlign w:val="center"/>
          </w:tcPr>
          <w:p w14:paraId="61AB737F">
            <w:pPr>
              <w:spacing w:line="400" w:lineRule="exact"/>
              <w:ind w:right="9"/>
              <w:jc w:val="center"/>
              <w:rPr>
                <w:rFonts w:ascii="宋体" w:hAnsi="宋体"/>
                <w:color w:val="auto"/>
                <w:sz w:val="20"/>
                <w:szCs w:val="20"/>
                <w:highlight w:val="none"/>
              </w:rPr>
            </w:pPr>
            <w:r>
              <w:rPr>
                <w:rFonts w:hint="eastAsia" w:ascii="宋体" w:hAnsi="宋体"/>
                <w:color w:val="auto"/>
                <w:sz w:val="20"/>
                <w:szCs w:val="20"/>
                <w:highlight w:val="none"/>
              </w:rPr>
              <w:t>要求竣工日期</w:t>
            </w:r>
          </w:p>
        </w:tc>
        <w:tc>
          <w:tcPr>
            <w:tcW w:w="1995" w:type="dxa"/>
            <w:noWrap w:val="0"/>
            <w:vAlign w:val="top"/>
          </w:tcPr>
          <w:p w14:paraId="738E1E8F">
            <w:pPr>
              <w:spacing w:line="400" w:lineRule="exact"/>
              <w:ind w:right="9"/>
              <w:jc w:val="center"/>
              <w:rPr>
                <w:rFonts w:ascii="宋体" w:hAnsi="宋体"/>
                <w:color w:val="auto"/>
                <w:sz w:val="20"/>
                <w:szCs w:val="20"/>
                <w:highlight w:val="none"/>
              </w:rPr>
            </w:pPr>
            <w:r>
              <w:rPr>
                <w:rFonts w:hint="eastAsia" w:ascii="宋体" w:hAnsi="宋体"/>
                <w:color w:val="auto"/>
                <w:sz w:val="20"/>
                <w:szCs w:val="20"/>
                <w:highlight w:val="none"/>
              </w:rPr>
              <w:t>违约金(元/天)</w:t>
            </w:r>
          </w:p>
        </w:tc>
      </w:tr>
      <w:tr w14:paraId="0CA87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center"/>
          </w:tcPr>
          <w:p w14:paraId="3088C096">
            <w:pPr>
              <w:spacing w:line="400" w:lineRule="exact"/>
              <w:ind w:right="9"/>
              <w:jc w:val="center"/>
              <w:rPr>
                <w:rFonts w:ascii="宋体" w:hAnsi="宋体"/>
                <w:color w:val="auto"/>
                <w:sz w:val="20"/>
                <w:szCs w:val="20"/>
                <w:highlight w:val="none"/>
              </w:rPr>
            </w:pPr>
          </w:p>
        </w:tc>
        <w:tc>
          <w:tcPr>
            <w:tcW w:w="3675" w:type="dxa"/>
            <w:noWrap w:val="0"/>
            <w:vAlign w:val="center"/>
          </w:tcPr>
          <w:p w14:paraId="76914062">
            <w:pPr>
              <w:spacing w:line="400" w:lineRule="exact"/>
              <w:ind w:right="3"/>
              <w:rPr>
                <w:rFonts w:ascii="宋体" w:hAnsi="宋体"/>
                <w:color w:val="auto"/>
                <w:sz w:val="20"/>
                <w:szCs w:val="20"/>
                <w:highlight w:val="none"/>
              </w:rPr>
            </w:pPr>
          </w:p>
        </w:tc>
        <w:tc>
          <w:tcPr>
            <w:tcW w:w="1995" w:type="dxa"/>
            <w:noWrap w:val="0"/>
            <w:vAlign w:val="center"/>
          </w:tcPr>
          <w:p w14:paraId="491244C2">
            <w:pPr>
              <w:spacing w:line="400" w:lineRule="exact"/>
              <w:ind w:right="9"/>
              <w:jc w:val="center"/>
              <w:rPr>
                <w:rFonts w:ascii="宋体" w:hAnsi="宋体"/>
                <w:color w:val="auto"/>
                <w:sz w:val="20"/>
                <w:szCs w:val="20"/>
                <w:highlight w:val="none"/>
              </w:rPr>
            </w:pPr>
          </w:p>
        </w:tc>
        <w:tc>
          <w:tcPr>
            <w:tcW w:w="1995" w:type="dxa"/>
            <w:noWrap w:val="0"/>
            <w:vAlign w:val="center"/>
          </w:tcPr>
          <w:p w14:paraId="371C1F62">
            <w:pPr>
              <w:spacing w:line="400" w:lineRule="exact"/>
              <w:ind w:right="9"/>
              <w:jc w:val="center"/>
              <w:rPr>
                <w:rFonts w:ascii="宋体" w:hAnsi="宋体"/>
                <w:color w:val="auto"/>
                <w:sz w:val="20"/>
                <w:szCs w:val="20"/>
                <w:highlight w:val="none"/>
              </w:rPr>
            </w:pPr>
          </w:p>
        </w:tc>
      </w:tr>
      <w:tr w14:paraId="667AD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center"/>
          </w:tcPr>
          <w:p w14:paraId="46F8D092">
            <w:pPr>
              <w:spacing w:line="400" w:lineRule="exact"/>
              <w:ind w:right="9"/>
              <w:jc w:val="center"/>
              <w:rPr>
                <w:rFonts w:ascii="宋体" w:hAnsi="宋体"/>
                <w:color w:val="auto"/>
                <w:sz w:val="20"/>
                <w:szCs w:val="20"/>
                <w:highlight w:val="none"/>
              </w:rPr>
            </w:pPr>
          </w:p>
        </w:tc>
        <w:tc>
          <w:tcPr>
            <w:tcW w:w="3675" w:type="dxa"/>
            <w:noWrap w:val="0"/>
            <w:vAlign w:val="center"/>
          </w:tcPr>
          <w:p w14:paraId="5313259B">
            <w:pPr>
              <w:spacing w:line="400" w:lineRule="exact"/>
              <w:ind w:right="3"/>
              <w:rPr>
                <w:rFonts w:ascii="宋体" w:hAnsi="宋体"/>
                <w:color w:val="auto"/>
                <w:sz w:val="20"/>
                <w:szCs w:val="20"/>
                <w:highlight w:val="none"/>
              </w:rPr>
            </w:pPr>
          </w:p>
        </w:tc>
        <w:tc>
          <w:tcPr>
            <w:tcW w:w="1995" w:type="dxa"/>
            <w:noWrap w:val="0"/>
            <w:vAlign w:val="center"/>
          </w:tcPr>
          <w:p w14:paraId="34AC4176">
            <w:pPr>
              <w:spacing w:line="400" w:lineRule="exact"/>
              <w:ind w:right="9"/>
              <w:jc w:val="center"/>
              <w:rPr>
                <w:rFonts w:ascii="宋体" w:hAnsi="宋体"/>
                <w:color w:val="auto"/>
                <w:sz w:val="20"/>
                <w:szCs w:val="20"/>
                <w:highlight w:val="none"/>
              </w:rPr>
            </w:pPr>
          </w:p>
        </w:tc>
        <w:tc>
          <w:tcPr>
            <w:tcW w:w="1995" w:type="dxa"/>
            <w:noWrap w:val="0"/>
            <w:vAlign w:val="center"/>
          </w:tcPr>
          <w:p w14:paraId="0E4E3AD4">
            <w:pPr>
              <w:spacing w:line="400" w:lineRule="exact"/>
              <w:ind w:right="9"/>
              <w:jc w:val="center"/>
              <w:rPr>
                <w:rFonts w:ascii="宋体" w:hAnsi="宋体"/>
                <w:color w:val="auto"/>
                <w:sz w:val="20"/>
                <w:szCs w:val="20"/>
                <w:highlight w:val="none"/>
              </w:rPr>
            </w:pPr>
          </w:p>
        </w:tc>
      </w:tr>
    </w:tbl>
    <w:p w14:paraId="7832ED67">
      <w:pPr>
        <w:spacing w:line="400" w:lineRule="exact"/>
        <w:ind w:right="248" w:firstLine="420" w:firstLineChars="200"/>
        <w:rPr>
          <w:rFonts w:ascii="宋体" w:hAnsi="宋体"/>
          <w:color w:val="auto"/>
          <w:sz w:val="20"/>
          <w:szCs w:val="20"/>
          <w:highlight w:val="none"/>
        </w:rPr>
      </w:pPr>
      <w:r>
        <w:rPr>
          <w:rFonts w:hint="eastAsia" w:ascii="宋体" w:hAnsi="宋体"/>
          <w:color w:val="auto"/>
          <w:szCs w:val="21"/>
          <w:highlight w:val="none"/>
        </w:rPr>
        <w:t>（2）全部逾期竣工违约金的总限额为</w:t>
      </w:r>
      <w:r>
        <w:rPr>
          <w:rFonts w:hint="eastAsia" w:ascii="宋体" w:hAnsi="宋体"/>
          <w:b/>
          <w:bCs/>
          <w:color w:val="auto"/>
          <w:szCs w:val="21"/>
          <w:highlight w:val="none"/>
        </w:rPr>
        <w:t>5%</w:t>
      </w:r>
      <w:r>
        <w:rPr>
          <w:rFonts w:hint="eastAsia" w:ascii="宋体" w:hAnsi="宋体"/>
          <w:color w:val="auto"/>
          <w:szCs w:val="21"/>
          <w:highlight w:val="none"/>
        </w:rPr>
        <w:t>（不超过合同总价的10%）。</w:t>
      </w:r>
    </w:p>
    <w:p w14:paraId="462208DB">
      <w:pPr>
        <w:keepNext/>
        <w:keepLines/>
        <w:spacing w:before="260" w:after="260" w:line="416" w:lineRule="auto"/>
        <w:outlineLvl w:val="2"/>
        <w:rPr>
          <w:rFonts w:ascii="宋体" w:hAnsi="宋体"/>
          <w:b/>
          <w:bCs/>
          <w:color w:val="auto"/>
          <w:kern w:val="0"/>
          <w:sz w:val="32"/>
          <w:szCs w:val="32"/>
          <w:highlight w:val="none"/>
        </w:rPr>
      </w:pPr>
      <w:bookmarkStart w:id="865" w:name="_Toc367280755"/>
      <w:bookmarkStart w:id="866" w:name="_Toc115179996"/>
      <w:bookmarkStart w:id="867" w:name="_Toc8270"/>
      <w:bookmarkStart w:id="868" w:name="_Toc2866"/>
      <w:r>
        <w:rPr>
          <w:rFonts w:hint="eastAsia" w:ascii="宋体" w:hAnsi="宋体"/>
          <w:b/>
          <w:bCs/>
          <w:color w:val="auto"/>
          <w:kern w:val="0"/>
          <w:sz w:val="32"/>
          <w:szCs w:val="32"/>
          <w:highlight w:val="none"/>
        </w:rPr>
        <w:t>11.6　工期提前</w:t>
      </w:r>
      <w:bookmarkEnd w:id="865"/>
      <w:bookmarkEnd w:id="866"/>
    </w:p>
    <w:p w14:paraId="06595FA3">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工期提前的奖金约定：</w:t>
      </w:r>
      <w:r>
        <w:rPr>
          <w:rFonts w:hint="eastAsia" w:ascii="宋体" w:hAnsi="宋体" w:cs="宋体"/>
          <w:color w:val="auto"/>
          <w:highlight w:val="none"/>
          <w:u w:val="single"/>
        </w:rPr>
        <w:t>　</w:t>
      </w:r>
      <w:r>
        <w:rPr>
          <w:rFonts w:ascii="宋体" w:hAnsi="宋体" w:cs="宋体"/>
          <w:color w:val="auto"/>
          <w:highlight w:val="none"/>
          <w:u w:val="single"/>
        </w:rPr>
        <w:t>“承包人自行提前完工的不予奖励”。 但如发包人要求承包人提前完工的，在保证工程质量的前提下比合同工期每提前一天的完工奖金为 1000 元，但其最终的累计总额不应超过合同价格的 2 ％</w:t>
      </w:r>
      <w:r>
        <w:rPr>
          <w:rFonts w:ascii="宋体" w:hAnsi="宋体" w:cs="宋体"/>
          <w:color w:val="auto"/>
          <w:highlight w:val="none"/>
        </w:rPr>
        <w:t xml:space="preserve"> </w:t>
      </w:r>
      <w:r>
        <w:rPr>
          <w:rFonts w:hint="eastAsia" w:ascii="宋体" w:hAnsi="宋体" w:cs="宋体"/>
          <w:color w:val="auto"/>
          <w:highlight w:val="none"/>
        </w:rPr>
        <w:t>。</w:t>
      </w:r>
    </w:p>
    <w:p w14:paraId="5E88B91D">
      <w:pPr>
        <w:spacing w:before="260" w:after="260" w:line="400" w:lineRule="exact"/>
        <w:outlineLvl w:val="1"/>
        <w:rPr>
          <w:rFonts w:ascii="宋体" w:hAnsi="宋体" w:eastAsia="黑体"/>
          <w:color w:val="auto"/>
          <w:kern w:val="44"/>
          <w:sz w:val="27"/>
          <w:szCs w:val="27"/>
          <w:highlight w:val="none"/>
        </w:rPr>
      </w:pPr>
      <w:bookmarkStart w:id="869" w:name="_Toc483383036"/>
      <w:bookmarkStart w:id="870" w:name="_Toc115179997"/>
      <w:r>
        <w:rPr>
          <w:rFonts w:hint="eastAsia" w:ascii="宋体" w:hAnsi="宋体" w:eastAsia="黑体"/>
          <w:color w:val="auto"/>
          <w:kern w:val="44"/>
          <w:sz w:val="27"/>
          <w:szCs w:val="27"/>
          <w:highlight w:val="none"/>
        </w:rPr>
        <w:t>12  暂停施工</w:t>
      </w:r>
      <w:bookmarkEnd w:id="867"/>
      <w:bookmarkEnd w:id="868"/>
      <w:bookmarkEnd w:id="869"/>
      <w:bookmarkEnd w:id="870"/>
    </w:p>
    <w:p w14:paraId="5AD74738">
      <w:pPr>
        <w:keepNext/>
        <w:keepLines/>
        <w:spacing w:before="260" w:after="260" w:line="416" w:lineRule="auto"/>
        <w:outlineLvl w:val="2"/>
        <w:rPr>
          <w:rFonts w:ascii="宋体" w:hAnsi="宋体"/>
          <w:b/>
          <w:bCs/>
          <w:color w:val="auto"/>
          <w:kern w:val="0"/>
          <w:sz w:val="32"/>
          <w:szCs w:val="32"/>
          <w:highlight w:val="none"/>
        </w:rPr>
      </w:pPr>
      <w:bookmarkStart w:id="871" w:name="_Toc115179998"/>
      <w:r>
        <w:rPr>
          <w:rFonts w:ascii="宋体" w:hAnsi="宋体"/>
          <w:b/>
          <w:bCs/>
          <w:color w:val="auto"/>
          <w:kern w:val="0"/>
          <w:sz w:val="32"/>
          <w:szCs w:val="32"/>
          <w:highlight w:val="none"/>
        </w:rPr>
        <w:t>12.1 承包人暂停施工的责任</w:t>
      </w:r>
      <w:bookmarkEnd w:id="871"/>
    </w:p>
    <w:p w14:paraId="4CD56A90">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承包人承担暂停施工责任的其它情形：</w:t>
      </w:r>
      <w:r>
        <w:rPr>
          <w:rFonts w:ascii="宋体" w:hAnsi="宋体"/>
          <w:color w:val="auto"/>
          <w:szCs w:val="21"/>
          <w:highlight w:val="none"/>
          <w:u w:val="single"/>
        </w:rPr>
        <w:t xml:space="preserve"> 由监理人认定的情形 </w:t>
      </w:r>
      <w:r>
        <w:rPr>
          <w:rFonts w:ascii="宋体" w:hAnsi="宋体"/>
          <w:color w:val="auto"/>
          <w:szCs w:val="21"/>
          <w:highlight w:val="none"/>
        </w:rPr>
        <w:t xml:space="preserve">。 </w:t>
      </w:r>
    </w:p>
    <w:p w14:paraId="7C8ED266">
      <w:pPr>
        <w:keepNext/>
        <w:keepLines/>
        <w:numPr>
          <w:ilvl w:val="0"/>
          <w:numId w:val="25"/>
        </w:numPr>
        <w:spacing w:before="260" w:after="260" w:line="416" w:lineRule="auto"/>
        <w:outlineLvl w:val="2"/>
        <w:rPr>
          <w:rFonts w:ascii="宋体" w:hAnsi="宋体"/>
          <w:b/>
          <w:bCs/>
          <w:color w:val="auto"/>
          <w:kern w:val="0"/>
          <w:sz w:val="32"/>
          <w:szCs w:val="32"/>
          <w:highlight w:val="none"/>
        </w:rPr>
      </w:pPr>
      <w:bookmarkStart w:id="872" w:name="_Toc115179999"/>
      <w:r>
        <w:rPr>
          <w:rFonts w:ascii="宋体" w:hAnsi="宋体"/>
          <w:b/>
          <w:bCs/>
          <w:color w:val="auto"/>
          <w:kern w:val="0"/>
          <w:sz w:val="32"/>
          <w:szCs w:val="32"/>
          <w:highlight w:val="none"/>
        </w:rPr>
        <w:t>12.2 发包人暂停施工的责任</w:t>
      </w:r>
      <w:bookmarkEnd w:id="872"/>
    </w:p>
    <w:p w14:paraId="09070645">
      <w:pPr>
        <w:spacing w:line="400" w:lineRule="exact"/>
        <w:ind w:right="248" w:firstLine="420" w:firstLineChars="200"/>
        <w:rPr>
          <w:rFonts w:ascii="宋体" w:hAnsi="宋体"/>
          <w:color w:val="auto"/>
          <w:szCs w:val="21"/>
          <w:highlight w:val="none"/>
        </w:rPr>
      </w:pPr>
      <w:r>
        <w:rPr>
          <w:rFonts w:ascii="宋体" w:hAnsi="宋体"/>
          <w:color w:val="auto"/>
          <w:szCs w:val="21"/>
          <w:highlight w:val="none"/>
        </w:rPr>
        <w:t xml:space="preserve">(3) 发包人承担暂停施工责任的其它情形： </w:t>
      </w:r>
      <w:r>
        <w:rPr>
          <w:rFonts w:ascii="宋体" w:hAnsi="宋体"/>
          <w:color w:val="auto"/>
          <w:szCs w:val="21"/>
          <w:highlight w:val="none"/>
          <w:u w:val="single"/>
        </w:rPr>
        <w:t xml:space="preserve">由监理人认定的情形 </w:t>
      </w:r>
      <w:r>
        <w:rPr>
          <w:rFonts w:ascii="宋体" w:hAnsi="宋体"/>
          <w:color w:val="auto"/>
          <w:szCs w:val="21"/>
          <w:highlight w:val="none"/>
        </w:rPr>
        <w:t xml:space="preserve">。 </w:t>
      </w:r>
    </w:p>
    <w:p w14:paraId="39F61C4A">
      <w:pPr>
        <w:keepNext/>
        <w:keepLines/>
        <w:spacing w:before="260" w:after="260" w:line="416" w:lineRule="auto"/>
        <w:outlineLvl w:val="2"/>
        <w:rPr>
          <w:rFonts w:ascii="宋体" w:hAnsi="宋体" w:cs="宋体"/>
          <w:b/>
          <w:bCs/>
          <w:color w:val="auto"/>
          <w:kern w:val="0"/>
          <w:sz w:val="32"/>
          <w:szCs w:val="32"/>
          <w:highlight w:val="none"/>
        </w:rPr>
      </w:pPr>
      <w:bookmarkStart w:id="873" w:name="_Toc115180000"/>
      <w:r>
        <w:rPr>
          <w:rFonts w:hint="eastAsia" w:ascii="宋体" w:hAnsi="宋体" w:cs="宋体"/>
          <w:b/>
          <w:bCs/>
          <w:color w:val="auto"/>
          <w:kern w:val="0"/>
          <w:sz w:val="32"/>
          <w:szCs w:val="32"/>
          <w:highlight w:val="none"/>
        </w:rPr>
        <w:t>12.6补充：</w:t>
      </w:r>
      <w:bookmarkEnd w:id="873"/>
    </w:p>
    <w:p w14:paraId="73368A42">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12.6.1因下列原因，总监理工程师报经发包人同意，可通知承包人暂停施工：</w:t>
      </w:r>
    </w:p>
    <w:p w14:paraId="186DD756">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（1）工程设计发生重大变更；</w:t>
      </w:r>
    </w:p>
    <w:p w14:paraId="37891C94">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（2）不可抗力；</w:t>
      </w:r>
    </w:p>
    <w:p w14:paraId="4202D72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（3）质量事故；</w:t>
      </w:r>
    </w:p>
    <w:p w14:paraId="5841C026">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（4）安全生产事故；</w:t>
      </w:r>
    </w:p>
    <w:p w14:paraId="45B88CCB">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承包人不得以与发包人有争议或争议未解决为由而单方面停工。否则，承担违约责任。因发生上述第（1）、（2）点原因而暂停施工，工期按约定调整，因发生上述第（3）、（4）点原因而暂停施工，工期不予顺延，承包人必须承担由此发生的费用，并向发包人承担违约责任。</w:t>
      </w:r>
    </w:p>
    <w:p w14:paraId="6F6E91A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12.6.2为了保证工程质量安全，凡出现下列情况之一（不限于此）的，总监理工程师有权下达停工令，责令承包人停工整改，由此造成的损失由承包人自行负责，造成工期延误的承包人承担违约责任。</w:t>
      </w:r>
    </w:p>
    <w:p w14:paraId="1E4876E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(1)拒绝监理单位管理；</w:t>
      </w:r>
    </w:p>
    <w:p w14:paraId="0FA490E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(2)施工组织设计（方案）未获总监理工程师批准而进行施工；</w:t>
      </w:r>
    </w:p>
    <w:p w14:paraId="1414280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(3)未经监理单位检验而进行下一道工序作业者；</w:t>
      </w:r>
    </w:p>
    <w:p w14:paraId="73C007D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(4)擅自采用未经监理单位及发包人认可或批准的材料的，或者使用的原材料、构配件不合格或未经检查确认的，或者擅自采用未经认可的代用材料的；</w:t>
      </w:r>
    </w:p>
    <w:p w14:paraId="11F62AD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(5)擅自变更设计图纸的要求；</w:t>
      </w:r>
    </w:p>
    <w:p w14:paraId="2AC469F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(6)转包工程；</w:t>
      </w:r>
    </w:p>
    <w:p w14:paraId="30EB036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(7)擅自让未经总监理工程师批准的分包单位进场作业；</w:t>
      </w:r>
    </w:p>
    <w:p w14:paraId="0518E90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(8)存在安全隐患，未按监理单位要求及时进行整改；</w:t>
      </w:r>
    </w:p>
    <w:p w14:paraId="77162AD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(9)未按双方约定的资料上报要求上报所需资料的。</w:t>
      </w:r>
    </w:p>
    <w:p w14:paraId="5F47DB8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12.6.3由于政府部门举行特殊活动引起的停工的，因停工产生的费用由承包人承担。</w:t>
      </w:r>
    </w:p>
    <w:p w14:paraId="1190704C">
      <w:pPr>
        <w:spacing w:before="260" w:after="260" w:line="400" w:lineRule="exact"/>
        <w:outlineLvl w:val="1"/>
        <w:rPr>
          <w:rFonts w:ascii="宋体" w:hAnsi="宋体" w:eastAsia="黑体"/>
          <w:color w:val="auto"/>
          <w:kern w:val="44"/>
          <w:sz w:val="27"/>
          <w:szCs w:val="27"/>
          <w:highlight w:val="none"/>
        </w:rPr>
      </w:pPr>
      <w:bookmarkStart w:id="874" w:name="_Toc483383037"/>
      <w:bookmarkStart w:id="875" w:name="_Toc31627"/>
      <w:bookmarkStart w:id="876" w:name="_Toc115180001"/>
      <w:bookmarkStart w:id="877" w:name="_Toc19219"/>
      <w:r>
        <w:rPr>
          <w:rFonts w:hint="eastAsia" w:ascii="宋体" w:hAnsi="宋体" w:eastAsia="黑体"/>
          <w:color w:val="auto"/>
          <w:kern w:val="44"/>
          <w:sz w:val="27"/>
          <w:szCs w:val="27"/>
          <w:highlight w:val="none"/>
        </w:rPr>
        <w:t>13 工程质量</w:t>
      </w:r>
      <w:bookmarkEnd w:id="874"/>
      <w:bookmarkEnd w:id="875"/>
      <w:bookmarkEnd w:id="876"/>
      <w:bookmarkEnd w:id="877"/>
    </w:p>
    <w:p w14:paraId="53D19411">
      <w:pPr>
        <w:keepNext/>
        <w:keepLines/>
        <w:spacing w:before="260" w:after="260" w:line="416" w:lineRule="auto"/>
        <w:outlineLvl w:val="2"/>
        <w:rPr>
          <w:rFonts w:ascii="宋体" w:hAnsi="宋体"/>
          <w:b/>
          <w:bCs/>
          <w:color w:val="auto"/>
          <w:kern w:val="0"/>
          <w:sz w:val="32"/>
          <w:szCs w:val="32"/>
          <w:highlight w:val="none"/>
        </w:rPr>
      </w:pPr>
      <w:bookmarkStart w:id="878" w:name="_Toc115180002"/>
      <w:r>
        <w:rPr>
          <w:rFonts w:hint="eastAsia" w:ascii="宋体" w:hAnsi="宋体"/>
          <w:b/>
          <w:bCs/>
          <w:color w:val="auto"/>
          <w:kern w:val="0"/>
          <w:sz w:val="32"/>
          <w:szCs w:val="32"/>
          <w:highlight w:val="none"/>
        </w:rPr>
        <w:t>13.7 质量评定</w:t>
      </w:r>
      <w:bookmarkEnd w:id="878"/>
    </w:p>
    <w:p w14:paraId="1C90BD8F">
      <w:pPr>
        <w:spacing w:line="400" w:lineRule="exact"/>
        <w:rPr>
          <w:rFonts w:ascii="宋体" w:hAnsi="宋体"/>
          <w:color w:val="auto"/>
          <w:highlight w:val="none"/>
        </w:rPr>
      </w:pPr>
      <w:r>
        <w:rPr>
          <w:rFonts w:hint="eastAsia" w:ascii="宋体" w:hAnsi="宋体"/>
          <w:color w:val="auto"/>
          <w:highlight w:val="none"/>
        </w:rPr>
        <w:t>13.7.4 重要隐蔽单元工程和关键部位单元工程质量评定的约定：</w:t>
      </w:r>
      <w:r>
        <w:rPr>
          <w:rFonts w:hint="eastAsia" w:ascii="宋体" w:hAnsi="宋体"/>
          <w:color w:val="auto"/>
          <w:highlight w:val="none"/>
          <w:u w:val="single"/>
        </w:rPr>
        <w:t xml:space="preserve">  合格 </w:t>
      </w:r>
      <w:r>
        <w:rPr>
          <w:rFonts w:hint="eastAsia" w:ascii="宋体" w:hAnsi="宋体"/>
          <w:color w:val="auto"/>
          <w:highlight w:val="none"/>
        </w:rPr>
        <w:t>。</w:t>
      </w:r>
    </w:p>
    <w:p w14:paraId="0D057EEC">
      <w:pPr>
        <w:spacing w:line="400" w:lineRule="exact"/>
        <w:rPr>
          <w:rFonts w:ascii="宋体" w:hAnsi="宋体"/>
          <w:color w:val="auto"/>
          <w:highlight w:val="none"/>
        </w:rPr>
      </w:pPr>
      <w:r>
        <w:rPr>
          <w:rFonts w:hint="eastAsia" w:ascii="宋体" w:hAnsi="宋体"/>
          <w:color w:val="auto"/>
          <w:highlight w:val="none"/>
        </w:rPr>
        <w:t>13.7.7 工程合格标准为：</w:t>
      </w:r>
      <w:r>
        <w:rPr>
          <w:rFonts w:hint="eastAsia" w:ascii="宋体" w:hAnsi="宋体"/>
          <w:color w:val="auto"/>
          <w:highlight w:val="none"/>
          <w:u w:val="single"/>
        </w:rPr>
        <w:t xml:space="preserve">  合格 </w:t>
      </w:r>
      <w:r>
        <w:rPr>
          <w:rFonts w:hint="eastAsia" w:ascii="宋体" w:hAnsi="宋体"/>
          <w:color w:val="auto"/>
          <w:highlight w:val="none"/>
        </w:rPr>
        <w:t>。</w:t>
      </w:r>
    </w:p>
    <w:p w14:paraId="2A14D99F">
      <w:pPr>
        <w:keepNext/>
        <w:keepLines/>
        <w:spacing w:before="260" w:after="260" w:line="416" w:lineRule="auto"/>
        <w:outlineLvl w:val="2"/>
        <w:rPr>
          <w:rFonts w:ascii="宋体" w:hAnsi="宋体"/>
          <w:b/>
          <w:bCs/>
          <w:color w:val="auto"/>
          <w:kern w:val="0"/>
          <w:sz w:val="32"/>
          <w:szCs w:val="32"/>
          <w:highlight w:val="none"/>
        </w:rPr>
      </w:pPr>
      <w:bookmarkStart w:id="879" w:name="_Toc367280760"/>
      <w:bookmarkStart w:id="880" w:name="_Toc115180003"/>
      <w:bookmarkStart w:id="881" w:name="_Toc27353"/>
      <w:bookmarkStart w:id="882" w:name="_Toc4306"/>
      <w:r>
        <w:rPr>
          <w:rFonts w:hint="eastAsia" w:ascii="宋体" w:hAnsi="宋体"/>
          <w:b/>
          <w:bCs/>
          <w:color w:val="auto"/>
          <w:kern w:val="0"/>
          <w:sz w:val="32"/>
          <w:szCs w:val="32"/>
          <w:highlight w:val="none"/>
        </w:rPr>
        <w:t>13.8　质量事故处理</w:t>
      </w:r>
      <w:bookmarkEnd w:id="879"/>
      <w:bookmarkEnd w:id="880"/>
    </w:p>
    <w:p w14:paraId="2AB36790">
      <w:pPr>
        <w:spacing w:line="400" w:lineRule="exact"/>
        <w:rPr>
          <w:rFonts w:ascii="宋体" w:hAnsi="宋体"/>
          <w:color w:val="auto"/>
          <w:highlight w:val="none"/>
        </w:rPr>
      </w:pPr>
      <w:r>
        <w:rPr>
          <w:rFonts w:hint="eastAsia" w:ascii="宋体" w:hAnsi="宋体"/>
          <w:color w:val="auto"/>
          <w:highlight w:val="none"/>
        </w:rPr>
        <w:t>13.8.4　工程竣工验收时，</w:t>
      </w:r>
      <w:r>
        <w:rPr>
          <w:rFonts w:hint="eastAsia" w:ascii="宋体" w:hAnsi="宋体"/>
          <w:color w:val="auto"/>
          <w:highlight w:val="none"/>
          <w:u w:val="single"/>
        </w:rPr>
        <w:t>　</w:t>
      </w:r>
      <w:r>
        <w:rPr>
          <w:rFonts w:ascii="宋体" w:hAnsi="宋体"/>
          <w:color w:val="auto"/>
          <w:highlight w:val="none"/>
          <w:u w:val="single"/>
        </w:rPr>
        <w:t xml:space="preserve"> 项目法人 </w:t>
      </w:r>
      <w:r>
        <w:rPr>
          <w:rFonts w:hint="eastAsia" w:ascii="宋体" w:hAnsi="宋体"/>
          <w:color w:val="auto"/>
          <w:highlight w:val="none"/>
          <w:u w:val="single"/>
        </w:rPr>
        <w:t>　</w:t>
      </w:r>
      <w:r>
        <w:rPr>
          <w:rFonts w:hint="eastAsia" w:ascii="宋体" w:hAnsi="宋体"/>
          <w:color w:val="auto"/>
          <w:highlight w:val="none"/>
        </w:rPr>
        <w:t>向竣工验收委员会汇报并提交历次质量缺陷处理的备案资料。</w:t>
      </w:r>
    </w:p>
    <w:p w14:paraId="00772326">
      <w:pPr>
        <w:spacing w:before="260" w:after="260" w:line="400" w:lineRule="exact"/>
        <w:outlineLvl w:val="1"/>
        <w:rPr>
          <w:rFonts w:ascii="宋体" w:hAnsi="宋体" w:eastAsia="黑体"/>
          <w:color w:val="auto"/>
          <w:kern w:val="44"/>
          <w:sz w:val="27"/>
          <w:szCs w:val="27"/>
          <w:highlight w:val="none"/>
        </w:rPr>
      </w:pPr>
      <w:bookmarkStart w:id="883" w:name="_Toc367280761"/>
      <w:bookmarkStart w:id="884" w:name="_Toc115180004"/>
      <w:bookmarkStart w:id="885" w:name="_Toc483383038"/>
      <w:r>
        <w:rPr>
          <w:rFonts w:hint="eastAsia" w:ascii="宋体" w:hAnsi="宋体" w:eastAsia="黑体"/>
          <w:color w:val="auto"/>
          <w:kern w:val="44"/>
          <w:sz w:val="27"/>
          <w:szCs w:val="27"/>
          <w:highlight w:val="none"/>
        </w:rPr>
        <w:t>14　试验和检验</w:t>
      </w:r>
      <w:bookmarkEnd w:id="883"/>
      <w:bookmarkEnd w:id="884"/>
      <w:bookmarkEnd w:id="885"/>
    </w:p>
    <w:p w14:paraId="316A0D92">
      <w:pPr>
        <w:keepNext/>
        <w:keepLines/>
        <w:spacing w:before="260" w:after="260" w:line="416" w:lineRule="auto"/>
        <w:outlineLvl w:val="2"/>
        <w:rPr>
          <w:rFonts w:ascii="宋体" w:hAnsi="宋体"/>
          <w:b/>
          <w:bCs/>
          <w:color w:val="auto"/>
          <w:kern w:val="0"/>
          <w:sz w:val="32"/>
          <w:szCs w:val="32"/>
          <w:highlight w:val="none"/>
        </w:rPr>
      </w:pPr>
      <w:bookmarkStart w:id="886" w:name="_Toc367280762"/>
      <w:bookmarkStart w:id="887" w:name="_Toc115180005"/>
      <w:r>
        <w:rPr>
          <w:rFonts w:hint="eastAsia" w:ascii="宋体" w:hAnsi="宋体"/>
          <w:b/>
          <w:bCs/>
          <w:color w:val="auto"/>
          <w:kern w:val="0"/>
          <w:sz w:val="32"/>
          <w:szCs w:val="32"/>
          <w:highlight w:val="none"/>
        </w:rPr>
        <w:t>14.1　材料、工程设备和工程的试验和检验</w:t>
      </w:r>
      <w:bookmarkEnd w:id="886"/>
      <w:bookmarkEnd w:id="887"/>
    </w:p>
    <w:p w14:paraId="329882E5">
      <w:pPr>
        <w:spacing w:line="400" w:lineRule="exact"/>
        <w:rPr>
          <w:rFonts w:ascii="宋体" w:hAnsi="宋体"/>
          <w:color w:val="auto"/>
          <w:highlight w:val="none"/>
        </w:rPr>
      </w:pPr>
      <w:r>
        <w:rPr>
          <w:rFonts w:ascii="宋体" w:hAnsi="宋体"/>
          <w:color w:val="auto"/>
          <w:highlight w:val="none"/>
        </w:rPr>
        <w:t>14.1.5 水工金属结构、启闭机及机电产品进场后的交货检查和验收中，</w:t>
      </w:r>
      <w:r>
        <w:rPr>
          <w:rFonts w:ascii="宋体" w:hAnsi="宋体"/>
          <w:color w:val="auto"/>
          <w:highlight w:val="none"/>
          <w:u w:val="single"/>
        </w:rPr>
        <w:t xml:space="preserve">承包人负责 设备的卸车、厂内运输、保管、检验试验等 </w:t>
      </w:r>
      <w:r>
        <w:rPr>
          <w:rFonts w:ascii="宋体" w:hAnsi="宋体"/>
          <w:color w:val="auto"/>
          <w:highlight w:val="none"/>
        </w:rPr>
        <w:t xml:space="preserve">。 </w:t>
      </w:r>
    </w:p>
    <w:p w14:paraId="11EF9F37">
      <w:pPr>
        <w:spacing w:line="400" w:lineRule="exact"/>
        <w:rPr>
          <w:rFonts w:ascii="宋体" w:hAnsi="宋体"/>
          <w:color w:val="auto"/>
          <w:highlight w:val="none"/>
          <w:u w:val="single"/>
        </w:rPr>
      </w:pPr>
      <w:r>
        <w:rPr>
          <w:rFonts w:hint="eastAsia" w:ascii="宋体" w:hAnsi="宋体"/>
          <w:color w:val="auto"/>
          <w:highlight w:val="none"/>
        </w:rPr>
        <w:t>14.1.6　本工程实行见证取样的试块、试件及有关材料：</w:t>
      </w:r>
      <w:r>
        <w:rPr>
          <w:rFonts w:ascii="宋体" w:hAnsi="宋体"/>
          <w:color w:val="auto"/>
          <w:highlight w:val="none"/>
          <w:u w:val="single"/>
        </w:rPr>
        <w:t>1、用于承重结构的混凝土试块；2、用于承重墙体的砌筑砂浆试块；3、用于承重结构的钢筋及连接接头试件；4、用于承重墙的砖和混凝土小型砌块；5、用于拌制混凝土和砌筑砂浆的水泥；6、用于承重结构的混凝土中使用的掺加剂；7、地下、屋面、厕浴间使用的防水材料；8、国家规定必须实行见证取样和送检的其它试块、试件和材料。</w:t>
      </w:r>
    </w:p>
    <w:p w14:paraId="7D252DC6">
      <w:pPr>
        <w:spacing w:line="400" w:lineRule="exact"/>
        <w:rPr>
          <w:rFonts w:ascii="宋体" w:hAnsi="宋体"/>
          <w:color w:val="auto"/>
          <w:highlight w:val="none"/>
        </w:rPr>
      </w:pPr>
      <w:bookmarkStart w:id="888" w:name="_Toc354042268"/>
      <w:r>
        <w:rPr>
          <w:rFonts w:hint="eastAsia" w:ascii="宋体" w:hAnsi="宋体"/>
          <w:color w:val="auto"/>
          <w:highlight w:val="none"/>
        </w:rPr>
        <w:t>14.1.7 发包人按照规定可委托第三方检验试验单位负责本合同工程材料、设备、桩基、cctv等检测和的检验试验。</w:t>
      </w:r>
      <w:bookmarkEnd w:id="888"/>
    </w:p>
    <w:p w14:paraId="187E59DD">
      <w:pPr>
        <w:spacing w:before="260" w:after="260" w:line="400" w:lineRule="exact"/>
        <w:outlineLvl w:val="1"/>
        <w:rPr>
          <w:rFonts w:ascii="宋体" w:hAnsi="宋体" w:eastAsia="黑体"/>
          <w:color w:val="auto"/>
          <w:kern w:val="44"/>
          <w:sz w:val="27"/>
          <w:szCs w:val="27"/>
          <w:highlight w:val="none"/>
        </w:rPr>
      </w:pPr>
      <w:bookmarkStart w:id="889" w:name="_Toc115180006"/>
      <w:bookmarkStart w:id="890" w:name="_Toc483383039"/>
      <w:r>
        <w:rPr>
          <w:rFonts w:hint="eastAsia" w:ascii="宋体" w:hAnsi="宋体" w:eastAsia="黑体"/>
          <w:color w:val="auto"/>
          <w:kern w:val="44"/>
          <w:sz w:val="27"/>
          <w:szCs w:val="27"/>
          <w:highlight w:val="none"/>
        </w:rPr>
        <w:t>15  变更</w:t>
      </w:r>
      <w:bookmarkEnd w:id="881"/>
      <w:bookmarkEnd w:id="882"/>
      <w:bookmarkEnd w:id="889"/>
      <w:bookmarkEnd w:id="890"/>
    </w:p>
    <w:p w14:paraId="5F671D18">
      <w:pPr>
        <w:keepNext/>
        <w:keepLines/>
        <w:spacing w:before="260" w:after="260" w:line="416" w:lineRule="auto"/>
        <w:outlineLvl w:val="2"/>
        <w:rPr>
          <w:rFonts w:ascii="宋体" w:hAnsi="宋体"/>
          <w:b/>
          <w:bCs/>
          <w:color w:val="auto"/>
          <w:kern w:val="0"/>
          <w:sz w:val="32"/>
          <w:szCs w:val="32"/>
          <w:highlight w:val="none"/>
        </w:rPr>
      </w:pPr>
      <w:bookmarkStart w:id="891" w:name="_Toc115180007"/>
      <w:r>
        <w:rPr>
          <w:rFonts w:hint="eastAsia" w:ascii="宋体" w:hAnsi="宋体"/>
          <w:b/>
          <w:bCs/>
          <w:color w:val="auto"/>
          <w:kern w:val="0"/>
          <w:sz w:val="32"/>
          <w:szCs w:val="32"/>
          <w:highlight w:val="none"/>
        </w:rPr>
        <w:t>15.1  变更的范围和内容</w:t>
      </w:r>
      <w:bookmarkEnd w:id="891"/>
    </w:p>
    <w:p w14:paraId="3742C7A0">
      <w:pPr>
        <w:spacing w:line="400" w:lineRule="exact"/>
        <w:ind w:right="248" w:firstLine="480"/>
        <w:rPr>
          <w:rFonts w:ascii="宋体" w:hAnsi="宋体"/>
          <w:color w:val="auto"/>
          <w:szCs w:val="21"/>
          <w:highlight w:val="none"/>
        </w:rPr>
      </w:pPr>
      <w:r>
        <w:rPr>
          <w:rFonts w:hint="eastAsia" w:ascii="宋体" w:hAnsi="宋体"/>
          <w:color w:val="auto"/>
          <w:szCs w:val="21"/>
          <w:highlight w:val="none"/>
        </w:rPr>
        <w:t>（4）修改为：改变合同中任何一项工作已批准的施工工艺；</w:t>
      </w:r>
    </w:p>
    <w:p w14:paraId="7D0E556F">
      <w:pPr>
        <w:spacing w:line="400" w:lineRule="exact"/>
        <w:ind w:right="248" w:firstLine="480"/>
        <w:rPr>
          <w:rFonts w:ascii="宋体" w:hAnsi="宋体"/>
          <w:color w:val="auto"/>
          <w:highlight w:val="none"/>
        </w:rPr>
      </w:pPr>
      <w:r>
        <w:rPr>
          <w:rFonts w:hint="eastAsia" w:ascii="宋体" w:hAnsi="宋体"/>
          <w:color w:val="auto"/>
          <w:szCs w:val="21"/>
          <w:highlight w:val="none"/>
        </w:rPr>
        <w:t>（6）增加或减少合同中关键项目的工程量超过其项目工程总量的</w:t>
      </w:r>
      <w:r>
        <w:rPr>
          <w:rFonts w:hint="eastAsia" w:ascii="宋体" w:hAnsi="宋体"/>
          <w:color w:val="auto"/>
          <w:szCs w:val="21"/>
          <w:highlight w:val="none"/>
          <w:u w:val="single"/>
        </w:rPr>
        <w:t xml:space="preserve"> 15 </w:t>
      </w:r>
      <w:r>
        <w:rPr>
          <w:rFonts w:hint="eastAsia" w:ascii="宋体" w:hAnsi="宋体"/>
          <w:color w:val="auto"/>
          <w:szCs w:val="21"/>
          <w:highlight w:val="none"/>
        </w:rPr>
        <w:t>％。关键项目：</w:t>
      </w:r>
      <w:r>
        <w:rPr>
          <w:rFonts w:hint="eastAsia" w:ascii="宋体" w:hAnsi="宋体"/>
          <w:color w:val="auto"/>
          <w:highlight w:val="none"/>
          <w:u w:val="single"/>
        </w:rPr>
        <w:t xml:space="preserve">主体结构工程 </w:t>
      </w:r>
      <w:r>
        <w:rPr>
          <w:rFonts w:hint="eastAsia" w:ascii="宋体" w:hAnsi="宋体"/>
          <w:color w:val="auto"/>
          <w:highlight w:val="none"/>
        </w:rPr>
        <w:t>，</w:t>
      </w:r>
      <w:r>
        <w:rPr>
          <w:rFonts w:hint="eastAsia" w:ascii="宋体" w:hAnsi="宋体"/>
          <w:color w:val="auto"/>
          <w:szCs w:val="21"/>
          <w:highlight w:val="none"/>
        </w:rPr>
        <w:t>单价调整方式：</w:t>
      </w:r>
      <w:r>
        <w:rPr>
          <w:rFonts w:hint="eastAsia" w:ascii="宋体" w:hAnsi="宋体"/>
          <w:color w:val="auto"/>
          <w:highlight w:val="none"/>
          <w:u w:val="single"/>
        </w:rPr>
        <w:t>不调整单价</w:t>
      </w:r>
      <w:r>
        <w:rPr>
          <w:rFonts w:hint="eastAsia" w:ascii="宋体" w:hAnsi="宋体"/>
          <w:color w:val="auto"/>
          <w:highlight w:val="none"/>
        </w:rPr>
        <w:t>。</w:t>
      </w:r>
    </w:p>
    <w:p w14:paraId="2B5804BE">
      <w:pPr>
        <w:spacing w:line="400" w:lineRule="exact"/>
        <w:ind w:right="248" w:firstLine="480"/>
        <w:rPr>
          <w:rFonts w:ascii="宋体" w:hAnsi="宋体"/>
          <w:color w:val="auto"/>
          <w:szCs w:val="21"/>
          <w:highlight w:val="none"/>
        </w:rPr>
      </w:pPr>
      <w:r>
        <w:rPr>
          <w:rFonts w:hint="eastAsia" w:ascii="宋体" w:hAnsi="宋体"/>
          <w:color w:val="auto"/>
          <w:szCs w:val="21"/>
          <w:highlight w:val="none"/>
        </w:rPr>
        <w:t>（7）以下情形不属于工程变更范围：</w:t>
      </w:r>
    </w:p>
    <w:p w14:paraId="39B9C942">
      <w:pPr>
        <w:spacing w:line="400" w:lineRule="exact"/>
        <w:ind w:right="248" w:firstLine="480"/>
        <w:rPr>
          <w:rFonts w:ascii="宋体" w:hAnsi="宋体"/>
          <w:color w:val="auto"/>
          <w:szCs w:val="21"/>
          <w:highlight w:val="none"/>
        </w:rPr>
      </w:pP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 1 \* GB3 </w:instrText>
      </w:r>
      <w:r>
        <w:rPr>
          <w:rFonts w:hint="eastAsia" w:ascii="宋体" w:hAnsi="宋体"/>
          <w:color w:val="auto"/>
          <w:szCs w:val="21"/>
          <w:highlight w:val="none"/>
        </w:rPr>
        <w:fldChar w:fldCharType="separate"/>
      </w:r>
      <w:r>
        <w:rPr>
          <w:rFonts w:hint="eastAsia" w:ascii="宋体" w:hAnsi="宋体"/>
          <w:color w:val="auto"/>
          <w:szCs w:val="21"/>
          <w:highlight w:val="none"/>
        </w:rPr>
        <w:t>①</w:t>
      </w:r>
      <w:r>
        <w:rPr>
          <w:rFonts w:hint="eastAsia" w:ascii="宋体" w:hAnsi="宋体"/>
          <w:color w:val="auto"/>
          <w:szCs w:val="21"/>
          <w:highlight w:val="none"/>
        </w:rPr>
        <w:fldChar w:fldCharType="end"/>
      </w:r>
      <w:r>
        <w:rPr>
          <w:rFonts w:hint="eastAsia" w:ascii="宋体" w:hAnsi="宋体"/>
          <w:color w:val="auto"/>
          <w:szCs w:val="21"/>
          <w:highlight w:val="none"/>
        </w:rPr>
        <w:t>项目法人在工程招标文件及其配套的补充通知、设计图纸等文件中已明确应由承包方承担的工作内容、义务和风险，如工程实体的实施（含临时工程）、现场安全生产措施、物价正常波动等。</w:t>
      </w:r>
    </w:p>
    <w:p w14:paraId="6F56224D">
      <w:pPr>
        <w:spacing w:line="400" w:lineRule="exact"/>
        <w:ind w:right="248" w:firstLine="480"/>
        <w:rPr>
          <w:rFonts w:ascii="宋体" w:hAnsi="宋体"/>
          <w:color w:val="auto"/>
          <w:szCs w:val="21"/>
          <w:highlight w:val="none"/>
        </w:rPr>
      </w:pP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 2 \* GB3 </w:instrText>
      </w:r>
      <w:r>
        <w:rPr>
          <w:rFonts w:hint="eastAsia" w:ascii="宋体" w:hAnsi="宋体"/>
          <w:color w:val="auto"/>
          <w:szCs w:val="21"/>
          <w:highlight w:val="none"/>
        </w:rPr>
        <w:fldChar w:fldCharType="separate"/>
      </w:r>
      <w:r>
        <w:rPr>
          <w:rFonts w:hint="eastAsia" w:ascii="宋体" w:hAnsi="宋体"/>
          <w:color w:val="auto"/>
          <w:szCs w:val="21"/>
          <w:highlight w:val="none"/>
        </w:rPr>
        <w:t>②</w:t>
      </w:r>
      <w:r>
        <w:rPr>
          <w:rFonts w:hint="eastAsia" w:ascii="宋体" w:hAnsi="宋体"/>
          <w:color w:val="auto"/>
          <w:szCs w:val="21"/>
          <w:highlight w:val="none"/>
        </w:rPr>
        <w:fldChar w:fldCharType="end"/>
      </w:r>
      <w:r>
        <w:rPr>
          <w:rFonts w:hint="eastAsia" w:ascii="宋体" w:hAnsi="宋体"/>
          <w:color w:val="auto"/>
          <w:szCs w:val="21"/>
          <w:highlight w:val="none"/>
        </w:rPr>
        <w:t>因承包方自身技术力量、施工机械、流动资金以及其他应由承包方自身解决的问题等原因导致的工程无法实施或难以实施。</w:t>
      </w:r>
    </w:p>
    <w:p w14:paraId="2CF86D29">
      <w:pPr>
        <w:spacing w:line="400" w:lineRule="exact"/>
        <w:ind w:right="248" w:firstLine="480"/>
        <w:rPr>
          <w:rFonts w:ascii="宋体" w:hAnsi="宋体"/>
          <w:color w:val="auto"/>
          <w:szCs w:val="21"/>
          <w:highlight w:val="none"/>
        </w:rPr>
      </w:pP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 3 \* GB3 </w:instrText>
      </w:r>
      <w:r>
        <w:rPr>
          <w:rFonts w:hint="eastAsia" w:ascii="宋体" w:hAnsi="宋体"/>
          <w:color w:val="auto"/>
          <w:szCs w:val="21"/>
          <w:highlight w:val="none"/>
        </w:rPr>
        <w:fldChar w:fldCharType="separate"/>
      </w:r>
      <w:r>
        <w:rPr>
          <w:rFonts w:hint="eastAsia" w:ascii="宋体" w:hAnsi="宋体"/>
          <w:color w:val="auto"/>
          <w:szCs w:val="21"/>
          <w:highlight w:val="none"/>
        </w:rPr>
        <w:t>③</w:t>
      </w:r>
      <w:r>
        <w:rPr>
          <w:rFonts w:hint="eastAsia" w:ascii="宋体" w:hAnsi="宋体"/>
          <w:color w:val="auto"/>
          <w:szCs w:val="21"/>
          <w:highlight w:val="none"/>
        </w:rPr>
        <w:fldChar w:fldCharType="end"/>
      </w:r>
      <w:r>
        <w:rPr>
          <w:rFonts w:hint="eastAsia" w:ascii="宋体" w:hAnsi="宋体"/>
          <w:color w:val="auto"/>
          <w:szCs w:val="21"/>
          <w:highlight w:val="none"/>
        </w:rPr>
        <w:t>施工图纸与工程量清单不一致（存在漏项或计量不准确等），但未超出相关合同计量条款约定的调整界限。</w:t>
      </w:r>
    </w:p>
    <w:p w14:paraId="43D30068">
      <w:pPr>
        <w:spacing w:line="400" w:lineRule="exact"/>
        <w:ind w:right="248" w:firstLine="480"/>
        <w:rPr>
          <w:rFonts w:ascii="宋体" w:hAnsi="宋体"/>
          <w:color w:val="auto"/>
          <w:szCs w:val="21"/>
          <w:highlight w:val="none"/>
        </w:rPr>
      </w:pP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 4 \* GB3 </w:instrText>
      </w:r>
      <w:r>
        <w:rPr>
          <w:rFonts w:hint="eastAsia" w:ascii="宋体" w:hAnsi="宋体"/>
          <w:color w:val="auto"/>
          <w:szCs w:val="21"/>
          <w:highlight w:val="none"/>
        </w:rPr>
        <w:fldChar w:fldCharType="separate"/>
      </w:r>
      <w:r>
        <w:rPr>
          <w:rFonts w:hint="eastAsia" w:ascii="宋体" w:hAnsi="宋体"/>
          <w:color w:val="auto"/>
          <w:szCs w:val="21"/>
          <w:highlight w:val="none"/>
        </w:rPr>
        <w:t>④</w:t>
      </w:r>
      <w:r>
        <w:rPr>
          <w:rFonts w:hint="eastAsia" w:ascii="宋体" w:hAnsi="宋体"/>
          <w:color w:val="auto"/>
          <w:szCs w:val="21"/>
          <w:highlight w:val="none"/>
        </w:rPr>
        <w:fldChar w:fldCharType="end"/>
      </w:r>
      <w:r>
        <w:rPr>
          <w:rFonts w:hint="eastAsia" w:ascii="宋体" w:hAnsi="宋体"/>
          <w:color w:val="auto"/>
          <w:szCs w:val="21"/>
          <w:highlight w:val="none"/>
        </w:rPr>
        <w:t>承包方投标失误，如工程量、单价、总价计算错误，对现场施工组织考虑不周等。</w:t>
      </w:r>
    </w:p>
    <w:p w14:paraId="65400114">
      <w:pPr>
        <w:spacing w:line="400" w:lineRule="exact"/>
        <w:ind w:right="248" w:firstLine="480"/>
        <w:rPr>
          <w:rFonts w:ascii="宋体" w:hAnsi="宋体"/>
          <w:color w:val="auto"/>
          <w:szCs w:val="21"/>
          <w:highlight w:val="none"/>
        </w:rPr>
      </w:pP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 5 \* GB3 </w:instrText>
      </w:r>
      <w:r>
        <w:rPr>
          <w:rFonts w:hint="eastAsia" w:ascii="宋体" w:hAnsi="宋体"/>
          <w:color w:val="auto"/>
          <w:szCs w:val="21"/>
          <w:highlight w:val="none"/>
        </w:rPr>
        <w:fldChar w:fldCharType="separate"/>
      </w:r>
      <w:r>
        <w:rPr>
          <w:rFonts w:hint="eastAsia" w:ascii="宋体" w:hAnsi="宋体"/>
          <w:color w:val="auto"/>
          <w:szCs w:val="21"/>
          <w:highlight w:val="none"/>
        </w:rPr>
        <w:t>⑤</w:t>
      </w:r>
      <w:r>
        <w:rPr>
          <w:rFonts w:hint="eastAsia" w:ascii="宋体" w:hAnsi="宋体"/>
          <w:color w:val="auto"/>
          <w:szCs w:val="21"/>
          <w:highlight w:val="none"/>
        </w:rPr>
        <w:fldChar w:fldCharType="end"/>
      </w:r>
      <w:r>
        <w:rPr>
          <w:rFonts w:hint="eastAsia" w:ascii="宋体" w:hAnsi="宋体"/>
          <w:color w:val="auto"/>
          <w:szCs w:val="21"/>
          <w:highlight w:val="none"/>
        </w:rPr>
        <w:t>属于发包时约定由承包方统筹包干使用费用的项目（如一般临时工程、一般拆除工程、排水、承包人驻地建设、施工道路与通道、围蔽、支护等）。</w:t>
      </w:r>
    </w:p>
    <w:p w14:paraId="3BF8987A">
      <w:pPr>
        <w:spacing w:line="400" w:lineRule="exact"/>
        <w:ind w:right="248" w:firstLine="480"/>
        <w:rPr>
          <w:rFonts w:ascii="宋体" w:hAnsi="宋体"/>
          <w:color w:val="auto"/>
          <w:szCs w:val="21"/>
          <w:highlight w:val="none"/>
        </w:rPr>
      </w:pPr>
      <w:r>
        <w:rPr>
          <w:rFonts w:hint="eastAsia" w:ascii="宋体" w:hAnsi="宋体"/>
          <w:color w:val="auto"/>
          <w:szCs w:val="21"/>
          <w:highlight w:val="none"/>
        </w:rPr>
        <w:t xml:space="preserve">⑥其他不属于变更的情形：                                          </w:t>
      </w:r>
    </w:p>
    <w:p w14:paraId="05EC5CC4">
      <w:pPr>
        <w:spacing w:line="400" w:lineRule="exact"/>
        <w:ind w:right="248" w:firstLine="480"/>
        <w:rPr>
          <w:rFonts w:ascii="宋体" w:hAnsi="宋体"/>
          <w:color w:val="auto"/>
          <w:szCs w:val="21"/>
          <w:highlight w:val="none"/>
        </w:rPr>
      </w:pPr>
      <w:r>
        <w:rPr>
          <w:rFonts w:hint="eastAsia" w:ascii="宋体" w:hAnsi="宋体"/>
          <w:color w:val="auto"/>
          <w:szCs w:val="21"/>
          <w:highlight w:val="none"/>
        </w:rPr>
        <w:t>单项工程合同变更追加工程用款金额涉及招投标事项的，按增府〔2020〕10号和穗增发改〔2021〕10号和其他相关规定执行。有最新规范文件，按照新规定执行。</w:t>
      </w:r>
    </w:p>
    <w:p w14:paraId="04745519">
      <w:pPr>
        <w:numPr>
          <w:ilvl w:val="0"/>
          <w:numId w:val="26"/>
        </w:numPr>
        <w:spacing w:line="400" w:lineRule="exact"/>
        <w:ind w:right="248" w:firstLine="480"/>
        <w:rPr>
          <w:rFonts w:ascii="宋体" w:hAnsi="宋体"/>
          <w:color w:val="auto"/>
          <w:szCs w:val="21"/>
          <w:highlight w:val="none"/>
        </w:rPr>
      </w:pPr>
      <w:r>
        <w:rPr>
          <w:rFonts w:hint="eastAsia" w:ascii="宋体" w:hAnsi="宋体"/>
          <w:color w:val="auto"/>
          <w:szCs w:val="21"/>
          <w:highlight w:val="none"/>
        </w:rPr>
        <w:t>补充: 如实施过程中发现设计上有错误或严重不合理，承包人应以书面形式通知发包人和总监理工程师，经总监理工程师审查并报发包人同意后，由发包人与设计单位商定修改或变更设计方案进行实施，所有</w:t>
      </w:r>
      <w:r>
        <w:rPr>
          <w:rFonts w:ascii="宋体" w:hAnsi="宋体"/>
          <w:color w:val="auto"/>
          <w:szCs w:val="21"/>
          <w:highlight w:val="none"/>
        </w:rPr>
        <w:t>变更</w:t>
      </w:r>
      <w:r>
        <w:rPr>
          <w:rFonts w:hint="eastAsia" w:ascii="宋体" w:hAnsi="宋体"/>
          <w:color w:val="auto"/>
          <w:szCs w:val="21"/>
          <w:highlight w:val="none"/>
        </w:rPr>
        <w:t>承包人需做好现场图片形象资料和原始记录。</w:t>
      </w:r>
    </w:p>
    <w:p w14:paraId="12C85547">
      <w:pPr>
        <w:keepNext/>
        <w:keepLines/>
        <w:spacing w:before="260" w:after="260" w:line="416" w:lineRule="auto"/>
        <w:outlineLvl w:val="2"/>
        <w:rPr>
          <w:rFonts w:ascii="宋体" w:hAnsi="宋体"/>
          <w:b/>
          <w:bCs/>
          <w:color w:val="auto"/>
          <w:kern w:val="0"/>
          <w:sz w:val="32"/>
          <w:szCs w:val="32"/>
          <w:highlight w:val="none"/>
        </w:rPr>
      </w:pPr>
      <w:bookmarkStart w:id="892" w:name="_Toc367280765"/>
      <w:bookmarkStart w:id="893" w:name="_Toc115180008"/>
      <w:bookmarkStart w:id="894" w:name="_Toc354050748"/>
      <w:bookmarkStart w:id="895" w:name="_Toc354042271"/>
      <w:r>
        <w:rPr>
          <w:rFonts w:hint="eastAsia" w:ascii="宋体" w:hAnsi="宋体"/>
          <w:b/>
          <w:bCs/>
          <w:color w:val="auto"/>
          <w:kern w:val="0"/>
          <w:sz w:val="32"/>
          <w:szCs w:val="32"/>
          <w:highlight w:val="none"/>
        </w:rPr>
        <w:t>15.2变更权</w:t>
      </w:r>
      <w:bookmarkEnd w:id="892"/>
      <w:bookmarkEnd w:id="893"/>
      <w:bookmarkEnd w:id="894"/>
      <w:bookmarkEnd w:id="895"/>
    </w:p>
    <w:p w14:paraId="02EABE58">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15.2.2工程变更必须按照增府〔2020〕10号、穗增水〔2021〕2号和穗增发改〔2021〕10号和其他相关规定履行报批手续后方可变更。有最新规范文件，按照新规定执行。</w:t>
      </w:r>
    </w:p>
    <w:p w14:paraId="3B230FD7">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15.2.4工程变更还应遵循相关法律法规和政策规定以及发包人制定的设计变更管理办法。</w:t>
      </w:r>
    </w:p>
    <w:p w14:paraId="1B4F7DED">
      <w:pPr>
        <w:keepNext/>
        <w:keepLines/>
        <w:spacing w:before="260" w:after="260" w:line="416" w:lineRule="auto"/>
        <w:outlineLvl w:val="2"/>
        <w:rPr>
          <w:rFonts w:ascii="宋体" w:hAnsi="宋体"/>
          <w:b/>
          <w:bCs/>
          <w:color w:val="auto"/>
          <w:kern w:val="0"/>
          <w:sz w:val="32"/>
          <w:szCs w:val="32"/>
          <w:highlight w:val="none"/>
        </w:rPr>
      </w:pPr>
      <w:bookmarkStart w:id="896" w:name="_Toc354050749"/>
      <w:bookmarkStart w:id="897" w:name="_Toc354042272"/>
      <w:bookmarkStart w:id="898" w:name="_Toc115180009"/>
      <w:bookmarkStart w:id="899" w:name="_Toc367280766"/>
      <w:r>
        <w:rPr>
          <w:rFonts w:hint="eastAsia" w:ascii="宋体" w:hAnsi="宋体"/>
          <w:b/>
          <w:bCs/>
          <w:color w:val="auto"/>
          <w:kern w:val="0"/>
          <w:sz w:val="32"/>
          <w:szCs w:val="32"/>
          <w:highlight w:val="none"/>
        </w:rPr>
        <w:t>15.3变更程序</w:t>
      </w:r>
      <w:bookmarkEnd w:id="896"/>
      <w:bookmarkEnd w:id="897"/>
      <w:bookmarkEnd w:id="898"/>
      <w:bookmarkEnd w:id="899"/>
    </w:p>
    <w:p w14:paraId="3B6F5A2E">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15.3.2变更估价</w:t>
      </w:r>
    </w:p>
    <w:p w14:paraId="5C542C1D">
      <w:pPr>
        <w:spacing w:line="400" w:lineRule="exact"/>
        <w:ind w:right="248" w:firstLine="480"/>
        <w:rPr>
          <w:rFonts w:ascii="宋体" w:hAnsi="宋体"/>
          <w:color w:val="auto"/>
          <w:szCs w:val="21"/>
          <w:highlight w:val="none"/>
        </w:rPr>
      </w:pPr>
      <w:r>
        <w:rPr>
          <w:rFonts w:hint="eastAsia" w:ascii="宋体" w:hAnsi="宋体"/>
          <w:color w:val="auto"/>
          <w:szCs w:val="21"/>
          <w:highlight w:val="none"/>
        </w:rPr>
        <w:t>（1）承包人提交变更报价书的期限：</w:t>
      </w:r>
      <w:r>
        <w:rPr>
          <w:rFonts w:hint="eastAsia" w:ascii="宋体" w:hAnsi="宋体"/>
          <w:color w:val="auto"/>
          <w:szCs w:val="21"/>
          <w:highlight w:val="none"/>
          <w:u w:val="single"/>
        </w:rPr>
        <w:t>3天</w:t>
      </w:r>
      <w:r>
        <w:rPr>
          <w:rFonts w:hint="eastAsia" w:ascii="宋体" w:hAnsi="宋体"/>
          <w:color w:val="auto"/>
          <w:szCs w:val="21"/>
          <w:highlight w:val="none"/>
        </w:rPr>
        <w:t>。</w:t>
      </w:r>
    </w:p>
    <w:p w14:paraId="4BD08409">
      <w:pPr>
        <w:spacing w:line="400" w:lineRule="exact"/>
        <w:ind w:right="248" w:firstLine="480"/>
        <w:rPr>
          <w:rFonts w:ascii="宋体" w:hAnsi="宋体"/>
          <w:color w:val="auto"/>
          <w:szCs w:val="21"/>
          <w:highlight w:val="none"/>
        </w:rPr>
      </w:pPr>
      <w:r>
        <w:rPr>
          <w:rFonts w:hint="eastAsia" w:ascii="宋体" w:hAnsi="宋体"/>
          <w:color w:val="auto"/>
          <w:szCs w:val="21"/>
          <w:highlight w:val="none"/>
        </w:rPr>
        <w:t>（3）监理人商定或确定变更价格的期限：</w:t>
      </w:r>
      <w:r>
        <w:rPr>
          <w:rFonts w:hint="eastAsia" w:ascii="宋体" w:hAnsi="宋体"/>
          <w:color w:val="auto"/>
          <w:szCs w:val="21"/>
          <w:highlight w:val="none"/>
          <w:u w:val="single"/>
        </w:rPr>
        <w:t>3天</w:t>
      </w:r>
      <w:r>
        <w:rPr>
          <w:rFonts w:hint="eastAsia" w:ascii="宋体" w:hAnsi="宋体"/>
          <w:color w:val="auto"/>
          <w:szCs w:val="21"/>
          <w:highlight w:val="none"/>
        </w:rPr>
        <w:t>。</w:t>
      </w:r>
    </w:p>
    <w:p w14:paraId="19B19D61">
      <w:pPr>
        <w:spacing w:line="400" w:lineRule="exact"/>
        <w:ind w:right="248" w:firstLine="480"/>
        <w:rPr>
          <w:rFonts w:ascii="宋体" w:hAnsi="宋体"/>
          <w:color w:val="auto"/>
          <w:szCs w:val="21"/>
          <w:highlight w:val="none"/>
        </w:rPr>
      </w:pPr>
      <w:r>
        <w:rPr>
          <w:rFonts w:hint="eastAsia" w:ascii="宋体" w:hAnsi="宋体"/>
          <w:color w:val="auto"/>
          <w:szCs w:val="21"/>
          <w:highlight w:val="none"/>
        </w:rPr>
        <w:t>（4）收到变更指示后，如承包人未在规定的期限内提交变更报价书的，监理人可自行决定是否调整合同价款以及如果监理人决定调整合同价款时，相应调整的具体金额。</w:t>
      </w:r>
    </w:p>
    <w:p w14:paraId="5C2B66E0">
      <w:pPr>
        <w:keepNext/>
        <w:keepLines/>
        <w:spacing w:before="260" w:after="260" w:line="416" w:lineRule="auto"/>
        <w:outlineLvl w:val="2"/>
        <w:rPr>
          <w:rFonts w:ascii="宋体" w:hAnsi="宋体"/>
          <w:b/>
          <w:bCs/>
          <w:color w:val="auto"/>
          <w:kern w:val="0"/>
          <w:sz w:val="32"/>
          <w:szCs w:val="32"/>
          <w:highlight w:val="none"/>
        </w:rPr>
      </w:pPr>
      <w:bookmarkStart w:id="900" w:name="_Toc354050750"/>
      <w:bookmarkStart w:id="901" w:name="_Toc367280767"/>
      <w:bookmarkStart w:id="902" w:name="_Toc115180010"/>
      <w:r>
        <w:rPr>
          <w:rFonts w:hint="eastAsia" w:ascii="宋体" w:hAnsi="宋体"/>
          <w:b/>
          <w:bCs/>
          <w:color w:val="auto"/>
          <w:kern w:val="0"/>
          <w:sz w:val="32"/>
          <w:szCs w:val="32"/>
          <w:highlight w:val="none"/>
        </w:rPr>
        <w:t>15.4变更的估价原则</w:t>
      </w:r>
      <w:bookmarkEnd w:id="900"/>
      <w:bookmarkEnd w:id="901"/>
      <w:bookmarkEnd w:id="902"/>
    </w:p>
    <w:p w14:paraId="47AE1D5B">
      <w:pPr>
        <w:spacing w:line="400" w:lineRule="exact"/>
        <w:ind w:right="248" w:firstLine="480"/>
        <w:rPr>
          <w:rFonts w:ascii="宋体" w:hAnsi="宋体"/>
          <w:color w:val="auto"/>
          <w:szCs w:val="21"/>
          <w:highlight w:val="none"/>
        </w:rPr>
      </w:pPr>
      <w:bookmarkStart w:id="903" w:name="_Toc353972671"/>
      <w:bookmarkStart w:id="904" w:name="_Toc354042274"/>
      <w:bookmarkStart w:id="905" w:name="_Toc367280768"/>
      <w:bookmarkStart w:id="906" w:name="_Toc354050751"/>
      <w:r>
        <w:rPr>
          <w:rFonts w:hint="eastAsia" w:ascii="宋体" w:hAnsi="宋体"/>
          <w:color w:val="auto"/>
          <w:szCs w:val="21"/>
          <w:highlight w:val="none"/>
        </w:rPr>
        <w:t>15.4.3.2合同中没有适用于变更工程项目的单价的，则根据变更工程资料、计量规范和计价办法、工程造价管理机构发布的信息（参考）价格，并按照中标合同总价的下浮率（即中标价相对于最高投标限价的下浮比率）核定变更项目的单价和总价，按发包人有关规定办理有关变更审价程序后调整。</w:t>
      </w:r>
      <w:bookmarkEnd w:id="903"/>
      <w:bookmarkEnd w:id="904"/>
      <w:bookmarkEnd w:id="905"/>
      <w:bookmarkEnd w:id="906"/>
    </w:p>
    <w:p w14:paraId="75E882CC">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15.4.3.3合同中没有适用的单价、且工程造价管理机构发布的信息(参考)价格缺价的，则根据变更工程资料、计量规则、计价办法和通过市场调查等的有合法依据的市场价格，并按照中标合同总价的下浮率（即中标价相对于最高投标限价的下浮比率）核定变更项目的单价和总价，按发包人有关规定办理有关变更审价程序后调整。</w:t>
      </w:r>
    </w:p>
    <w:p w14:paraId="41EBBD98">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15.4.4合同中有适用单价的，变更项目按照中标价的下浮率核定单价和总价。</w:t>
      </w:r>
    </w:p>
    <w:p w14:paraId="4759EED0">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15.4.5因工程量清单漏项（仅适用于合同协议书约定采用单价合同形式时）或变更引起措施项目发生实质性变化（项目的位置与变更前项目的位置发生变化而引起的地质情况及地形地貌发生实质性改变）的，方可调整措施项目费。原措施项目费中已有的措施项目，采用原措施项目费的组价方法变更；原措施项目费中没有的措施项目，由承包人根据措施项目变更情况，提出适当的措施项目费变更，由监理人按第3.5款商定或确定变更措施项目的费用。</w:t>
      </w:r>
      <w:bookmarkStart w:id="907" w:name="第04章合同条款及格式0216"/>
      <w:bookmarkEnd w:id="907"/>
    </w:p>
    <w:p w14:paraId="2230F27E">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15.4.6监理人确定的变更单价为暂定价，经发包人确认签证后，作为合同的补充文件，按单价承包的原则执行，</w:t>
      </w:r>
      <w:r>
        <w:rPr>
          <w:rFonts w:hint="eastAsia" w:ascii="宋体" w:hAnsi="宋体"/>
          <w:b/>
          <w:bCs/>
          <w:color w:val="auto"/>
          <w:szCs w:val="21"/>
          <w:highlight w:val="none"/>
        </w:rPr>
        <w:t>最终的工程结算单价以财政部门结算评审结果为准</w:t>
      </w:r>
      <w:r>
        <w:rPr>
          <w:rFonts w:hint="eastAsia" w:ascii="宋体" w:hAnsi="宋体"/>
          <w:color w:val="auto"/>
          <w:szCs w:val="21"/>
          <w:highlight w:val="none"/>
        </w:rPr>
        <w:t>。</w:t>
      </w:r>
    </w:p>
    <w:p w14:paraId="45A23C8B">
      <w:pPr>
        <w:keepNext/>
        <w:keepLines/>
        <w:spacing w:before="260" w:after="260" w:line="416" w:lineRule="auto"/>
        <w:outlineLvl w:val="2"/>
        <w:rPr>
          <w:rFonts w:ascii="宋体" w:hAnsi="宋体"/>
          <w:b/>
          <w:bCs/>
          <w:color w:val="auto"/>
          <w:kern w:val="0"/>
          <w:sz w:val="32"/>
          <w:szCs w:val="32"/>
          <w:highlight w:val="none"/>
        </w:rPr>
      </w:pPr>
      <w:bookmarkStart w:id="908" w:name="_Toc367280769"/>
      <w:bookmarkStart w:id="909" w:name="_Toc115180011"/>
      <w:bookmarkStart w:id="910" w:name="_Toc22776"/>
      <w:bookmarkStart w:id="911" w:name="_Toc20858"/>
      <w:r>
        <w:rPr>
          <w:rFonts w:hint="eastAsia" w:ascii="宋体" w:hAnsi="宋体"/>
          <w:b/>
          <w:bCs/>
          <w:color w:val="auto"/>
          <w:kern w:val="0"/>
          <w:sz w:val="32"/>
          <w:szCs w:val="32"/>
          <w:highlight w:val="none"/>
        </w:rPr>
        <w:t>15.5　承包人的合理化建议</w:t>
      </w:r>
      <w:bookmarkEnd w:id="908"/>
      <w:bookmarkEnd w:id="909"/>
    </w:p>
    <w:p w14:paraId="425071AA">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15.5.2　承包人实现合理化建议的奖励金额为：</w:t>
      </w:r>
      <w:r>
        <w:rPr>
          <w:rFonts w:hint="eastAsia" w:ascii="宋体" w:hAnsi="宋体"/>
          <w:color w:val="auto"/>
          <w:szCs w:val="21"/>
          <w:highlight w:val="none"/>
          <w:u w:val="single"/>
        </w:rPr>
        <w:t>　　/　</w:t>
      </w:r>
      <w:r>
        <w:rPr>
          <w:rFonts w:hint="eastAsia" w:ascii="宋体" w:hAnsi="宋体"/>
          <w:color w:val="auto"/>
          <w:szCs w:val="21"/>
          <w:highlight w:val="none"/>
        </w:rPr>
        <w:t>。</w:t>
      </w:r>
    </w:p>
    <w:p w14:paraId="35C0B990">
      <w:pPr>
        <w:keepNext/>
        <w:keepLines/>
        <w:spacing w:before="260" w:after="260" w:line="416" w:lineRule="auto"/>
        <w:outlineLvl w:val="2"/>
        <w:rPr>
          <w:rFonts w:ascii="宋体" w:hAnsi="宋体"/>
          <w:b/>
          <w:bCs/>
          <w:color w:val="auto"/>
          <w:kern w:val="0"/>
          <w:sz w:val="32"/>
          <w:szCs w:val="32"/>
          <w:highlight w:val="none"/>
        </w:rPr>
      </w:pPr>
      <w:bookmarkStart w:id="912" w:name="_Toc367280770"/>
      <w:bookmarkStart w:id="913" w:name="_Toc115180012"/>
      <w:r>
        <w:rPr>
          <w:rFonts w:hint="eastAsia" w:ascii="宋体" w:hAnsi="宋体"/>
          <w:b/>
          <w:bCs/>
          <w:color w:val="auto"/>
          <w:kern w:val="0"/>
          <w:sz w:val="32"/>
          <w:szCs w:val="32"/>
          <w:highlight w:val="none"/>
        </w:rPr>
        <w:t>15.8　暂估价</w:t>
      </w:r>
      <w:bookmarkEnd w:id="912"/>
      <w:bookmarkEnd w:id="913"/>
    </w:p>
    <w:p w14:paraId="2661337E">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15.8.1　（1）发包人和承包人组织招标的暂估价项目：</w:t>
      </w:r>
      <w:r>
        <w:rPr>
          <w:rFonts w:hint="eastAsia" w:ascii="宋体" w:hAnsi="宋体"/>
          <w:color w:val="auto"/>
          <w:szCs w:val="21"/>
          <w:highlight w:val="none"/>
          <w:u w:val="single"/>
        </w:rPr>
        <w:t>　　/　</w:t>
      </w:r>
      <w:r>
        <w:rPr>
          <w:rFonts w:hint="eastAsia" w:ascii="宋体" w:hAnsi="宋体"/>
          <w:color w:val="auto"/>
          <w:szCs w:val="21"/>
          <w:highlight w:val="none"/>
        </w:rPr>
        <w:t>；发包人组织招标的暂估价项目：</w:t>
      </w:r>
      <w:r>
        <w:rPr>
          <w:rFonts w:hint="eastAsia" w:ascii="宋体" w:hAnsi="宋体"/>
          <w:color w:val="auto"/>
          <w:szCs w:val="21"/>
          <w:highlight w:val="none"/>
          <w:u w:val="single"/>
        </w:rPr>
        <w:t>　　/　</w:t>
      </w:r>
      <w:r>
        <w:rPr>
          <w:rFonts w:hint="eastAsia" w:ascii="宋体" w:hAnsi="宋体"/>
          <w:color w:val="auto"/>
          <w:szCs w:val="21"/>
          <w:highlight w:val="none"/>
        </w:rPr>
        <w:t>。</w:t>
      </w:r>
    </w:p>
    <w:p w14:paraId="4E0E0492">
      <w:pPr>
        <w:spacing w:line="400" w:lineRule="exact"/>
        <w:ind w:right="248" w:firstLine="480"/>
        <w:rPr>
          <w:rFonts w:ascii="宋体" w:hAnsi="宋体"/>
          <w:color w:val="auto"/>
          <w:szCs w:val="21"/>
          <w:highlight w:val="none"/>
          <w:u w:val="single"/>
        </w:rPr>
      </w:pPr>
      <w:r>
        <w:rPr>
          <w:rFonts w:hint="eastAsia" w:ascii="宋体" w:hAnsi="宋体"/>
          <w:color w:val="auto"/>
          <w:szCs w:val="21"/>
          <w:highlight w:val="none"/>
        </w:rPr>
        <w:t>（2）发包人和承包人以招标方式选择暂估价项目供应商或分包人时，双方的权利义务关系：</w:t>
      </w:r>
      <w:r>
        <w:rPr>
          <w:rFonts w:ascii="宋体" w:hAnsi="宋体"/>
          <w:color w:val="auto"/>
          <w:szCs w:val="21"/>
          <w:highlight w:val="none"/>
          <w:u w:val="single"/>
        </w:rPr>
        <w:t>由发包人根据有关规定确定暂估价项目供应商或分包人，且由承包人负责管理，承包人向发包人负责。</w:t>
      </w:r>
    </w:p>
    <w:p w14:paraId="45D8BBC0">
      <w:pPr>
        <w:spacing w:line="400" w:lineRule="exact"/>
        <w:ind w:right="248" w:firstLine="480"/>
        <w:rPr>
          <w:rFonts w:ascii="宋体" w:hAnsi="宋体"/>
          <w:color w:val="auto"/>
          <w:szCs w:val="21"/>
          <w:highlight w:val="none"/>
        </w:rPr>
      </w:pPr>
      <w:r>
        <w:rPr>
          <w:rFonts w:ascii="宋体" w:hAnsi="宋体"/>
          <w:color w:val="auto"/>
          <w:szCs w:val="21"/>
          <w:highlight w:val="none"/>
        </w:rPr>
        <w:t>（3）招标人将根据设计及其他情况决定延期实施或是否实施暂估价项目，招标人对由此造成的工期延误或结算价变动不承担任何责任或费用；投标人在进行本项目（或标段）投标时，应预见到可能产生的风险。</w:t>
      </w:r>
    </w:p>
    <w:p w14:paraId="2D41945C">
      <w:pPr>
        <w:spacing w:before="260" w:after="260" w:line="400" w:lineRule="exact"/>
        <w:outlineLvl w:val="1"/>
        <w:rPr>
          <w:rFonts w:ascii="宋体" w:hAnsi="宋体" w:eastAsia="黑体"/>
          <w:color w:val="auto"/>
          <w:kern w:val="44"/>
          <w:sz w:val="27"/>
          <w:szCs w:val="27"/>
          <w:highlight w:val="none"/>
        </w:rPr>
      </w:pPr>
      <w:bookmarkStart w:id="914" w:name="_Toc115180013"/>
      <w:bookmarkStart w:id="915" w:name="_Toc483383040"/>
      <w:r>
        <w:rPr>
          <w:rFonts w:hint="eastAsia" w:ascii="宋体" w:hAnsi="宋体" w:eastAsia="黑体"/>
          <w:color w:val="auto"/>
          <w:kern w:val="44"/>
          <w:sz w:val="27"/>
          <w:szCs w:val="27"/>
          <w:highlight w:val="none"/>
        </w:rPr>
        <w:t>16 价格调整</w:t>
      </w:r>
      <w:bookmarkEnd w:id="910"/>
      <w:bookmarkEnd w:id="911"/>
      <w:bookmarkEnd w:id="914"/>
      <w:bookmarkEnd w:id="915"/>
    </w:p>
    <w:p w14:paraId="78900C0A">
      <w:pPr>
        <w:keepNext/>
        <w:keepLines/>
        <w:spacing w:before="260" w:after="260" w:line="416" w:lineRule="auto"/>
        <w:outlineLvl w:val="2"/>
        <w:rPr>
          <w:rFonts w:ascii="宋体" w:hAnsi="宋体"/>
          <w:b/>
          <w:bCs/>
          <w:color w:val="auto"/>
          <w:kern w:val="0"/>
          <w:sz w:val="32"/>
          <w:szCs w:val="32"/>
          <w:highlight w:val="none"/>
        </w:rPr>
      </w:pPr>
      <w:bookmarkStart w:id="916" w:name="_Toc115180014"/>
      <w:r>
        <w:rPr>
          <w:rFonts w:hint="eastAsia" w:ascii="宋体" w:hAnsi="宋体"/>
          <w:b/>
          <w:bCs/>
          <w:color w:val="auto"/>
          <w:kern w:val="0"/>
          <w:sz w:val="32"/>
          <w:szCs w:val="32"/>
          <w:highlight w:val="none"/>
        </w:rPr>
        <w:t>16.1 物价波动引起的价格调整</w:t>
      </w:r>
      <w:bookmarkEnd w:id="916"/>
    </w:p>
    <w:p w14:paraId="3697F2F3">
      <w:pPr>
        <w:spacing w:after="120" w:line="400" w:lineRule="exact"/>
        <w:ind w:right="248" w:firstLine="400" w:firstLineChars="200"/>
        <w:rPr>
          <w:rFonts w:ascii="宋体" w:hAnsi="宋体"/>
          <w:color w:val="auto"/>
          <w:kern w:val="0"/>
          <w:sz w:val="20"/>
          <w:szCs w:val="21"/>
          <w:highlight w:val="none"/>
          <w:u w:val="single"/>
        </w:rPr>
      </w:pPr>
      <w:r>
        <w:rPr>
          <w:rFonts w:hint="eastAsia" w:ascii="宋体" w:hAnsi="宋体"/>
          <w:color w:val="auto"/>
          <w:kern w:val="0"/>
          <w:sz w:val="20"/>
          <w:szCs w:val="21"/>
          <w:highlight w:val="none"/>
        </w:rPr>
        <w:t>物价波动引起的价格调整方式：</w:t>
      </w:r>
      <w:r>
        <w:rPr>
          <w:rFonts w:hint="eastAsia" w:ascii="宋体" w:hAnsi="宋体"/>
          <w:color w:val="auto"/>
          <w:kern w:val="0"/>
          <w:sz w:val="20"/>
          <w:szCs w:val="21"/>
          <w:highlight w:val="none"/>
          <w:u w:val="single"/>
        </w:rPr>
        <w:t>在合同履行期间，当施工当期季度工程造价管理机构发布的人工、材料、工程设备和施工设备机械台班单价或价格涨幅超过合同基准期（指递交投标文件截止日期前28天）价格影响合同价款时，且符合第①、②、③规定事件的，发包人、承包人应秉着平等、实事求是的原则调整合同价款：①人工单价发生涨落的，应按照合同工程发生的人工数量和合同履行价与基准价的人工单价对比的价差的乘积计算调整的人工费；②材料单价涨幅超过5%，则超过部分的价格应予调整：③工程设备价格和施工设备机械台班单价涨幅超过5%，则超过部分的价格应予调整。</w:t>
      </w:r>
    </w:p>
    <w:p w14:paraId="6067C14D">
      <w:pPr>
        <w:spacing w:before="260" w:after="260" w:line="400" w:lineRule="exact"/>
        <w:outlineLvl w:val="1"/>
        <w:rPr>
          <w:rFonts w:ascii="宋体" w:hAnsi="宋体" w:eastAsia="黑体"/>
          <w:color w:val="auto"/>
          <w:kern w:val="44"/>
          <w:sz w:val="27"/>
          <w:szCs w:val="27"/>
          <w:highlight w:val="none"/>
        </w:rPr>
      </w:pPr>
      <w:bookmarkStart w:id="917" w:name="_Toc115180015"/>
      <w:bookmarkStart w:id="918" w:name="_Toc30664"/>
      <w:bookmarkStart w:id="919" w:name="_Toc483383041"/>
      <w:bookmarkStart w:id="920" w:name="_Toc6440"/>
      <w:r>
        <w:rPr>
          <w:rFonts w:hint="eastAsia" w:ascii="宋体" w:hAnsi="宋体" w:eastAsia="黑体"/>
          <w:color w:val="auto"/>
          <w:kern w:val="44"/>
          <w:sz w:val="27"/>
          <w:szCs w:val="27"/>
          <w:highlight w:val="none"/>
        </w:rPr>
        <w:t>17  计量与支付</w:t>
      </w:r>
      <w:bookmarkEnd w:id="917"/>
      <w:bookmarkEnd w:id="918"/>
      <w:bookmarkEnd w:id="919"/>
      <w:bookmarkEnd w:id="920"/>
    </w:p>
    <w:p w14:paraId="0342272E">
      <w:pPr>
        <w:keepNext/>
        <w:keepLines/>
        <w:spacing w:before="260" w:after="260" w:line="416" w:lineRule="auto"/>
        <w:outlineLvl w:val="2"/>
        <w:rPr>
          <w:rFonts w:ascii="宋体" w:hAnsi="宋体"/>
          <w:b/>
          <w:bCs/>
          <w:color w:val="auto"/>
          <w:kern w:val="0"/>
          <w:sz w:val="32"/>
          <w:szCs w:val="32"/>
          <w:highlight w:val="none"/>
        </w:rPr>
      </w:pPr>
      <w:bookmarkStart w:id="921" w:name="_Toc115180016"/>
      <w:r>
        <w:rPr>
          <w:rFonts w:ascii="宋体" w:hAnsi="宋体"/>
          <w:b/>
          <w:bCs/>
          <w:color w:val="auto"/>
          <w:kern w:val="0"/>
          <w:sz w:val="32"/>
          <w:szCs w:val="32"/>
          <w:highlight w:val="none"/>
        </w:rPr>
        <w:t xml:space="preserve">17.1 </w:t>
      </w:r>
      <w:r>
        <w:rPr>
          <w:rFonts w:hint="eastAsia" w:ascii="宋体" w:hAnsi="宋体"/>
          <w:b/>
          <w:bCs/>
          <w:color w:val="auto"/>
          <w:kern w:val="0"/>
          <w:sz w:val="32"/>
          <w:szCs w:val="32"/>
          <w:highlight w:val="none"/>
        </w:rPr>
        <w:t>计量</w:t>
      </w:r>
      <w:bookmarkEnd w:id="921"/>
    </w:p>
    <w:p w14:paraId="0654BEF8">
      <w:pPr>
        <w:spacing w:after="120" w:line="400" w:lineRule="exact"/>
        <w:ind w:right="248" w:firstLine="400" w:firstLineChars="200"/>
        <w:rPr>
          <w:rFonts w:ascii="宋体" w:hAnsi="宋体"/>
          <w:color w:val="auto"/>
          <w:kern w:val="0"/>
          <w:sz w:val="20"/>
          <w:szCs w:val="21"/>
          <w:highlight w:val="none"/>
        </w:rPr>
      </w:pPr>
      <w:r>
        <w:rPr>
          <w:rFonts w:hint="eastAsia" w:ascii="宋体" w:hAnsi="宋体"/>
          <w:color w:val="auto"/>
          <w:kern w:val="0"/>
          <w:sz w:val="20"/>
          <w:szCs w:val="21"/>
          <w:highlight w:val="none"/>
        </w:rPr>
        <w:t>17.1.6本工程最终结算的工程量均以财政投资评审中心的评审结果为准。</w:t>
      </w:r>
    </w:p>
    <w:p w14:paraId="5D834197">
      <w:pPr>
        <w:keepNext/>
        <w:keepLines/>
        <w:spacing w:before="260" w:after="260" w:line="416" w:lineRule="auto"/>
        <w:outlineLvl w:val="2"/>
        <w:rPr>
          <w:rFonts w:ascii="宋体" w:hAnsi="宋体"/>
          <w:b/>
          <w:bCs/>
          <w:color w:val="auto"/>
          <w:kern w:val="0"/>
          <w:sz w:val="32"/>
          <w:szCs w:val="32"/>
          <w:highlight w:val="none"/>
        </w:rPr>
      </w:pPr>
      <w:bookmarkStart w:id="922" w:name="_Toc115180017"/>
      <w:r>
        <w:rPr>
          <w:rFonts w:hint="eastAsia" w:ascii="宋体" w:hAnsi="宋体"/>
          <w:b/>
          <w:bCs/>
          <w:color w:val="auto"/>
          <w:kern w:val="0"/>
          <w:sz w:val="32"/>
          <w:szCs w:val="32"/>
          <w:highlight w:val="none"/>
        </w:rPr>
        <w:t>17.2</w:t>
      </w:r>
      <w:r>
        <w:rPr>
          <w:rFonts w:ascii="宋体" w:hAnsi="宋体"/>
          <w:b/>
          <w:bCs/>
          <w:color w:val="auto"/>
          <w:kern w:val="0"/>
          <w:sz w:val="32"/>
          <w:szCs w:val="32"/>
          <w:highlight w:val="none"/>
        </w:rPr>
        <w:t xml:space="preserve">  </w:t>
      </w:r>
      <w:r>
        <w:rPr>
          <w:rFonts w:hint="eastAsia" w:ascii="宋体" w:hAnsi="宋体"/>
          <w:b/>
          <w:bCs/>
          <w:color w:val="auto"/>
          <w:kern w:val="0"/>
          <w:sz w:val="32"/>
          <w:szCs w:val="32"/>
          <w:highlight w:val="none"/>
        </w:rPr>
        <w:t>预付款</w:t>
      </w:r>
      <w:bookmarkEnd w:id="922"/>
    </w:p>
    <w:p w14:paraId="6F733922">
      <w:pPr>
        <w:spacing w:line="400" w:lineRule="exact"/>
        <w:ind w:right="248" w:firstLine="480"/>
        <w:rPr>
          <w:rFonts w:ascii="宋体" w:hAnsi="宋体"/>
          <w:color w:val="auto"/>
          <w:szCs w:val="21"/>
          <w:highlight w:val="none"/>
        </w:rPr>
      </w:pPr>
      <w:r>
        <w:rPr>
          <w:rFonts w:hint="eastAsia" w:ascii="宋体" w:hAnsi="宋体"/>
          <w:color w:val="auto"/>
          <w:szCs w:val="21"/>
          <w:highlight w:val="none"/>
        </w:rPr>
        <w:t>17.2.1</w:t>
      </w:r>
      <w:r>
        <w:rPr>
          <w:rFonts w:ascii="宋体" w:hAnsi="宋体"/>
          <w:color w:val="auto"/>
          <w:szCs w:val="21"/>
          <w:highlight w:val="none"/>
        </w:rPr>
        <w:t>预付款</w:t>
      </w:r>
      <w:r>
        <w:rPr>
          <w:rFonts w:hint="eastAsia" w:ascii="宋体" w:hAnsi="宋体"/>
          <w:color w:val="auto"/>
          <w:szCs w:val="21"/>
          <w:highlight w:val="none"/>
        </w:rPr>
        <w:t xml:space="preserve"> ：</w:t>
      </w:r>
    </w:p>
    <w:p w14:paraId="3086DA59">
      <w:pPr>
        <w:spacing w:line="400" w:lineRule="exact"/>
        <w:ind w:right="248" w:firstLine="480"/>
        <w:rPr>
          <w:rFonts w:ascii="宋体" w:hAnsi="宋体"/>
          <w:color w:val="auto"/>
          <w:szCs w:val="21"/>
          <w:highlight w:val="none"/>
        </w:rPr>
      </w:pPr>
      <w:r>
        <w:rPr>
          <w:rFonts w:ascii="宋体" w:hAnsi="宋体"/>
          <w:color w:val="auto"/>
          <w:szCs w:val="21"/>
          <w:highlight w:val="none"/>
        </w:rPr>
        <w:t>工程预付款的总金额为</w:t>
      </w:r>
      <w:r>
        <w:rPr>
          <w:rFonts w:hint="eastAsia" w:ascii="宋体" w:hAnsi="宋体"/>
          <w:color w:val="auto"/>
          <w:szCs w:val="21"/>
          <w:highlight w:val="none"/>
        </w:rPr>
        <w:t>签约</w:t>
      </w:r>
      <w:r>
        <w:rPr>
          <w:rFonts w:ascii="宋体" w:hAnsi="宋体"/>
          <w:color w:val="auto"/>
          <w:szCs w:val="21"/>
          <w:highlight w:val="none"/>
        </w:rPr>
        <w:t>合同价的</w:t>
      </w:r>
      <w:r>
        <w:rPr>
          <w:rFonts w:hint="eastAsia" w:ascii="宋体" w:hAnsi="宋体"/>
          <w:b/>
          <w:bCs/>
          <w:color w:val="auto"/>
          <w:szCs w:val="21"/>
          <w:highlight w:val="none"/>
          <w:u w:val="single"/>
        </w:rPr>
        <w:t xml:space="preserve"> 30 </w:t>
      </w:r>
      <w:r>
        <w:rPr>
          <w:rFonts w:ascii="宋体" w:hAnsi="宋体"/>
          <w:b/>
          <w:bCs/>
          <w:color w:val="auto"/>
          <w:szCs w:val="21"/>
          <w:highlight w:val="none"/>
          <w:u w:val="single"/>
        </w:rPr>
        <w:t>%</w:t>
      </w:r>
      <w:r>
        <w:rPr>
          <w:rFonts w:ascii="宋体" w:hAnsi="宋体"/>
          <w:color w:val="auto"/>
          <w:szCs w:val="21"/>
          <w:highlight w:val="none"/>
        </w:rPr>
        <w:t>，</w:t>
      </w:r>
      <w:r>
        <w:rPr>
          <w:rFonts w:hint="eastAsia" w:ascii="宋体" w:hAnsi="宋体"/>
          <w:color w:val="auto"/>
          <w:szCs w:val="21"/>
          <w:highlight w:val="none"/>
        </w:rPr>
        <w:t>可一次或分数次支付给承包人。</w:t>
      </w:r>
    </w:p>
    <w:p w14:paraId="7CF07021">
      <w:pPr>
        <w:spacing w:line="400" w:lineRule="exact"/>
        <w:ind w:right="248" w:firstLine="480"/>
        <w:rPr>
          <w:rFonts w:ascii="宋体" w:hAnsi="宋体"/>
          <w:color w:val="auto"/>
          <w:szCs w:val="21"/>
          <w:highlight w:val="none"/>
        </w:rPr>
      </w:pPr>
      <w:r>
        <w:rPr>
          <w:rFonts w:ascii="宋体" w:hAnsi="宋体"/>
          <w:color w:val="auto"/>
          <w:szCs w:val="21"/>
          <w:highlight w:val="none"/>
        </w:rPr>
        <w:t>预付款的支付</w:t>
      </w:r>
      <w:r>
        <w:rPr>
          <w:rFonts w:hint="eastAsia" w:ascii="宋体" w:hAnsi="宋体"/>
          <w:color w:val="auto"/>
          <w:szCs w:val="21"/>
          <w:highlight w:val="none"/>
        </w:rPr>
        <w:t>额度和</w:t>
      </w:r>
      <w:r>
        <w:rPr>
          <w:rFonts w:ascii="宋体" w:hAnsi="宋体"/>
          <w:color w:val="auto"/>
          <w:szCs w:val="21"/>
          <w:highlight w:val="none"/>
        </w:rPr>
        <w:t>付款</w:t>
      </w:r>
      <w:r>
        <w:rPr>
          <w:rFonts w:hint="eastAsia" w:ascii="宋体" w:hAnsi="宋体"/>
          <w:color w:val="auto"/>
          <w:szCs w:val="21"/>
          <w:highlight w:val="none"/>
        </w:rPr>
        <w:t>时间为：首次预付款金额为工程预付款总金额的 30 %，付款时间应在合同协议书签订后，经监理人出具付款证书报送发包人批准后14天内予以支付；后续预付款按照资金到位情况予以支付。</w:t>
      </w:r>
    </w:p>
    <w:p w14:paraId="4B8F6911">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17.2.3 预付款的扣回与还清</w:t>
      </w:r>
    </w:p>
    <w:p w14:paraId="5A847C0C">
      <w:pPr>
        <w:spacing w:line="400" w:lineRule="exact"/>
        <w:ind w:left="120" w:leftChars="57" w:right="248" w:firstLine="315" w:firstLineChars="150"/>
        <w:rPr>
          <w:rFonts w:ascii="宋体" w:hAnsi="宋体"/>
          <w:color w:val="auto"/>
          <w:szCs w:val="21"/>
          <w:highlight w:val="none"/>
        </w:rPr>
      </w:pPr>
      <w:r>
        <w:rPr>
          <w:rFonts w:hint="eastAsia" w:ascii="宋体" w:hAnsi="宋体"/>
          <w:color w:val="auto"/>
          <w:szCs w:val="21"/>
          <w:highlight w:val="none"/>
        </w:rPr>
        <w:t>（1）工程预付款在合同累计完成金额达到合同价格的</w:t>
      </w:r>
      <w:r>
        <w:rPr>
          <w:rFonts w:hint="eastAsia" w:ascii="宋体" w:hAnsi="宋体"/>
          <w:b/>
          <w:bCs/>
          <w:color w:val="auto"/>
          <w:szCs w:val="21"/>
          <w:highlight w:val="none"/>
          <w:u w:val="single"/>
        </w:rPr>
        <w:t xml:space="preserve"> 31% </w:t>
      </w:r>
      <w:r>
        <w:rPr>
          <w:rFonts w:hint="eastAsia" w:ascii="宋体" w:hAnsi="宋体"/>
          <w:color w:val="auto"/>
          <w:szCs w:val="21"/>
          <w:highlight w:val="none"/>
        </w:rPr>
        <w:t>时开始扣款，直至合同累计完成金额达到合同价格的</w:t>
      </w:r>
      <w:r>
        <w:rPr>
          <w:rFonts w:hint="eastAsia" w:ascii="宋体" w:hAnsi="宋体"/>
          <w:b/>
          <w:bCs/>
          <w:color w:val="auto"/>
          <w:szCs w:val="21"/>
          <w:highlight w:val="none"/>
          <w:u w:val="single"/>
        </w:rPr>
        <w:t xml:space="preserve"> 80 </w:t>
      </w:r>
      <w:r>
        <w:rPr>
          <w:rFonts w:ascii="宋体" w:hAnsi="宋体"/>
          <w:b/>
          <w:bCs/>
          <w:color w:val="auto"/>
          <w:szCs w:val="21"/>
          <w:highlight w:val="none"/>
          <w:u w:val="single"/>
        </w:rPr>
        <w:t>%</w:t>
      </w:r>
      <w:r>
        <w:rPr>
          <w:rFonts w:hint="eastAsia" w:ascii="宋体" w:hAnsi="宋体"/>
          <w:b/>
          <w:bCs/>
          <w:color w:val="auto"/>
          <w:szCs w:val="21"/>
          <w:highlight w:val="none"/>
          <w:u w:val="single"/>
        </w:rPr>
        <w:t xml:space="preserve"> </w:t>
      </w:r>
      <w:r>
        <w:rPr>
          <w:rFonts w:hint="eastAsia" w:ascii="宋体" w:hAnsi="宋体"/>
          <w:color w:val="auto"/>
          <w:szCs w:val="21"/>
          <w:highlight w:val="none"/>
        </w:rPr>
        <w:t>时全部扣清。</w:t>
      </w:r>
    </w:p>
    <w:p w14:paraId="01A66A17">
      <w:pPr>
        <w:spacing w:line="400" w:lineRule="exact"/>
        <w:ind w:right="248" w:firstLine="900" w:firstLineChars="450"/>
        <w:rPr>
          <w:rFonts w:ascii="宋体" w:hAnsi="宋体"/>
          <w:color w:val="auto"/>
          <w:sz w:val="20"/>
          <w:szCs w:val="20"/>
          <w:highlight w:val="none"/>
        </w:rPr>
      </w:pPr>
      <w:r>
        <w:rPr>
          <w:rFonts w:ascii="宋体" w:hAnsi="宋体"/>
          <w:color w:val="auto"/>
          <w:sz w:val="20"/>
          <w:szCs w:val="20"/>
          <w:highlight w:val="none"/>
        </w:rPr>
        <w:pict>
          <v:shape id="Picture 4" o:spid="_x0000_s1026" o:spt="75" type="#_x0000_t75" style="position:absolute;left:0pt;margin-left:63pt;margin-top:4.8pt;height:39pt;width:128.9pt;mso-wrap-distance-bottom:0pt;mso-wrap-distance-left:9pt;mso-wrap-distance-right:9pt;mso-wrap-distance-top:0pt;z-index:251659264;mso-width-relative:page;mso-height-relative:page;" o:ole="t" fillcolor="#ACA899" filled="f" o:preferrelative="t" stroked="f" coordsize="21600,21600">
            <v:path/>
            <v:fill on="f" focussize="0,0"/>
            <v:stroke on="f"/>
            <v:imagedata r:id="rId9" o:title=""/>
            <o:lock v:ext="edit" grouping="f" rotation="f" text="f" aspectratio="t"/>
            <w10:wrap type="square" side="right"/>
          </v:shape>
          <o:OLEObject Type="Embed" ProgID="" ShapeID="Picture 4" DrawAspect="Content" ObjectID="_1468075725" r:id="rId8">
            <o:LockedField>false</o:LockedField>
          </o:OLEObject>
        </w:pict>
      </w:r>
    </w:p>
    <w:p w14:paraId="399C0888">
      <w:pPr>
        <w:spacing w:line="400" w:lineRule="exact"/>
        <w:ind w:right="248"/>
        <w:rPr>
          <w:rFonts w:ascii="宋体" w:hAnsi="宋体"/>
          <w:color w:val="auto"/>
          <w:sz w:val="20"/>
          <w:szCs w:val="20"/>
          <w:highlight w:val="none"/>
        </w:rPr>
      </w:pPr>
    </w:p>
    <w:p w14:paraId="0A8C6479">
      <w:pPr>
        <w:spacing w:line="400" w:lineRule="exact"/>
        <w:ind w:right="248"/>
        <w:rPr>
          <w:rFonts w:ascii="宋体" w:hAnsi="宋体"/>
          <w:color w:val="auto"/>
          <w:sz w:val="20"/>
          <w:szCs w:val="20"/>
          <w:highlight w:val="none"/>
        </w:rPr>
      </w:pPr>
    </w:p>
    <w:p w14:paraId="23ABA4D3">
      <w:pPr>
        <w:spacing w:line="400" w:lineRule="exact"/>
        <w:ind w:right="248" w:firstLine="525" w:firstLineChars="250"/>
        <w:rPr>
          <w:rFonts w:ascii="宋体" w:hAnsi="宋体"/>
          <w:color w:val="auto"/>
          <w:szCs w:val="21"/>
          <w:highlight w:val="none"/>
        </w:rPr>
      </w:pPr>
      <w:r>
        <w:rPr>
          <w:rFonts w:hint="eastAsia" w:ascii="宋体" w:hAnsi="宋体"/>
          <w:color w:val="auto"/>
          <w:szCs w:val="21"/>
          <w:highlight w:val="none"/>
        </w:rPr>
        <w:t>式中：R——每次进度付款中累计扣回的金额；</w:t>
      </w:r>
    </w:p>
    <w:p w14:paraId="4D15A58B">
      <w:pPr>
        <w:spacing w:line="400" w:lineRule="exact"/>
        <w:ind w:right="248" w:firstLine="480"/>
        <w:rPr>
          <w:rFonts w:ascii="宋体" w:hAnsi="宋体"/>
          <w:color w:val="auto"/>
          <w:szCs w:val="21"/>
          <w:highlight w:val="none"/>
        </w:rPr>
      </w:pPr>
      <w:r>
        <w:rPr>
          <w:rFonts w:hint="eastAsia" w:ascii="宋体" w:hAnsi="宋体"/>
          <w:color w:val="auto"/>
          <w:szCs w:val="21"/>
          <w:highlight w:val="none"/>
        </w:rPr>
        <w:t xml:space="preserve">      A——工程预付款总金额；</w:t>
      </w:r>
    </w:p>
    <w:p w14:paraId="0FCBD1CC">
      <w:pPr>
        <w:spacing w:line="400" w:lineRule="exact"/>
        <w:ind w:right="248" w:firstLine="480"/>
        <w:rPr>
          <w:rFonts w:ascii="宋体" w:hAnsi="宋体"/>
          <w:color w:val="auto"/>
          <w:szCs w:val="21"/>
          <w:highlight w:val="none"/>
        </w:rPr>
      </w:pPr>
      <w:r>
        <w:rPr>
          <w:rFonts w:hint="eastAsia" w:ascii="宋体" w:hAnsi="宋体"/>
          <w:color w:val="auto"/>
          <w:szCs w:val="21"/>
          <w:highlight w:val="none"/>
        </w:rPr>
        <w:t xml:space="preserve">      S——合同价格；</w:t>
      </w:r>
    </w:p>
    <w:p w14:paraId="3EEEB8F1">
      <w:pPr>
        <w:spacing w:line="400" w:lineRule="exact"/>
        <w:ind w:right="248" w:firstLine="480"/>
        <w:rPr>
          <w:rFonts w:ascii="宋体" w:hAnsi="宋体"/>
          <w:color w:val="auto"/>
          <w:szCs w:val="21"/>
          <w:highlight w:val="none"/>
        </w:rPr>
      </w:pPr>
      <w:r>
        <w:rPr>
          <w:rFonts w:hint="eastAsia" w:ascii="宋体" w:hAnsi="宋体"/>
          <w:color w:val="auto"/>
          <w:szCs w:val="21"/>
          <w:highlight w:val="none"/>
        </w:rPr>
        <w:t xml:space="preserve">      C——合同累计完成金额；</w:t>
      </w:r>
    </w:p>
    <w:p w14:paraId="3B2673B0">
      <w:pPr>
        <w:spacing w:line="400" w:lineRule="exact"/>
        <w:ind w:right="248" w:firstLine="480"/>
        <w:rPr>
          <w:rFonts w:ascii="宋体" w:hAnsi="宋体"/>
          <w:color w:val="auto"/>
          <w:szCs w:val="21"/>
          <w:highlight w:val="none"/>
        </w:rPr>
      </w:pPr>
      <w:r>
        <w:rPr>
          <w:rFonts w:hint="eastAsia" w:ascii="宋体" w:hAnsi="宋体"/>
          <w:color w:val="auto"/>
          <w:szCs w:val="21"/>
          <w:highlight w:val="none"/>
        </w:rPr>
        <w:t xml:space="preserve">      F1——开始扣款时合同累计完成金额达到合同价格的比例；</w:t>
      </w:r>
    </w:p>
    <w:p w14:paraId="4927C18E">
      <w:pPr>
        <w:spacing w:line="400" w:lineRule="exact"/>
        <w:ind w:right="248" w:firstLine="480"/>
        <w:rPr>
          <w:rFonts w:ascii="宋体" w:hAnsi="宋体"/>
          <w:color w:val="auto"/>
          <w:szCs w:val="21"/>
          <w:highlight w:val="none"/>
        </w:rPr>
      </w:pPr>
      <w:r>
        <w:rPr>
          <w:rFonts w:hint="eastAsia" w:ascii="宋体" w:hAnsi="宋体"/>
          <w:color w:val="auto"/>
          <w:szCs w:val="21"/>
          <w:highlight w:val="none"/>
        </w:rPr>
        <w:t xml:space="preserve">      F2——全部扣清时合同累计完成金额达到合同价格的比例。</w:t>
      </w:r>
    </w:p>
    <w:p w14:paraId="397A1A93">
      <w:pPr>
        <w:spacing w:line="400" w:lineRule="exact"/>
        <w:ind w:right="248" w:firstLine="480"/>
        <w:rPr>
          <w:rFonts w:ascii="宋体" w:hAnsi="宋体"/>
          <w:color w:val="auto"/>
          <w:szCs w:val="21"/>
          <w:highlight w:val="none"/>
        </w:rPr>
      </w:pPr>
      <w:r>
        <w:rPr>
          <w:rFonts w:hint="eastAsia" w:ascii="宋体" w:hAnsi="宋体"/>
          <w:color w:val="auto"/>
          <w:szCs w:val="21"/>
          <w:highlight w:val="none"/>
        </w:rPr>
        <w:t>上述合同累计完成金额均指价格调整前未扣质量保证金的金额。</w:t>
      </w:r>
    </w:p>
    <w:p w14:paraId="52AE72F6">
      <w:pPr>
        <w:keepNext/>
        <w:keepLines/>
        <w:spacing w:before="260" w:after="260" w:line="416" w:lineRule="auto"/>
        <w:outlineLvl w:val="2"/>
        <w:rPr>
          <w:rFonts w:ascii="宋体" w:hAnsi="宋体"/>
          <w:b/>
          <w:bCs/>
          <w:color w:val="auto"/>
          <w:kern w:val="0"/>
          <w:sz w:val="32"/>
          <w:szCs w:val="32"/>
          <w:highlight w:val="none"/>
        </w:rPr>
      </w:pPr>
      <w:bookmarkStart w:id="923" w:name="_Toc115180018"/>
      <w:r>
        <w:rPr>
          <w:rFonts w:hint="eastAsia" w:ascii="宋体" w:hAnsi="宋体"/>
          <w:b/>
          <w:bCs/>
          <w:color w:val="auto"/>
          <w:kern w:val="0"/>
          <w:sz w:val="32"/>
          <w:szCs w:val="32"/>
          <w:highlight w:val="none"/>
        </w:rPr>
        <w:t>17.3 工程进度付款</w:t>
      </w:r>
      <w:bookmarkEnd w:id="923"/>
    </w:p>
    <w:p w14:paraId="084A5C2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17.3.1 进度付款申请单</w:t>
      </w:r>
    </w:p>
    <w:p w14:paraId="577DF797">
      <w:pPr>
        <w:spacing w:line="360" w:lineRule="auto"/>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承包人应在每个付款周期末，按《广州市增城区水务基建工程资金划拨申请表》的格式1式4份，向监理人提交进度付款申请单，并附相应的支持性证明文件。</w:t>
      </w:r>
    </w:p>
    <w:p w14:paraId="45377A6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17.3.2 </w:t>
      </w:r>
      <w:r>
        <w:rPr>
          <w:rFonts w:ascii="宋体" w:hAnsi="宋体"/>
          <w:color w:val="auto"/>
          <w:szCs w:val="21"/>
          <w:highlight w:val="none"/>
        </w:rPr>
        <w:t>工程进度付款的截止</w:t>
      </w:r>
    </w:p>
    <w:p w14:paraId="7865CE3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u w:val="single"/>
        </w:rPr>
        <w:t>工程完工后，工程进度款支付至合同总价款的</w:t>
      </w:r>
      <w:r>
        <w:rPr>
          <w:rFonts w:hint="eastAsia" w:ascii="宋体" w:hAnsi="宋体"/>
          <w:b/>
          <w:color w:val="auto"/>
          <w:szCs w:val="21"/>
          <w:highlight w:val="none"/>
          <w:u w:val="single"/>
        </w:rPr>
        <w:t>80%</w:t>
      </w:r>
      <w:r>
        <w:rPr>
          <w:rFonts w:hint="eastAsia" w:ascii="宋体" w:hAnsi="宋体"/>
          <w:color w:val="auto"/>
          <w:szCs w:val="21"/>
          <w:highlight w:val="none"/>
          <w:u w:val="single"/>
        </w:rPr>
        <w:t>；工程通过合同工程完工或单位工程验收</w:t>
      </w:r>
      <w:r>
        <w:rPr>
          <w:rFonts w:hint="eastAsia" w:ascii="宋体" w:hAnsi="宋体"/>
          <w:b/>
          <w:bCs/>
          <w:color w:val="auto"/>
          <w:szCs w:val="21"/>
          <w:highlight w:val="none"/>
          <w:u w:val="single"/>
        </w:rPr>
        <w:t>并经主管部门备案后</w:t>
      </w:r>
      <w:r>
        <w:rPr>
          <w:rFonts w:hint="eastAsia" w:ascii="宋体" w:hAnsi="宋体"/>
          <w:color w:val="auto"/>
          <w:szCs w:val="21"/>
          <w:highlight w:val="none"/>
          <w:u w:val="single"/>
        </w:rPr>
        <w:t>，支付至合同总价款的</w:t>
      </w:r>
      <w:r>
        <w:rPr>
          <w:rFonts w:hint="eastAsia" w:ascii="宋体" w:hAnsi="宋体"/>
          <w:b/>
          <w:color w:val="auto"/>
          <w:szCs w:val="21"/>
          <w:highlight w:val="none"/>
          <w:u w:val="single"/>
        </w:rPr>
        <w:t>90%</w:t>
      </w:r>
      <w:r>
        <w:rPr>
          <w:rFonts w:hint="eastAsia" w:ascii="宋体" w:hAnsi="宋体"/>
          <w:color w:val="auto"/>
          <w:szCs w:val="21"/>
          <w:highlight w:val="none"/>
          <w:u w:val="single"/>
        </w:rPr>
        <w:t>，工程结算经财政部门核定后，支付至结算总价款的</w:t>
      </w:r>
      <w:r>
        <w:rPr>
          <w:rFonts w:hint="eastAsia" w:ascii="宋体" w:hAnsi="宋体"/>
          <w:b/>
          <w:color w:val="auto"/>
          <w:szCs w:val="21"/>
          <w:highlight w:val="none"/>
          <w:u w:val="single"/>
        </w:rPr>
        <w:t>97%</w:t>
      </w:r>
      <w:r>
        <w:rPr>
          <w:rFonts w:hint="eastAsia" w:ascii="宋体" w:hAnsi="宋体"/>
          <w:color w:val="auto"/>
          <w:szCs w:val="21"/>
          <w:highlight w:val="none"/>
          <w:u w:val="single"/>
        </w:rPr>
        <w:t>；剩下</w:t>
      </w:r>
      <w:r>
        <w:rPr>
          <w:rFonts w:hint="eastAsia" w:ascii="宋体" w:hAnsi="宋体"/>
          <w:b/>
          <w:color w:val="auto"/>
          <w:szCs w:val="21"/>
          <w:highlight w:val="none"/>
          <w:u w:val="single"/>
        </w:rPr>
        <w:t>3%</w:t>
      </w:r>
      <w:r>
        <w:rPr>
          <w:rFonts w:hint="eastAsia" w:ascii="宋体" w:hAnsi="宋体"/>
          <w:color w:val="auto"/>
          <w:szCs w:val="21"/>
          <w:highlight w:val="none"/>
          <w:u w:val="single"/>
        </w:rPr>
        <w:t>的工程质保金在工程保修期期满后支付。</w:t>
      </w:r>
    </w:p>
    <w:p w14:paraId="3A8D83F7">
      <w:pPr>
        <w:keepNext/>
        <w:keepLines/>
        <w:spacing w:before="260" w:after="260" w:line="416" w:lineRule="auto"/>
        <w:outlineLvl w:val="2"/>
        <w:rPr>
          <w:rFonts w:ascii="宋体" w:hAnsi="宋体"/>
          <w:b/>
          <w:bCs/>
          <w:color w:val="auto"/>
          <w:kern w:val="0"/>
          <w:sz w:val="32"/>
          <w:szCs w:val="32"/>
          <w:highlight w:val="none"/>
        </w:rPr>
      </w:pPr>
      <w:bookmarkStart w:id="924" w:name="_Toc115180019"/>
      <w:r>
        <w:rPr>
          <w:rFonts w:ascii="宋体" w:hAnsi="宋体"/>
          <w:b/>
          <w:bCs/>
          <w:color w:val="auto"/>
          <w:kern w:val="0"/>
          <w:sz w:val="32"/>
          <w:szCs w:val="32"/>
          <w:highlight w:val="none"/>
        </w:rPr>
        <w:t>17</w:t>
      </w:r>
      <w:r>
        <w:rPr>
          <w:rFonts w:hint="eastAsia" w:ascii="宋体" w:hAnsi="宋体"/>
          <w:b/>
          <w:bCs/>
          <w:color w:val="auto"/>
          <w:kern w:val="0"/>
          <w:sz w:val="32"/>
          <w:szCs w:val="32"/>
          <w:highlight w:val="none"/>
        </w:rPr>
        <w:t>.</w:t>
      </w:r>
      <w:r>
        <w:rPr>
          <w:rFonts w:ascii="宋体" w:hAnsi="宋体"/>
          <w:b/>
          <w:bCs/>
          <w:color w:val="auto"/>
          <w:kern w:val="0"/>
          <w:sz w:val="32"/>
          <w:szCs w:val="32"/>
          <w:highlight w:val="none"/>
        </w:rPr>
        <w:t>4</w:t>
      </w:r>
      <w:r>
        <w:rPr>
          <w:rFonts w:hint="eastAsia" w:ascii="宋体" w:hAnsi="宋体"/>
          <w:b/>
          <w:bCs/>
          <w:color w:val="auto"/>
          <w:kern w:val="0"/>
          <w:sz w:val="32"/>
          <w:szCs w:val="32"/>
          <w:highlight w:val="none"/>
        </w:rPr>
        <w:t xml:space="preserve">  质量保证金</w:t>
      </w:r>
      <w:bookmarkEnd w:id="924"/>
    </w:p>
    <w:p w14:paraId="2CCABA73">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17.4.1 扣留的质量保证金总额为工程价款总额的</w:t>
      </w:r>
      <w:r>
        <w:rPr>
          <w:rFonts w:hint="eastAsia" w:ascii="宋体" w:hAnsi="宋体"/>
          <w:b/>
          <w:bCs/>
          <w:color w:val="auto"/>
          <w:szCs w:val="21"/>
          <w:highlight w:val="none"/>
          <w:u w:val="single"/>
        </w:rPr>
        <w:t xml:space="preserve"> 3 ％</w:t>
      </w:r>
      <w:r>
        <w:rPr>
          <w:rFonts w:hint="eastAsia" w:ascii="宋体" w:hAnsi="宋体"/>
          <w:color w:val="auto"/>
          <w:szCs w:val="21"/>
          <w:highlight w:val="none"/>
        </w:rPr>
        <w:t>。</w:t>
      </w:r>
    </w:p>
    <w:p w14:paraId="2F5D7C9E">
      <w:pPr>
        <w:keepNext/>
        <w:keepLines/>
        <w:spacing w:before="260" w:after="260" w:line="416" w:lineRule="auto"/>
        <w:outlineLvl w:val="2"/>
        <w:rPr>
          <w:rFonts w:ascii="宋体" w:hAnsi="宋体"/>
          <w:b/>
          <w:bCs/>
          <w:color w:val="auto"/>
          <w:kern w:val="0"/>
          <w:sz w:val="32"/>
          <w:szCs w:val="32"/>
          <w:highlight w:val="none"/>
        </w:rPr>
      </w:pPr>
      <w:bookmarkStart w:id="925" w:name="_Toc354050762"/>
      <w:bookmarkStart w:id="926" w:name="_Toc354042285"/>
      <w:bookmarkStart w:id="927" w:name="_Toc367280776"/>
      <w:bookmarkStart w:id="928" w:name="_Toc115180020"/>
      <w:r>
        <w:rPr>
          <w:rFonts w:hint="eastAsia" w:ascii="宋体" w:hAnsi="宋体"/>
          <w:b/>
          <w:bCs/>
          <w:color w:val="auto"/>
          <w:kern w:val="0"/>
          <w:sz w:val="32"/>
          <w:szCs w:val="32"/>
          <w:highlight w:val="none"/>
        </w:rPr>
        <w:t>17.5竣工（完工）结算</w:t>
      </w:r>
      <w:bookmarkEnd w:id="925"/>
      <w:bookmarkEnd w:id="926"/>
      <w:bookmarkEnd w:id="927"/>
      <w:bookmarkEnd w:id="928"/>
    </w:p>
    <w:p w14:paraId="460CF9DB">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17.5.1竣工付款申请单</w:t>
      </w:r>
    </w:p>
    <w:p w14:paraId="7B25DB57">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承包人提交竣工付款申请单的份数：</w:t>
      </w:r>
      <w:r>
        <w:rPr>
          <w:rFonts w:hint="eastAsia" w:ascii="宋体" w:hAnsi="宋体"/>
          <w:b/>
          <w:bCs/>
          <w:color w:val="auto"/>
          <w:szCs w:val="21"/>
          <w:highlight w:val="none"/>
          <w:u w:val="single"/>
        </w:rPr>
        <w:t xml:space="preserve"> 4份 </w:t>
      </w:r>
      <w:r>
        <w:rPr>
          <w:rFonts w:hint="eastAsia" w:ascii="宋体" w:hAnsi="宋体"/>
          <w:color w:val="auto"/>
          <w:szCs w:val="21"/>
          <w:highlight w:val="none"/>
        </w:rPr>
        <w:t>。</w:t>
      </w:r>
    </w:p>
    <w:p w14:paraId="16336A71">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承包人提交竣工付款申请单的期限：</w:t>
      </w:r>
      <w:r>
        <w:rPr>
          <w:rFonts w:hint="eastAsia" w:ascii="宋体" w:hAnsi="宋体"/>
          <w:color w:val="auto"/>
          <w:szCs w:val="21"/>
          <w:highlight w:val="none"/>
          <w:u w:val="single"/>
        </w:rPr>
        <w:t xml:space="preserve"> </w:t>
      </w:r>
      <w:r>
        <w:rPr>
          <w:rFonts w:ascii="宋体" w:hAnsi="宋体"/>
          <w:color w:val="auto"/>
          <w:szCs w:val="21"/>
          <w:highlight w:val="none"/>
          <w:u w:val="single"/>
        </w:rPr>
        <w:t>在工程</w:t>
      </w:r>
      <w:r>
        <w:rPr>
          <w:rFonts w:hint="eastAsia" w:ascii="宋体" w:hAnsi="宋体"/>
          <w:color w:val="auto"/>
          <w:szCs w:val="21"/>
          <w:highlight w:val="none"/>
          <w:u w:val="single"/>
        </w:rPr>
        <w:t>接收证书</w:t>
      </w:r>
      <w:r>
        <w:rPr>
          <w:rFonts w:ascii="宋体" w:hAnsi="宋体"/>
          <w:color w:val="auto"/>
          <w:szCs w:val="21"/>
          <w:highlight w:val="none"/>
          <w:u w:val="single"/>
        </w:rPr>
        <w:t xml:space="preserve">颁发后14 天内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7EF0D03">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竣工付款申请单的内容：</w:t>
      </w:r>
      <w:r>
        <w:rPr>
          <w:rFonts w:hint="eastAsia" w:ascii="宋体" w:hAnsi="宋体"/>
          <w:b/>
          <w:bCs/>
          <w:color w:val="auto"/>
          <w:szCs w:val="21"/>
          <w:highlight w:val="none"/>
          <w:u w:val="single"/>
        </w:rPr>
        <w:t xml:space="preserve"> </w:t>
      </w:r>
      <w:r>
        <w:rPr>
          <w:rFonts w:ascii="宋体" w:hAnsi="宋体"/>
          <w:color w:val="auto"/>
          <w:szCs w:val="21"/>
          <w:highlight w:val="none"/>
          <w:u w:val="single"/>
        </w:rPr>
        <w:t>竣工结算合同总价、已支付的工程价款、应支付的竣工付款金额等。</w:t>
      </w:r>
    </w:p>
    <w:p w14:paraId="5C0082CE">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承包人未按本项约定的期限和内容提交竣工付款申请单或者未按通用合同条款第17.5.1（2）目约定提交修正后的竣工付款申请单，经监理人催促后14天内仍未提交或者没有明确答复的，监理人和发包人有权根据已有资料进行审查，审查确定的竣工结算合同总价和竣工付款金额视同是经承包人认可的工程竣工结算合同总价和竣工付款金额。</w:t>
      </w:r>
    </w:p>
    <w:p w14:paraId="50380F75">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发包人和承包人应当在监理人颁发（出具）工程接收证书后56天内办清竣工结算和竣工付款。</w:t>
      </w:r>
    </w:p>
    <w:p w14:paraId="7F59973D">
      <w:pPr>
        <w:spacing w:line="360" w:lineRule="auto"/>
        <w:ind w:firstLine="420" w:firstLineChars="200"/>
        <w:rPr>
          <w:rFonts w:ascii="宋体" w:hAnsi="宋体"/>
          <w:color w:val="auto"/>
          <w:szCs w:val="21"/>
          <w:highlight w:val="none"/>
        </w:rPr>
      </w:pPr>
      <w:r>
        <w:rPr>
          <w:rFonts w:ascii="宋体" w:hAnsi="宋体"/>
          <w:color w:val="auto"/>
          <w:szCs w:val="21"/>
          <w:highlight w:val="none"/>
        </w:rPr>
        <w:t>17</w:t>
      </w: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.3  承包人应当向发包人提供如下竣工结算资料：</w:t>
      </w:r>
    </w:p>
    <w:p w14:paraId="5F949DB8">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工程结算书；</w:t>
      </w:r>
    </w:p>
    <w:p w14:paraId="6265DDBF">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工程量计算书（即计算底稿）；</w:t>
      </w:r>
    </w:p>
    <w:p w14:paraId="66A4BE56">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合同书；</w:t>
      </w:r>
    </w:p>
    <w:p w14:paraId="791C40A5">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工程竣工图（含电子版）；</w:t>
      </w:r>
    </w:p>
    <w:p w14:paraId="22AB0913">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工程竣工资料（含电子版）；</w:t>
      </w:r>
    </w:p>
    <w:p w14:paraId="254985E7">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图纸会审记录；</w:t>
      </w:r>
    </w:p>
    <w:p w14:paraId="3CA97B32">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设计变更单；</w:t>
      </w:r>
    </w:p>
    <w:p w14:paraId="5DAFA12A">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工程洽商记录；</w:t>
      </w:r>
    </w:p>
    <w:p w14:paraId="4BC5835B">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监理工程师通知或发包人施工指令；</w:t>
      </w:r>
    </w:p>
    <w:p w14:paraId="30FCC327">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会议纪要；</w:t>
      </w:r>
    </w:p>
    <w:p w14:paraId="056DA4F7">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现场签证单；</w:t>
      </w:r>
    </w:p>
    <w:p w14:paraId="789C9D92">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材料设备单价呈批审核单；</w:t>
      </w:r>
    </w:p>
    <w:p w14:paraId="5B0DE9D2">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综合单价呈批审核单；</w:t>
      </w:r>
    </w:p>
    <w:p w14:paraId="2081BC58">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其他结算资料；</w:t>
      </w:r>
    </w:p>
    <w:p w14:paraId="75772431">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移交资料签收表。</w:t>
      </w:r>
    </w:p>
    <w:p w14:paraId="38EE3B75">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17.5.4  发包人对送审结算资料的具体要求</w:t>
      </w:r>
    </w:p>
    <w:p w14:paraId="51D8F3A9">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结算书：每项工程的结算书要求分两部分编制：第一部分是以竣工图为依据编制部分，要求以竣工图纸、投标中标价构成的内容为主要部分，包括图纸会审记录、设计变更、监理工程师通知或发包人施工指令等；第二部分以现场签证、工程洽商记录以及其它有关费用为依据编制部分。上述两部分不应有重复列项的内容，用电脑编制的结算书要求提供相应的拷贝磁盘。</w:t>
      </w:r>
    </w:p>
    <w:p w14:paraId="040EA0EE">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2）工程量计算书（即计算底稿）：工程量计算书应由工程量汇总表和详细的工程量计算方式组成，工程量应有详细的计算表达式，施工图、图纸会审记录、设计变更、工程洽商记录、现场签证单、监理工程师通知或发包人施工指令等部分的内容应在工程量计算式中一次计算。用电脑编制的工程量计算书应提供相应的拷贝磁盘。</w:t>
      </w:r>
    </w:p>
    <w:p w14:paraId="37412B1B">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（3）合同书：包括发包人与承包人签订的合同书、经发包人确认的承包人与第三方签订的分包合同、各类补充合同、合同附件等，要求将上述合同文件列出总目录按顺序整理装订成册。</w:t>
      </w:r>
    </w:p>
    <w:p w14:paraId="7419950C">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4）竣工图：用于结算的竣工图必须有承包人竣工图专用章及其相关人员签字，有监理单位和发包人的审核人签字和单位盖章确认。经发包人、设计、监理等单位确认的图纸会审记录、设计变更、工程洽商记录、监理工程师通知或发包人施工指令等内容均应反映在相应的竣工图上。对未在竣工图上反映的图纸会审记录、设计变更和工程洽商记录等，其费用的增减，在结算评审中不予考虑。</w:t>
      </w:r>
    </w:p>
    <w:p w14:paraId="22BD27AC">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5）竣工资料：指在进行工程竣工验收和资料归档时所需的资料。具体包括开工报告、竣工报告、工程质量验收评定证书、材料检验报告、产品质量合格证、经发包人批准的施工组织设计或施工方案、隐蔽工程验收记录、安装工程的调试方案和调试记录等。竣工资料要求监理单位和发包人在确认表上盖章确认，以证明竣工资料上的相关内容与该项目送审资料的实际内容相一致。整理装订成册的竣工资料需编制总目录，并在每一页的下方统一编号，以便于查找。</w:t>
      </w:r>
    </w:p>
    <w:p w14:paraId="4210094C">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（6）图纸会审记录：要求按图纸会审的时间先后整理装订成册，图纸会审记录须有各单位参加会审人员签字及会审单位盖章确认。</w:t>
      </w:r>
    </w:p>
    <w:p w14:paraId="1CBE1D14">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7）设计变更单：要求按设计变更的时间先后整理（安装工程要分专业）装订成册。设计变更单要求有设计人员的签名及设计单位的盖章，同时要求有发包人同意按相关的设计变更进行施工的签认意见和盖章确认。</w:t>
      </w:r>
    </w:p>
    <w:p w14:paraId="4C9F733B">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（8）工程洽商记录：要求根据工程洽商记录的时间先后整理装订成册，然后在每一页的下方统一编号，以便于查找。工程洽商记录要求有监理单位和发包人相关人员的签字和单位盖章确认。</w:t>
      </w:r>
    </w:p>
    <w:p w14:paraId="4E5AEAA5">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9）监理工程师通知或发包人施工指令：要求根据监理工程师通知或发包人施工指令的时间先后整理装订成册，然后在每一页的下方统一编号。监理工程师通知要求有监理单位和发包人相关人员的签字和单位盖章确认，发包人施工指令要求有发包人相关人员的签字和单位盖章确认。</w:t>
      </w:r>
    </w:p>
    <w:p w14:paraId="2BAFF8CE">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10）会议纪要：指工程质量、安全、技术、经济等现场协调会会议纪要等。要求根据会议纪要的时间先后整理装订成册，然后在每一页的下方统一编号。会议纪要要求有参与会议的各方代表签字，并有监理单位和发包人盖章确认。</w:t>
      </w:r>
    </w:p>
    <w:p w14:paraId="30BFF029">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11）现场签证单：要求根据现场签证单的时间先后整理装订成册，然后在每一页的下方统一编号，现场签证单上应有工程数量的计算过程和施工简图，由承包人盖章确认，并有监理单位和发包人相关人员签字和单位盖章确认，并且有上述单位的造价工程师对工程造价进行审核的签字。</w:t>
      </w:r>
    </w:p>
    <w:p w14:paraId="244024B7">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12）材料设备单价呈批审核单：凡在工程招标文件或合同中未明确的主要材料设备单价，要求根据材料设备单价呈批审核单的编号顺序整理装订成册。每项审核单应附有相关的资料或注明相关资料在送审结算资料的哪一部分和哪一页位置上，要求有使用该材料设备的专题会议</w:t>
      </w:r>
      <w:r>
        <w:rPr>
          <w:rFonts w:hint="eastAsia" w:ascii="宋体" w:hAnsi="宋体"/>
          <w:color w:val="auto"/>
          <w:szCs w:val="21"/>
          <w:highlight w:val="none"/>
          <w:lang w:val="en-US" w:eastAsia="zh-CN"/>
        </w:rPr>
        <w:t>记</w:t>
      </w:r>
      <w:r>
        <w:rPr>
          <w:rFonts w:hint="eastAsia" w:ascii="宋体" w:hAnsi="宋体"/>
          <w:color w:val="auto"/>
          <w:szCs w:val="21"/>
          <w:highlight w:val="none"/>
        </w:rPr>
        <w:t>录、材料发票、购买合同等有效材料设备价格凭证等。每份审核单手续必需完备，要求有监理单位和发包人相关人员的签字和单位盖章确认。</w:t>
      </w:r>
    </w:p>
    <w:p w14:paraId="6BE9A093">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13）综合单价呈批审核单：在作为合同附件之一的工程量清单中未列但在施工过程中发生的项目，应由承包人编制单价分析表，盖章确认后报监理单位和发包人审核综合单价。在结算资料送审时，要求按综合单价呈批审核单的编号顺序整理装订成册。每项审核单应附有相关的资料或注明相关资料在送审结算资料的哪一部分和哪一页位置上，如材料设备专题会议纪录、设计变更、工程洽商记录、监理工程师通知等。每份综合单价呈批审核单手续必需完备，要求有监理单位和发包人相关人员的签字和单位盖章确认，并且有上述单位的造价工程师对综合单价进行审核的签字。</w:t>
      </w:r>
    </w:p>
    <w:p w14:paraId="4C691427">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14）发包人供应材料收货验收签收单：按发包人供应材料收货验收签收单的编号顺序及不同材料分类整理装订成册。要求发包人供应材料收货验收签收单上有承包人、材料供货单位、监理单位、发包人代表签字和单位盖章确认。</w:t>
      </w:r>
    </w:p>
    <w:p w14:paraId="1EEDD4BD">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15）其他结算资料：凡上述未提及而在结算评审中需要的资料均需提供，例如：施工日记、地质勘察报告、非常用的标准图集、应由承包人承担而由建设单位支付的费用证明如发包人代缴施工水电费票据、余泥排放费证明等。</w:t>
      </w:r>
    </w:p>
    <w:p w14:paraId="33503B9B">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16）资料签收表：按送审结算资料的内容列表，以便资料的移交和管理。资料签收表上应注明资料内容、份数和页数（标注页码），并且对所有复印资料的真实性进行确认。资料签收表一式两份，由资料移交人和接收人分别签名，必要时加盖三方单位的印章。</w:t>
      </w:r>
    </w:p>
    <w:p w14:paraId="26093E01">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17.5.5由于承包人未按发包人要求及时报审估算资料或报送资料不齐全、不完整引起的结算滞后或影响支付，应由承包人负责，承包人所主张的材料款、人工工资等申请将不被接受，应由承包人承担责任。</w:t>
      </w:r>
    </w:p>
    <w:p w14:paraId="436BFF65">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17.5.6本工程最终结算以财政投资评审中心的评审结果为准。</w:t>
      </w:r>
    </w:p>
    <w:p w14:paraId="58B079A1">
      <w:pPr>
        <w:keepNext/>
        <w:keepLines/>
        <w:spacing w:before="260" w:after="260" w:line="416" w:lineRule="auto"/>
        <w:outlineLvl w:val="2"/>
        <w:rPr>
          <w:rFonts w:ascii="宋体" w:hAnsi="宋体"/>
          <w:b/>
          <w:bCs/>
          <w:color w:val="auto"/>
          <w:kern w:val="0"/>
          <w:sz w:val="32"/>
          <w:szCs w:val="32"/>
          <w:highlight w:val="none"/>
        </w:rPr>
      </w:pPr>
      <w:bookmarkStart w:id="929" w:name="_Toc115180021"/>
      <w:r>
        <w:rPr>
          <w:rFonts w:hint="eastAsia" w:ascii="宋体" w:hAnsi="宋体"/>
          <w:b/>
          <w:bCs/>
          <w:color w:val="auto"/>
          <w:kern w:val="0"/>
          <w:sz w:val="32"/>
          <w:szCs w:val="32"/>
          <w:highlight w:val="none"/>
        </w:rPr>
        <w:t>17.6 最终结清</w:t>
      </w:r>
      <w:bookmarkEnd w:id="929"/>
    </w:p>
    <w:p w14:paraId="06570DAB">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（3）对属于《广州市财政投资评审管理办法》评审范围的财政性资金投资项目，财政投资评审结果作为该项目价款结算的依据。</w:t>
      </w:r>
    </w:p>
    <w:p w14:paraId="17950D9A">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17.6.1　最终结清申请单</w:t>
      </w:r>
    </w:p>
    <w:p w14:paraId="7A895FBB">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（1）承包人应提交最终结清申请单一式</w:t>
      </w:r>
      <w:r>
        <w:rPr>
          <w:rFonts w:hint="eastAsia" w:ascii="宋体" w:hAnsi="宋体"/>
          <w:b/>
          <w:bCs/>
          <w:color w:val="auto"/>
          <w:szCs w:val="21"/>
          <w:highlight w:val="none"/>
          <w:u w:val="single"/>
        </w:rPr>
        <w:t xml:space="preserve"> 4份 </w:t>
      </w:r>
      <w:r>
        <w:rPr>
          <w:rFonts w:hint="eastAsia" w:ascii="宋体" w:hAnsi="宋体"/>
          <w:color w:val="auto"/>
          <w:szCs w:val="21"/>
          <w:highlight w:val="none"/>
        </w:rPr>
        <w:t>份。</w:t>
      </w:r>
    </w:p>
    <w:p w14:paraId="4BCEB8B1">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17.7　竣工财务决算</w:t>
      </w:r>
    </w:p>
    <w:p w14:paraId="316439F7">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承包人应为竣工财务决算编制提供的资料：</w:t>
      </w:r>
      <w:r>
        <w:rPr>
          <w:rFonts w:hint="eastAsia" w:ascii="宋体" w:hAnsi="宋体"/>
          <w:color w:val="auto"/>
          <w:szCs w:val="21"/>
          <w:highlight w:val="none"/>
          <w:u w:val="single"/>
        </w:rPr>
        <w:t>　</w:t>
      </w:r>
      <w:r>
        <w:rPr>
          <w:rFonts w:ascii="宋体" w:hAnsi="宋体"/>
          <w:color w:val="auto"/>
          <w:szCs w:val="21"/>
          <w:highlight w:val="none"/>
          <w:u w:val="single"/>
        </w:rPr>
        <w:t xml:space="preserve">按发包人要求 </w:t>
      </w:r>
      <w:r>
        <w:rPr>
          <w:rFonts w:hint="eastAsia" w:ascii="宋体" w:hAnsi="宋体"/>
          <w:color w:val="auto"/>
          <w:szCs w:val="21"/>
          <w:highlight w:val="none"/>
        </w:rPr>
        <w:t>。</w:t>
      </w:r>
    </w:p>
    <w:p w14:paraId="73F32DC6">
      <w:pPr>
        <w:keepNext/>
        <w:keepLines/>
        <w:spacing w:before="260" w:after="260" w:line="416" w:lineRule="auto"/>
        <w:outlineLvl w:val="2"/>
        <w:rPr>
          <w:rFonts w:ascii="宋体" w:hAnsi="宋体"/>
          <w:b/>
          <w:bCs/>
          <w:color w:val="auto"/>
          <w:kern w:val="0"/>
          <w:sz w:val="32"/>
          <w:szCs w:val="32"/>
          <w:highlight w:val="none"/>
        </w:rPr>
      </w:pPr>
      <w:bookmarkStart w:id="930" w:name="_Toc115180022"/>
      <w:r>
        <w:rPr>
          <w:rFonts w:hint="eastAsia" w:ascii="宋体" w:hAnsi="宋体"/>
          <w:b/>
          <w:bCs/>
          <w:color w:val="auto"/>
          <w:kern w:val="0"/>
          <w:sz w:val="32"/>
          <w:szCs w:val="32"/>
          <w:highlight w:val="none"/>
        </w:rPr>
        <w:t>17.9</w:t>
      </w:r>
      <w:r>
        <w:rPr>
          <w:rFonts w:ascii="宋体" w:hAnsi="宋体"/>
          <w:b/>
          <w:bCs/>
          <w:color w:val="auto"/>
          <w:kern w:val="0"/>
          <w:sz w:val="32"/>
          <w:szCs w:val="32"/>
          <w:highlight w:val="none"/>
        </w:rPr>
        <w:t xml:space="preserve">  付款程序及时间</w:t>
      </w:r>
      <w:bookmarkEnd w:id="930"/>
    </w:p>
    <w:p w14:paraId="7B863FED">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17.9.1 适用范围：本条款适用于按合同规定应由发包人支付给承包人的所有付款，包括工程预付款、工程进度付款、保留金付款、完工付款、最终付款及合同规定的其他付款。</w:t>
      </w:r>
    </w:p>
    <w:p w14:paraId="1185B45C">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17.9.2  付款程序：根据有关规定，按第17.9.1条范围内的付款由发包人直接支付给承包人。发包人收到监理人出具的工程量完成计量单后，并审批后付款，程序如下：</w:t>
      </w:r>
    </w:p>
    <w:p w14:paraId="47355CBC">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 承包人填写付款申请书；</w:t>
      </w:r>
    </w:p>
    <w:p w14:paraId="57D642A9">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（2） 监理人在付款申请书上签署意见；</w:t>
      </w:r>
    </w:p>
    <w:p w14:paraId="23F10F6B">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（3） 发包人对付款申请书审查并签署意见；</w:t>
      </w:r>
    </w:p>
    <w:p w14:paraId="6A6CBA77">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（4） 区水务局对付款申请书审查并签署意见；</w:t>
      </w:r>
    </w:p>
    <w:p w14:paraId="54369F6C">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（5） 区财政局对付款申请书审查并签署意见；</w:t>
      </w:r>
    </w:p>
    <w:p w14:paraId="0252FD17">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（6） 由国库支付中心拨付至承包人。</w:t>
      </w:r>
    </w:p>
    <w:p w14:paraId="0A2176D9">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17.9.3  付款时间：</w:t>
      </w:r>
    </w:p>
    <w:p w14:paraId="118E7611">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发包人和监理人应在7天内完成上款（2）、（3）项工作。</w:t>
      </w:r>
    </w:p>
    <w:p w14:paraId="53858502">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若资金不能按时到位或其他原因使发包人不能按时付款，则发包人延长付款时间，但最迟不超过360天。若超过360天，则按同期银行活期存款利率支付所欠付款的利息。</w:t>
      </w:r>
    </w:p>
    <w:p w14:paraId="18C42BB3">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17.9.4  如果广州市增城区财政局对付款程序有其它的规定和要求，则以广州市增城区财政局的付款程序规定和要求为准调整上述付款程序和付款时间。</w:t>
      </w:r>
    </w:p>
    <w:p w14:paraId="731B96D9">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17.9.5  承包人不得以任何理由拖欠或拒付工人工资、材料供应商货款等，并承担由此引起的一切责任。</w:t>
      </w:r>
    </w:p>
    <w:p w14:paraId="01600B60">
      <w:pPr>
        <w:spacing w:before="260" w:after="260" w:line="400" w:lineRule="exact"/>
        <w:outlineLvl w:val="1"/>
        <w:rPr>
          <w:rFonts w:ascii="宋体" w:hAnsi="宋体" w:eastAsia="黑体"/>
          <w:color w:val="auto"/>
          <w:kern w:val="44"/>
          <w:sz w:val="27"/>
          <w:szCs w:val="27"/>
          <w:highlight w:val="none"/>
        </w:rPr>
      </w:pPr>
      <w:bookmarkStart w:id="931" w:name="_Toc10009"/>
      <w:bookmarkStart w:id="932" w:name="_Toc115180023"/>
      <w:bookmarkStart w:id="933" w:name="_Toc18433"/>
      <w:bookmarkStart w:id="934" w:name="_Toc483383042"/>
      <w:r>
        <w:rPr>
          <w:rFonts w:hint="eastAsia" w:ascii="宋体" w:hAnsi="宋体" w:eastAsia="黑体"/>
          <w:color w:val="auto"/>
          <w:kern w:val="44"/>
          <w:sz w:val="27"/>
          <w:szCs w:val="27"/>
          <w:highlight w:val="none"/>
        </w:rPr>
        <w:t>18  竣工验收（验收）</w:t>
      </w:r>
      <w:bookmarkEnd w:id="931"/>
      <w:bookmarkEnd w:id="932"/>
      <w:bookmarkEnd w:id="933"/>
      <w:bookmarkEnd w:id="934"/>
    </w:p>
    <w:p w14:paraId="7C31EA6B">
      <w:pPr>
        <w:keepNext/>
        <w:keepLines/>
        <w:spacing w:before="260" w:after="260" w:line="416" w:lineRule="auto"/>
        <w:outlineLvl w:val="2"/>
        <w:rPr>
          <w:rFonts w:ascii="宋体" w:hAnsi="宋体"/>
          <w:b/>
          <w:bCs/>
          <w:color w:val="auto"/>
          <w:kern w:val="0"/>
          <w:sz w:val="32"/>
          <w:szCs w:val="32"/>
          <w:highlight w:val="none"/>
        </w:rPr>
      </w:pPr>
      <w:bookmarkStart w:id="935" w:name="_Toc115180024"/>
      <w:r>
        <w:rPr>
          <w:rFonts w:hint="eastAsia" w:ascii="宋体" w:hAnsi="宋体"/>
          <w:b/>
          <w:bCs/>
          <w:color w:val="auto"/>
          <w:kern w:val="0"/>
          <w:sz w:val="32"/>
          <w:szCs w:val="32"/>
          <w:highlight w:val="none"/>
        </w:rPr>
        <w:t>18.1 验收工作分类</w:t>
      </w:r>
      <w:bookmarkEnd w:id="935"/>
    </w:p>
    <w:p w14:paraId="32DD256F">
      <w:pPr>
        <w:spacing w:line="400" w:lineRule="exact"/>
        <w:ind w:firstLine="420" w:firstLineChars="200"/>
        <w:rPr>
          <w:rFonts w:ascii="宋体" w:hAnsi="宋体"/>
          <w:color w:val="auto"/>
          <w:highlight w:val="none"/>
        </w:rPr>
      </w:pPr>
      <w:r>
        <w:rPr>
          <w:rFonts w:hint="eastAsia" w:ascii="宋体" w:hAnsi="宋体"/>
          <w:color w:val="auto"/>
          <w:highlight w:val="none"/>
        </w:rPr>
        <w:t>本工程法人验收包括：</w:t>
      </w:r>
      <w:r>
        <w:rPr>
          <w:rFonts w:hint="eastAsia" w:ascii="宋体" w:hAnsi="宋体"/>
          <w:color w:val="auto"/>
          <w:highlight w:val="none"/>
          <w:u w:val="single"/>
        </w:rPr>
        <w:t>分部工程验收 、单位工程验收、合同工程完工验收</w:t>
      </w:r>
      <w:r>
        <w:rPr>
          <w:rFonts w:hint="eastAsia" w:ascii="宋体" w:hAnsi="宋体"/>
          <w:color w:val="auto"/>
          <w:highlight w:val="none"/>
        </w:rPr>
        <w:t>；政府验收包括：</w:t>
      </w:r>
      <w:r>
        <w:rPr>
          <w:rFonts w:hint="eastAsia" w:ascii="宋体" w:hAnsi="宋体"/>
          <w:color w:val="auto"/>
          <w:highlight w:val="none"/>
          <w:u w:val="single"/>
        </w:rPr>
        <w:t>竣工验收</w:t>
      </w:r>
      <w:r>
        <w:rPr>
          <w:rFonts w:hint="eastAsia" w:ascii="宋体" w:hAnsi="宋体"/>
          <w:color w:val="auto"/>
          <w:highlight w:val="none"/>
        </w:rPr>
        <w:t>。验收条件和验收程序：</w:t>
      </w:r>
      <w:r>
        <w:rPr>
          <w:rFonts w:hint="eastAsia" w:ascii="宋体" w:hAnsi="宋体"/>
          <w:color w:val="auto"/>
          <w:highlight w:val="none"/>
          <w:u w:val="single"/>
        </w:rPr>
        <w:t>　按《水利水电建设工程验收规程》（SL223-2008）要求执行　</w:t>
      </w:r>
      <w:r>
        <w:rPr>
          <w:rFonts w:hint="eastAsia" w:ascii="宋体" w:hAnsi="宋体"/>
          <w:color w:val="auto"/>
          <w:highlight w:val="none"/>
        </w:rPr>
        <w:t>。</w:t>
      </w:r>
    </w:p>
    <w:p w14:paraId="691289BB">
      <w:pPr>
        <w:keepNext/>
        <w:keepLines/>
        <w:spacing w:before="260" w:after="260" w:line="416" w:lineRule="auto"/>
        <w:outlineLvl w:val="2"/>
        <w:rPr>
          <w:rFonts w:ascii="宋体" w:hAnsi="宋体"/>
          <w:b/>
          <w:bCs/>
          <w:color w:val="auto"/>
          <w:kern w:val="0"/>
          <w:sz w:val="32"/>
          <w:szCs w:val="32"/>
          <w:highlight w:val="none"/>
        </w:rPr>
      </w:pPr>
      <w:bookmarkStart w:id="936" w:name="_Toc367280780"/>
      <w:bookmarkStart w:id="937" w:name="_Toc115180025"/>
      <w:bookmarkStart w:id="938" w:name="_Toc23047"/>
      <w:bookmarkStart w:id="939" w:name="_Toc1866"/>
      <w:r>
        <w:rPr>
          <w:rFonts w:hint="eastAsia" w:ascii="宋体" w:hAnsi="宋体"/>
          <w:b/>
          <w:bCs/>
          <w:color w:val="auto"/>
          <w:kern w:val="0"/>
          <w:sz w:val="32"/>
          <w:szCs w:val="32"/>
          <w:highlight w:val="none"/>
        </w:rPr>
        <w:t>18.2　分部工程验收</w:t>
      </w:r>
      <w:bookmarkEnd w:id="936"/>
      <w:bookmarkEnd w:id="937"/>
    </w:p>
    <w:p w14:paraId="4AFEB7AE">
      <w:pPr>
        <w:spacing w:line="400" w:lineRule="exact"/>
        <w:ind w:firstLine="420" w:firstLineChars="200"/>
        <w:rPr>
          <w:rFonts w:ascii="宋体" w:hAnsi="宋体"/>
          <w:color w:val="auto"/>
          <w:highlight w:val="none"/>
        </w:rPr>
      </w:pPr>
      <w:r>
        <w:rPr>
          <w:rFonts w:hint="eastAsia" w:ascii="宋体" w:hAnsi="宋体"/>
          <w:color w:val="auto"/>
          <w:highlight w:val="none"/>
        </w:rPr>
        <w:t>18.2.2　本工程由发包人主持的分部工程验收为</w:t>
      </w:r>
      <w:r>
        <w:rPr>
          <w:rFonts w:hint="eastAsia" w:ascii="宋体" w:hAnsi="宋体"/>
          <w:color w:val="auto"/>
          <w:highlight w:val="none"/>
          <w:u w:val="single"/>
        </w:rPr>
        <w:t>　/　</w:t>
      </w:r>
      <w:r>
        <w:rPr>
          <w:rFonts w:hint="eastAsia" w:ascii="宋体" w:hAnsi="宋体"/>
          <w:color w:val="auto"/>
          <w:highlight w:val="none"/>
        </w:rPr>
        <w:t>，其余由监理人主持。</w:t>
      </w:r>
    </w:p>
    <w:p w14:paraId="4F060067">
      <w:pPr>
        <w:keepNext/>
        <w:keepLines/>
        <w:spacing w:before="260" w:after="260" w:line="416" w:lineRule="auto"/>
        <w:outlineLvl w:val="2"/>
        <w:rPr>
          <w:rFonts w:ascii="宋体" w:hAnsi="宋体"/>
          <w:b/>
          <w:bCs/>
          <w:color w:val="auto"/>
          <w:kern w:val="0"/>
          <w:sz w:val="32"/>
          <w:szCs w:val="32"/>
          <w:highlight w:val="none"/>
        </w:rPr>
      </w:pPr>
      <w:bookmarkStart w:id="940" w:name="_Toc367280781"/>
      <w:bookmarkStart w:id="941" w:name="_Toc115180026"/>
      <w:r>
        <w:rPr>
          <w:rFonts w:hint="eastAsia" w:ascii="宋体" w:hAnsi="宋体"/>
          <w:b/>
          <w:bCs/>
          <w:color w:val="auto"/>
          <w:kern w:val="0"/>
          <w:sz w:val="32"/>
          <w:szCs w:val="32"/>
          <w:highlight w:val="none"/>
        </w:rPr>
        <w:t>18.3　单位工程验收</w:t>
      </w:r>
      <w:bookmarkEnd w:id="940"/>
      <w:bookmarkEnd w:id="941"/>
    </w:p>
    <w:p w14:paraId="60AB5CE7">
      <w:pPr>
        <w:spacing w:line="400" w:lineRule="exact"/>
        <w:ind w:firstLine="420" w:firstLineChars="200"/>
        <w:rPr>
          <w:rFonts w:ascii="宋体" w:hAnsi="宋体"/>
          <w:color w:val="auto"/>
          <w:highlight w:val="none"/>
        </w:rPr>
      </w:pPr>
      <w:r>
        <w:rPr>
          <w:rFonts w:hint="eastAsia" w:ascii="宋体" w:hAnsi="宋体"/>
          <w:color w:val="auto"/>
          <w:highlight w:val="none"/>
        </w:rPr>
        <w:t>18.3.4　提前投入使用的单位工程包括：</w:t>
      </w:r>
      <w:r>
        <w:rPr>
          <w:rFonts w:hint="eastAsia" w:ascii="宋体" w:hAnsi="宋体"/>
          <w:color w:val="auto"/>
          <w:highlight w:val="none"/>
          <w:u w:val="single"/>
        </w:rPr>
        <w:t>　/　</w:t>
      </w:r>
      <w:r>
        <w:rPr>
          <w:rFonts w:hint="eastAsia" w:ascii="宋体" w:hAnsi="宋体"/>
          <w:color w:val="auto"/>
          <w:highlight w:val="none"/>
        </w:rPr>
        <w:t>。</w:t>
      </w:r>
    </w:p>
    <w:p w14:paraId="78C66EC6">
      <w:pPr>
        <w:keepNext/>
        <w:keepLines/>
        <w:spacing w:before="260" w:after="260" w:line="416" w:lineRule="auto"/>
        <w:outlineLvl w:val="2"/>
        <w:rPr>
          <w:rFonts w:ascii="宋体" w:hAnsi="宋体"/>
          <w:b/>
          <w:bCs/>
          <w:color w:val="auto"/>
          <w:kern w:val="0"/>
          <w:sz w:val="32"/>
          <w:szCs w:val="32"/>
          <w:highlight w:val="none"/>
        </w:rPr>
      </w:pPr>
      <w:bookmarkStart w:id="942" w:name="_Toc367280782"/>
      <w:bookmarkStart w:id="943" w:name="_Toc115180027"/>
      <w:r>
        <w:rPr>
          <w:rFonts w:hint="eastAsia" w:ascii="宋体" w:hAnsi="宋体"/>
          <w:b/>
          <w:bCs/>
          <w:color w:val="auto"/>
          <w:kern w:val="0"/>
          <w:sz w:val="32"/>
          <w:szCs w:val="32"/>
          <w:highlight w:val="none"/>
        </w:rPr>
        <w:t>18.5　阶段验收</w:t>
      </w:r>
      <w:bookmarkEnd w:id="942"/>
      <w:bookmarkEnd w:id="943"/>
    </w:p>
    <w:p w14:paraId="1E30C847">
      <w:pPr>
        <w:spacing w:line="400" w:lineRule="exact"/>
        <w:ind w:firstLine="420" w:firstLineChars="200"/>
        <w:rPr>
          <w:rFonts w:ascii="宋体" w:hAnsi="宋体"/>
          <w:color w:val="auto"/>
          <w:highlight w:val="none"/>
        </w:rPr>
      </w:pPr>
      <w:r>
        <w:rPr>
          <w:rFonts w:hint="eastAsia" w:ascii="宋体" w:hAnsi="宋体"/>
          <w:color w:val="auto"/>
          <w:highlight w:val="none"/>
        </w:rPr>
        <w:t>18.5.1　本合同工程阶段验收类别包括</w:t>
      </w:r>
      <w:r>
        <w:rPr>
          <w:rFonts w:hint="eastAsia" w:ascii="宋体" w:hAnsi="宋体"/>
          <w:color w:val="auto"/>
          <w:highlight w:val="none"/>
          <w:u w:val="single"/>
        </w:rPr>
        <w:t>：/　</w:t>
      </w:r>
      <w:r>
        <w:rPr>
          <w:rFonts w:hint="eastAsia" w:ascii="宋体" w:hAnsi="宋体"/>
          <w:color w:val="auto"/>
          <w:highlight w:val="none"/>
        </w:rPr>
        <w:t>。</w:t>
      </w:r>
    </w:p>
    <w:p w14:paraId="5FFBEF1F">
      <w:pPr>
        <w:keepNext/>
        <w:keepLines/>
        <w:spacing w:before="260" w:after="260" w:line="416" w:lineRule="auto"/>
        <w:outlineLvl w:val="2"/>
        <w:rPr>
          <w:rFonts w:ascii="宋体" w:hAnsi="宋体"/>
          <w:b/>
          <w:bCs/>
          <w:color w:val="auto"/>
          <w:kern w:val="0"/>
          <w:sz w:val="32"/>
          <w:szCs w:val="32"/>
          <w:highlight w:val="none"/>
        </w:rPr>
      </w:pPr>
      <w:bookmarkStart w:id="944" w:name="_Toc115180028"/>
      <w:bookmarkStart w:id="945" w:name="_Toc367280783"/>
      <w:r>
        <w:rPr>
          <w:rFonts w:hint="eastAsia" w:ascii="宋体" w:hAnsi="宋体"/>
          <w:b/>
          <w:bCs/>
          <w:color w:val="auto"/>
          <w:kern w:val="0"/>
          <w:sz w:val="32"/>
          <w:szCs w:val="32"/>
          <w:highlight w:val="none"/>
        </w:rPr>
        <w:t>18.6　专项验收</w:t>
      </w:r>
      <w:bookmarkEnd w:id="944"/>
      <w:bookmarkEnd w:id="945"/>
    </w:p>
    <w:p w14:paraId="2176FC64">
      <w:pPr>
        <w:spacing w:line="400" w:lineRule="exact"/>
        <w:ind w:firstLine="420" w:firstLineChars="200"/>
        <w:rPr>
          <w:rFonts w:ascii="宋体" w:hAnsi="宋体"/>
          <w:color w:val="auto"/>
          <w:highlight w:val="none"/>
        </w:rPr>
      </w:pPr>
      <w:r>
        <w:rPr>
          <w:rFonts w:hint="eastAsia" w:ascii="宋体" w:hAnsi="宋体"/>
          <w:color w:val="auto"/>
          <w:highlight w:val="none"/>
        </w:rPr>
        <w:t>18.6.2　本合同工程专项验收类别包括</w:t>
      </w:r>
      <w:r>
        <w:rPr>
          <w:rFonts w:hint="eastAsia" w:ascii="宋体" w:hAnsi="宋体"/>
          <w:color w:val="auto"/>
          <w:highlight w:val="none"/>
          <w:u w:val="single"/>
        </w:rPr>
        <w:t>：/　</w:t>
      </w:r>
      <w:r>
        <w:rPr>
          <w:rFonts w:hint="eastAsia" w:ascii="宋体" w:hAnsi="宋体"/>
          <w:color w:val="auto"/>
          <w:highlight w:val="none"/>
        </w:rPr>
        <w:t>。</w:t>
      </w:r>
    </w:p>
    <w:p w14:paraId="3D2AFB2C">
      <w:pPr>
        <w:keepNext/>
        <w:keepLines/>
        <w:spacing w:before="260" w:after="260" w:line="416" w:lineRule="auto"/>
        <w:outlineLvl w:val="2"/>
        <w:rPr>
          <w:rFonts w:ascii="宋体" w:hAnsi="宋体"/>
          <w:b/>
          <w:bCs/>
          <w:color w:val="auto"/>
          <w:kern w:val="0"/>
          <w:sz w:val="32"/>
          <w:szCs w:val="32"/>
          <w:highlight w:val="none"/>
        </w:rPr>
      </w:pPr>
      <w:bookmarkStart w:id="946" w:name="_Toc367280784"/>
      <w:bookmarkStart w:id="947" w:name="_Toc115180029"/>
      <w:r>
        <w:rPr>
          <w:rFonts w:hint="eastAsia" w:ascii="宋体" w:hAnsi="宋体"/>
          <w:b/>
          <w:bCs/>
          <w:color w:val="auto"/>
          <w:kern w:val="0"/>
          <w:sz w:val="32"/>
          <w:szCs w:val="32"/>
          <w:highlight w:val="none"/>
        </w:rPr>
        <w:t>18.7　竣工验收</w:t>
      </w:r>
      <w:bookmarkEnd w:id="946"/>
      <w:bookmarkEnd w:id="947"/>
    </w:p>
    <w:p w14:paraId="190ADC40">
      <w:pPr>
        <w:spacing w:line="400" w:lineRule="exact"/>
        <w:ind w:firstLine="420" w:firstLineChars="200"/>
        <w:rPr>
          <w:rFonts w:ascii="宋体" w:hAnsi="宋体"/>
          <w:color w:val="auto"/>
          <w:highlight w:val="none"/>
        </w:rPr>
      </w:pPr>
      <w:r>
        <w:rPr>
          <w:rFonts w:hint="eastAsia" w:ascii="宋体" w:hAnsi="宋体"/>
          <w:color w:val="auto"/>
          <w:highlight w:val="none"/>
        </w:rPr>
        <w:t>18.7.3　本工程</w:t>
      </w:r>
      <w:r>
        <w:rPr>
          <w:rFonts w:hint="eastAsia" w:ascii="宋体" w:hAnsi="宋体"/>
          <w:color w:val="auto"/>
          <w:highlight w:val="none"/>
          <w:u w:val="single"/>
        </w:rPr>
        <w:t>　不需要　</w:t>
      </w:r>
      <w:r>
        <w:rPr>
          <w:rFonts w:hint="eastAsia" w:ascii="宋体" w:hAnsi="宋体"/>
          <w:color w:val="auto"/>
          <w:highlight w:val="none"/>
        </w:rPr>
        <w:t>（需要／不需要）竣工验收技术鉴定（蓄水安全鉴定）。</w:t>
      </w:r>
    </w:p>
    <w:p w14:paraId="6DF0E616">
      <w:pPr>
        <w:keepNext/>
        <w:keepLines/>
        <w:spacing w:before="260" w:after="260" w:line="416" w:lineRule="auto"/>
        <w:outlineLvl w:val="2"/>
        <w:rPr>
          <w:rFonts w:ascii="宋体" w:hAnsi="宋体"/>
          <w:b/>
          <w:bCs/>
          <w:color w:val="auto"/>
          <w:kern w:val="0"/>
          <w:sz w:val="32"/>
          <w:szCs w:val="32"/>
          <w:highlight w:val="none"/>
        </w:rPr>
      </w:pPr>
      <w:bookmarkStart w:id="948" w:name="_Toc115180030"/>
      <w:bookmarkStart w:id="949" w:name="_Toc367280785"/>
      <w:r>
        <w:rPr>
          <w:rFonts w:hint="eastAsia" w:ascii="宋体" w:hAnsi="宋体"/>
          <w:b/>
          <w:bCs/>
          <w:color w:val="auto"/>
          <w:kern w:val="0"/>
          <w:sz w:val="32"/>
          <w:szCs w:val="32"/>
          <w:highlight w:val="none"/>
        </w:rPr>
        <w:t>18.8　施工期运行</w:t>
      </w:r>
      <w:bookmarkEnd w:id="948"/>
      <w:bookmarkEnd w:id="949"/>
    </w:p>
    <w:p w14:paraId="56819D03">
      <w:pPr>
        <w:spacing w:line="400" w:lineRule="exact"/>
        <w:ind w:firstLine="420" w:firstLineChars="200"/>
        <w:rPr>
          <w:rFonts w:ascii="宋体" w:hAnsi="宋体"/>
          <w:color w:val="auto"/>
          <w:highlight w:val="none"/>
        </w:rPr>
      </w:pPr>
      <w:r>
        <w:rPr>
          <w:rFonts w:hint="eastAsia" w:ascii="宋体" w:hAnsi="宋体"/>
          <w:color w:val="auto"/>
          <w:highlight w:val="none"/>
        </w:rPr>
        <w:t>18.8.1　需要在施工期运行的单位工程或工程设备为</w:t>
      </w:r>
      <w:r>
        <w:rPr>
          <w:rFonts w:hint="eastAsia" w:ascii="宋体" w:hAnsi="宋体"/>
          <w:color w:val="auto"/>
          <w:highlight w:val="none"/>
          <w:u w:val="single"/>
        </w:rPr>
        <w:t>：/　</w:t>
      </w:r>
      <w:r>
        <w:rPr>
          <w:rFonts w:hint="eastAsia" w:ascii="宋体" w:hAnsi="宋体"/>
          <w:color w:val="auto"/>
          <w:highlight w:val="none"/>
        </w:rPr>
        <w:t>。</w:t>
      </w:r>
    </w:p>
    <w:p w14:paraId="3EB1BB6B">
      <w:pPr>
        <w:keepNext/>
        <w:keepLines/>
        <w:spacing w:before="260" w:after="260" w:line="416" w:lineRule="auto"/>
        <w:outlineLvl w:val="2"/>
        <w:rPr>
          <w:rFonts w:ascii="宋体" w:hAnsi="宋体"/>
          <w:b/>
          <w:bCs/>
          <w:color w:val="auto"/>
          <w:kern w:val="0"/>
          <w:sz w:val="32"/>
          <w:szCs w:val="32"/>
          <w:highlight w:val="none"/>
        </w:rPr>
      </w:pPr>
      <w:bookmarkStart w:id="950" w:name="_Toc367280786"/>
      <w:bookmarkStart w:id="951" w:name="_Toc115180031"/>
      <w:r>
        <w:rPr>
          <w:rFonts w:hint="eastAsia" w:ascii="宋体" w:hAnsi="宋体"/>
          <w:b/>
          <w:bCs/>
          <w:color w:val="auto"/>
          <w:kern w:val="0"/>
          <w:sz w:val="32"/>
          <w:szCs w:val="32"/>
          <w:highlight w:val="none"/>
        </w:rPr>
        <w:t>18.9　试运行</w:t>
      </w:r>
      <w:bookmarkEnd w:id="950"/>
      <w:bookmarkEnd w:id="951"/>
    </w:p>
    <w:p w14:paraId="03618CCA">
      <w:pPr>
        <w:spacing w:line="400" w:lineRule="exact"/>
        <w:ind w:firstLine="420" w:firstLineChars="200"/>
        <w:rPr>
          <w:rFonts w:ascii="宋体" w:hAnsi="宋体"/>
          <w:color w:val="auto"/>
          <w:highlight w:val="none"/>
        </w:rPr>
      </w:pPr>
      <w:r>
        <w:rPr>
          <w:rFonts w:hint="eastAsia" w:ascii="宋体" w:hAnsi="宋体"/>
          <w:color w:val="auto"/>
          <w:highlight w:val="none"/>
        </w:rPr>
        <w:t>18.9.1　试运行的组织</w:t>
      </w:r>
      <w:r>
        <w:rPr>
          <w:rFonts w:hint="eastAsia" w:ascii="宋体" w:hAnsi="宋体"/>
          <w:color w:val="auto"/>
          <w:highlight w:val="none"/>
          <w:u w:val="single"/>
        </w:rPr>
        <w:t>：　/　</w:t>
      </w:r>
      <w:r>
        <w:rPr>
          <w:rFonts w:hint="eastAsia" w:ascii="宋体" w:hAnsi="宋体"/>
          <w:color w:val="auto"/>
          <w:highlight w:val="none"/>
        </w:rPr>
        <w:t>；费用承担</w:t>
      </w:r>
      <w:r>
        <w:rPr>
          <w:rFonts w:hint="eastAsia" w:ascii="宋体" w:hAnsi="宋体"/>
          <w:color w:val="auto"/>
          <w:highlight w:val="none"/>
          <w:u w:val="single"/>
        </w:rPr>
        <w:t>：　/　</w:t>
      </w:r>
      <w:r>
        <w:rPr>
          <w:rFonts w:hint="eastAsia" w:ascii="宋体" w:hAnsi="宋体"/>
          <w:color w:val="auto"/>
          <w:highlight w:val="none"/>
        </w:rPr>
        <w:t>。</w:t>
      </w:r>
    </w:p>
    <w:p w14:paraId="71310A8E">
      <w:pPr>
        <w:spacing w:before="260" w:after="260" w:line="400" w:lineRule="exact"/>
        <w:outlineLvl w:val="1"/>
        <w:rPr>
          <w:rFonts w:ascii="宋体" w:hAnsi="宋体" w:eastAsia="黑体"/>
          <w:color w:val="auto"/>
          <w:kern w:val="44"/>
          <w:sz w:val="30"/>
          <w:szCs w:val="30"/>
          <w:highlight w:val="none"/>
        </w:rPr>
      </w:pPr>
      <w:bookmarkStart w:id="952" w:name="_Toc115180032"/>
      <w:bookmarkStart w:id="953" w:name="_Toc483383043"/>
      <w:r>
        <w:rPr>
          <w:rFonts w:hint="eastAsia" w:ascii="宋体" w:hAnsi="宋体" w:eastAsia="黑体"/>
          <w:color w:val="auto"/>
          <w:kern w:val="44"/>
          <w:sz w:val="27"/>
          <w:szCs w:val="27"/>
          <w:highlight w:val="none"/>
        </w:rPr>
        <w:t>19 缺陷责任与保修责任</w:t>
      </w:r>
      <w:bookmarkEnd w:id="938"/>
      <w:bookmarkEnd w:id="939"/>
      <w:bookmarkEnd w:id="952"/>
      <w:bookmarkEnd w:id="953"/>
    </w:p>
    <w:p w14:paraId="6041FDD8">
      <w:pPr>
        <w:keepNext/>
        <w:keepLines/>
        <w:spacing w:before="260" w:after="260" w:line="416" w:lineRule="auto"/>
        <w:outlineLvl w:val="2"/>
        <w:rPr>
          <w:rFonts w:ascii="宋体" w:hAnsi="宋体"/>
          <w:b/>
          <w:bCs/>
          <w:color w:val="auto"/>
          <w:kern w:val="0"/>
          <w:sz w:val="32"/>
          <w:szCs w:val="32"/>
          <w:highlight w:val="none"/>
        </w:rPr>
      </w:pPr>
      <w:bookmarkStart w:id="954" w:name="_Toc115180033"/>
      <w:r>
        <w:rPr>
          <w:rFonts w:hint="eastAsia" w:ascii="宋体" w:hAnsi="宋体"/>
          <w:b/>
          <w:bCs/>
          <w:color w:val="auto"/>
          <w:kern w:val="0"/>
          <w:sz w:val="32"/>
          <w:szCs w:val="32"/>
          <w:highlight w:val="none"/>
        </w:rPr>
        <w:t>19.1 缺陷责任期（工程质量保修期）的起算时间</w:t>
      </w:r>
      <w:bookmarkEnd w:id="954"/>
    </w:p>
    <w:p w14:paraId="4ED328A0">
      <w:pPr>
        <w:spacing w:line="400" w:lineRule="exact"/>
        <w:ind w:right="248" w:firstLine="525" w:firstLineChars="250"/>
        <w:rPr>
          <w:rFonts w:ascii="宋体" w:hAnsi="宋体"/>
          <w:color w:val="auto"/>
          <w:highlight w:val="none"/>
        </w:rPr>
      </w:pPr>
      <w:r>
        <w:rPr>
          <w:rFonts w:hint="eastAsia" w:ascii="宋体" w:hAnsi="宋体"/>
          <w:color w:val="auto"/>
          <w:highlight w:val="none"/>
        </w:rPr>
        <w:t>本工程缺陷责任期（工程质量保修期）计算如下：</w:t>
      </w:r>
      <w:r>
        <w:rPr>
          <w:rFonts w:hint="eastAsia" w:ascii="宋体" w:hAnsi="宋体"/>
          <w:color w:val="auto"/>
          <w:highlight w:val="none"/>
          <w:u w:val="single"/>
        </w:rPr>
        <w:t>从工程实际竣工之日算起，分单项竣工验收的工程，按单项工程分别计算质量保修期。双方根据国家有关规定，结合具体工程约定本工程的质量保修期如下：1 、地基基础工程和主体结构工程为设计文件规定的该工程的合理使用年限；2 、装修工程为 2 年；3 、电气管线、给排水管道、设备安装工程为 2 年；4、给排水设施、道路等配套工程为 2 年；5、防水工程为5年；6 、其他保修期限约定如下：原则上按 2 年进行保修</w:t>
      </w:r>
      <w:r>
        <w:rPr>
          <w:rFonts w:hint="eastAsia" w:ascii="宋体" w:hAnsi="宋体"/>
          <w:color w:val="auto"/>
          <w:highlight w:val="none"/>
        </w:rPr>
        <w:t>。</w:t>
      </w:r>
    </w:p>
    <w:p w14:paraId="59B439D4">
      <w:pPr>
        <w:spacing w:before="260" w:after="260" w:line="400" w:lineRule="exact"/>
        <w:outlineLvl w:val="1"/>
        <w:rPr>
          <w:rFonts w:ascii="宋体" w:hAnsi="宋体" w:eastAsia="黑体"/>
          <w:color w:val="auto"/>
          <w:kern w:val="44"/>
          <w:sz w:val="27"/>
          <w:szCs w:val="27"/>
          <w:highlight w:val="none"/>
        </w:rPr>
      </w:pPr>
      <w:bookmarkStart w:id="955" w:name="_Toc367280789"/>
      <w:bookmarkStart w:id="956" w:name="_Toc483383044"/>
      <w:bookmarkStart w:id="957" w:name="_Toc115180034"/>
      <w:bookmarkStart w:id="958" w:name="_Toc16852"/>
      <w:bookmarkStart w:id="959" w:name="_Toc24027"/>
      <w:r>
        <w:rPr>
          <w:rFonts w:hint="eastAsia" w:ascii="宋体" w:hAnsi="宋体" w:eastAsia="黑体"/>
          <w:color w:val="auto"/>
          <w:kern w:val="44"/>
          <w:sz w:val="27"/>
          <w:szCs w:val="27"/>
          <w:highlight w:val="none"/>
        </w:rPr>
        <w:t>20　保险</w:t>
      </w:r>
      <w:bookmarkEnd w:id="955"/>
      <w:bookmarkEnd w:id="956"/>
      <w:bookmarkEnd w:id="957"/>
    </w:p>
    <w:p w14:paraId="0F244204">
      <w:pPr>
        <w:keepNext/>
        <w:keepLines/>
        <w:spacing w:before="260" w:after="260" w:line="416" w:lineRule="auto"/>
        <w:outlineLvl w:val="2"/>
        <w:rPr>
          <w:rFonts w:ascii="宋体" w:hAnsi="宋体"/>
          <w:b/>
          <w:bCs/>
          <w:color w:val="auto"/>
          <w:kern w:val="0"/>
          <w:sz w:val="32"/>
          <w:szCs w:val="32"/>
          <w:highlight w:val="none"/>
        </w:rPr>
      </w:pPr>
      <w:bookmarkStart w:id="960" w:name="_Toc115180035"/>
      <w:bookmarkStart w:id="961" w:name="_Toc367280790"/>
      <w:r>
        <w:rPr>
          <w:rFonts w:hint="eastAsia" w:ascii="宋体" w:hAnsi="宋体"/>
          <w:b/>
          <w:bCs/>
          <w:color w:val="auto"/>
          <w:kern w:val="0"/>
          <w:sz w:val="32"/>
          <w:szCs w:val="32"/>
          <w:highlight w:val="none"/>
        </w:rPr>
        <w:t>20.1　工程保险</w:t>
      </w:r>
      <w:bookmarkEnd w:id="960"/>
      <w:bookmarkEnd w:id="961"/>
    </w:p>
    <w:p w14:paraId="45E3F91D">
      <w:pPr>
        <w:spacing w:line="400" w:lineRule="exact"/>
        <w:ind w:firstLine="420" w:firstLineChars="200"/>
        <w:rPr>
          <w:rFonts w:ascii="宋体" w:hAnsi="宋体"/>
          <w:color w:val="auto"/>
          <w:highlight w:val="none"/>
        </w:rPr>
      </w:pPr>
      <w:r>
        <w:rPr>
          <w:rFonts w:hint="eastAsia" w:ascii="宋体" w:hAnsi="宋体"/>
          <w:color w:val="auto"/>
          <w:highlight w:val="none"/>
        </w:rPr>
        <w:t>建筑工程一切险和（或）安装工程一切险投保人</w:t>
      </w:r>
      <w:r>
        <w:rPr>
          <w:rFonts w:hint="eastAsia" w:ascii="宋体" w:hAnsi="宋体"/>
          <w:color w:val="auto"/>
          <w:highlight w:val="none"/>
          <w:u w:val="single"/>
        </w:rPr>
        <w:t>：按通用合同条款　　</w:t>
      </w:r>
      <w:r>
        <w:rPr>
          <w:rFonts w:hint="eastAsia" w:ascii="宋体" w:hAnsi="宋体"/>
          <w:color w:val="auto"/>
          <w:highlight w:val="none"/>
        </w:rPr>
        <w:t>；</w:t>
      </w:r>
    </w:p>
    <w:p w14:paraId="550356C5">
      <w:pPr>
        <w:spacing w:line="400" w:lineRule="exact"/>
        <w:ind w:firstLine="420" w:firstLineChars="200"/>
        <w:rPr>
          <w:rFonts w:ascii="宋体" w:hAnsi="宋体"/>
          <w:color w:val="auto"/>
          <w:highlight w:val="none"/>
        </w:rPr>
      </w:pPr>
      <w:r>
        <w:rPr>
          <w:rFonts w:hint="eastAsia" w:ascii="宋体" w:hAnsi="宋体"/>
          <w:color w:val="auto"/>
          <w:highlight w:val="none"/>
        </w:rPr>
        <w:t>投保内容</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7671E2F9">
      <w:pPr>
        <w:spacing w:line="400" w:lineRule="exact"/>
        <w:ind w:firstLine="420" w:firstLineChars="200"/>
        <w:rPr>
          <w:rFonts w:ascii="宋体" w:hAnsi="宋体"/>
          <w:color w:val="auto"/>
          <w:highlight w:val="none"/>
        </w:rPr>
      </w:pPr>
      <w:r>
        <w:rPr>
          <w:rFonts w:hint="eastAsia" w:ascii="宋体" w:hAnsi="宋体"/>
          <w:color w:val="auto"/>
          <w:highlight w:val="none"/>
        </w:rPr>
        <w:t>保险金额、保险费率和保险期限</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0ACADFCA">
      <w:pPr>
        <w:keepNext/>
        <w:keepLines/>
        <w:spacing w:before="260" w:after="260" w:line="416" w:lineRule="auto"/>
        <w:outlineLvl w:val="2"/>
        <w:rPr>
          <w:rFonts w:ascii="宋体" w:hAnsi="宋体"/>
          <w:b/>
          <w:bCs/>
          <w:color w:val="auto"/>
          <w:kern w:val="0"/>
          <w:sz w:val="32"/>
          <w:szCs w:val="32"/>
          <w:highlight w:val="none"/>
        </w:rPr>
      </w:pPr>
      <w:bookmarkStart w:id="962" w:name="_Toc115180036"/>
      <w:bookmarkStart w:id="963" w:name="_Toc367280791"/>
      <w:r>
        <w:rPr>
          <w:rFonts w:hint="eastAsia" w:ascii="宋体" w:hAnsi="宋体"/>
          <w:b/>
          <w:bCs/>
          <w:color w:val="auto"/>
          <w:kern w:val="0"/>
          <w:sz w:val="32"/>
          <w:szCs w:val="32"/>
          <w:highlight w:val="none"/>
        </w:rPr>
        <w:t>20.4　第三者责任险</w:t>
      </w:r>
      <w:bookmarkEnd w:id="962"/>
      <w:bookmarkEnd w:id="963"/>
    </w:p>
    <w:p w14:paraId="587E4497">
      <w:pPr>
        <w:spacing w:line="400" w:lineRule="exact"/>
        <w:ind w:firstLine="420" w:firstLineChars="200"/>
        <w:rPr>
          <w:rFonts w:ascii="宋体" w:hAnsi="宋体"/>
          <w:color w:val="auto"/>
          <w:highlight w:val="none"/>
        </w:rPr>
      </w:pPr>
      <w:r>
        <w:rPr>
          <w:rFonts w:hint="eastAsia" w:ascii="宋体" w:hAnsi="宋体"/>
          <w:color w:val="auto"/>
          <w:highlight w:val="none"/>
        </w:rPr>
        <w:t>20.4.2　第三者责任险保险费率</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7229984D">
      <w:pPr>
        <w:spacing w:line="400" w:lineRule="exact"/>
        <w:ind w:firstLine="420" w:firstLineChars="200"/>
        <w:rPr>
          <w:rFonts w:ascii="宋体" w:hAnsi="宋体"/>
          <w:color w:val="auto"/>
          <w:highlight w:val="none"/>
        </w:rPr>
      </w:pPr>
      <w:r>
        <w:rPr>
          <w:rFonts w:hint="eastAsia" w:ascii="宋体" w:hAnsi="宋体"/>
          <w:color w:val="auto"/>
          <w:highlight w:val="none"/>
        </w:rPr>
        <w:t>第三者责任险保险金额</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63D2ED15">
      <w:pPr>
        <w:keepNext/>
        <w:keepLines/>
        <w:spacing w:before="260" w:after="260" w:line="416" w:lineRule="auto"/>
        <w:outlineLvl w:val="2"/>
        <w:rPr>
          <w:rFonts w:ascii="宋体" w:hAnsi="宋体"/>
          <w:b/>
          <w:bCs/>
          <w:color w:val="auto"/>
          <w:kern w:val="0"/>
          <w:sz w:val="32"/>
          <w:szCs w:val="32"/>
          <w:highlight w:val="none"/>
        </w:rPr>
      </w:pPr>
      <w:bookmarkStart w:id="964" w:name="_Toc367280792"/>
      <w:bookmarkStart w:id="965" w:name="_Toc115180037"/>
      <w:r>
        <w:rPr>
          <w:rFonts w:hint="eastAsia" w:ascii="宋体" w:hAnsi="宋体"/>
          <w:b/>
          <w:bCs/>
          <w:color w:val="auto"/>
          <w:kern w:val="0"/>
          <w:sz w:val="32"/>
          <w:szCs w:val="32"/>
          <w:highlight w:val="none"/>
        </w:rPr>
        <w:t>20.5　其它保险</w:t>
      </w:r>
      <w:bookmarkEnd w:id="964"/>
      <w:bookmarkEnd w:id="965"/>
    </w:p>
    <w:p w14:paraId="4D5D8AE9">
      <w:pPr>
        <w:spacing w:line="400" w:lineRule="exact"/>
        <w:ind w:firstLine="420" w:firstLineChars="200"/>
        <w:rPr>
          <w:rFonts w:ascii="宋体" w:hAnsi="宋体"/>
          <w:color w:val="auto"/>
          <w:highlight w:val="none"/>
        </w:rPr>
      </w:pPr>
      <w:r>
        <w:rPr>
          <w:rFonts w:hint="eastAsia" w:ascii="宋体" w:hAnsi="宋体"/>
          <w:color w:val="auto"/>
          <w:highlight w:val="none"/>
        </w:rPr>
        <w:t>需要投保的其它内容</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53BD82EA">
      <w:pPr>
        <w:spacing w:line="400" w:lineRule="exact"/>
        <w:ind w:firstLine="420" w:firstLineChars="200"/>
        <w:rPr>
          <w:rFonts w:ascii="宋体" w:hAnsi="宋体"/>
          <w:color w:val="auto"/>
          <w:highlight w:val="none"/>
        </w:rPr>
      </w:pPr>
      <w:r>
        <w:rPr>
          <w:rFonts w:hint="eastAsia" w:ascii="宋体" w:hAnsi="宋体"/>
          <w:color w:val="auto"/>
          <w:highlight w:val="none"/>
        </w:rPr>
        <w:t>保险金额、保险费率和保险期限</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794478E6">
      <w:pPr>
        <w:keepNext/>
        <w:keepLines/>
        <w:spacing w:before="260" w:after="260" w:line="416" w:lineRule="auto"/>
        <w:outlineLvl w:val="2"/>
        <w:rPr>
          <w:rFonts w:ascii="宋体" w:hAnsi="宋体"/>
          <w:b/>
          <w:bCs/>
          <w:color w:val="auto"/>
          <w:kern w:val="0"/>
          <w:sz w:val="32"/>
          <w:szCs w:val="32"/>
          <w:highlight w:val="none"/>
        </w:rPr>
      </w:pPr>
      <w:bookmarkStart w:id="966" w:name="_Toc367280793"/>
      <w:bookmarkStart w:id="967" w:name="_Toc115180038"/>
      <w:r>
        <w:rPr>
          <w:rFonts w:hint="eastAsia" w:ascii="宋体" w:hAnsi="宋体"/>
          <w:b/>
          <w:bCs/>
          <w:color w:val="auto"/>
          <w:kern w:val="0"/>
          <w:sz w:val="32"/>
          <w:szCs w:val="32"/>
          <w:highlight w:val="none"/>
        </w:rPr>
        <w:t>20.6　对各项保险的一般要求</w:t>
      </w:r>
      <w:bookmarkEnd w:id="966"/>
      <w:bookmarkEnd w:id="967"/>
    </w:p>
    <w:p w14:paraId="163D747B">
      <w:pPr>
        <w:spacing w:line="400" w:lineRule="exact"/>
        <w:ind w:firstLine="420" w:firstLineChars="200"/>
        <w:rPr>
          <w:rFonts w:ascii="宋体" w:hAnsi="宋体"/>
          <w:color w:val="auto"/>
          <w:highlight w:val="none"/>
        </w:rPr>
      </w:pPr>
      <w:r>
        <w:rPr>
          <w:rFonts w:hint="eastAsia" w:ascii="宋体" w:hAnsi="宋体"/>
          <w:color w:val="auto"/>
          <w:highlight w:val="none"/>
        </w:rPr>
        <w:t>20.6.1　保险凭证</w:t>
      </w:r>
    </w:p>
    <w:p w14:paraId="798CA54D">
      <w:pPr>
        <w:spacing w:line="400" w:lineRule="exact"/>
        <w:ind w:firstLine="420" w:firstLineChars="200"/>
        <w:rPr>
          <w:rFonts w:ascii="宋体" w:hAnsi="宋体"/>
          <w:color w:val="auto"/>
          <w:highlight w:val="none"/>
        </w:rPr>
      </w:pPr>
      <w:r>
        <w:rPr>
          <w:rFonts w:hint="eastAsia" w:ascii="宋体" w:hAnsi="宋体"/>
          <w:color w:val="auto"/>
          <w:highlight w:val="none"/>
        </w:rPr>
        <w:t>承包人提交保险凭证的期限</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421F485F">
      <w:pPr>
        <w:spacing w:line="400" w:lineRule="exact"/>
        <w:ind w:firstLine="420" w:firstLineChars="200"/>
        <w:rPr>
          <w:rFonts w:ascii="宋体" w:hAnsi="宋体"/>
          <w:color w:val="auto"/>
          <w:highlight w:val="none"/>
        </w:rPr>
      </w:pPr>
      <w:r>
        <w:rPr>
          <w:rFonts w:hint="eastAsia" w:ascii="宋体" w:hAnsi="宋体"/>
          <w:color w:val="auto"/>
          <w:highlight w:val="none"/>
        </w:rPr>
        <w:t>保险条件</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6D68B316">
      <w:pPr>
        <w:spacing w:line="400" w:lineRule="exact"/>
        <w:ind w:firstLine="420" w:firstLineChars="200"/>
        <w:rPr>
          <w:rFonts w:ascii="宋体" w:hAnsi="宋体"/>
          <w:color w:val="auto"/>
          <w:highlight w:val="none"/>
        </w:rPr>
      </w:pPr>
      <w:r>
        <w:rPr>
          <w:rFonts w:hint="eastAsia" w:ascii="宋体" w:hAnsi="宋体"/>
          <w:color w:val="auto"/>
          <w:highlight w:val="none"/>
        </w:rPr>
        <w:t>20.6.4　保险金不足的补偿</w:t>
      </w:r>
    </w:p>
    <w:p w14:paraId="75631148">
      <w:pPr>
        <w:spacing w:line="400" w:lineRule="exact"/>
        <w:ind w:firstLine="420" w:firstLineChars="200"/>
        <w:rPr>
          <w:rFonts w:ascii="宋体" w:hAnsi="宋体"/>
          <w:color w:val="auto"/>
          <w:highlight w:val="none"/>
        </w:rPr>
      </w:pPr>
      <w:r>
        <w:rPr>
          <w:rFonts w:hint="eastAsia" w:ascii="宋体" w:hAnsi="宋体"/>
          <w:color w:val="auto"/>
          <w:highlight w:val="none"/>
        </w:rPr>
        <w:t>承包人负责补偿的范围与金额</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6CB5DFD5">
      <w:pPr>
        <w:spacing w:line="400" w:lineRule="exact"/>
        <w:ind w:firstLine="420" w:firstLineChars="200"/>
        <w:rPr>
          <w:rFonts w:ascii="宋体" w:hAnsi="宋体"/>
          <w:color w:val="auto"/>
          <w:highlight w:val="none"/>
        </w:rPr>
      </w:pPr>
      <w:r>
        <w:rPr>
          <w:rFonts w:hint="eastAsia" w:ascii="宋体" w:hAnsi="宋体"/>
          <w:color w:val="auto"/>
          <w:highlight w:val="none"/>
        </w:rPr>
        <w:t>发包人负责补偿的范围与金额</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36E3984C">
      <w:pPr>
        <w:spacing w:before="260" w:after="260" w:line="400" w:lineRule="exact"/>
        <w:outlineLvl w:val="1"/>
        <w:rPr>
          <w:rFonts w:ascii="宋体" w:hAnsi="宋体" w:eastAsia="黑体"/>
          <w:color w:val="auto"/>
          <w:kern w:val="44"/>
          <w:sz w:val="31"/>
          <w:szCs w:val="31"/>
          <w:highlight w:val="none"/>
        </w:rPr>
      </w:pPr>
      <w:bookmarkStart w:id="968" w:name="_Toc115180039"/>
      <w:bookmarkStart w:id="969" w:name="_Toc483383045"/>
      <w:r>
        <w:rPr>
          <w:rFonts w:ascii="宋体" w:hAnsi="宋体" w:eastAsia="黑体"/>
          <w:color w:val="auto"/>
          <w:kern w:val="44"/>
          <w:sz w:val="31"/>
          <w:szCs w:val="31"/>
          <w:highlight w:val="none"/>
        </w:rPr>
        <w:t xml:space="preserve">22. </w:t>
      </w:r>
      <w:r>
        <w:rPr>
          <w:rFonts w:hint="eastAsia" w:ascii="宋体" w:hAnsi="宋体" w:eastAsia="黑体"/>
          <w:color w:val="auto"/>
          <w:kern w:val="44"/>
          <w:sz w:val="31"/>
          <w:szCs w:val="31"/>
          <w:highlight w:val="none"/>
        </w:rPr>
        <w:t>违约</w:t>
      </w:r>
      <w:bookmarkEnd w:id="958"/>
      <w:bookmarkEnd w:id="959"/>
      <w:bookmarkEnd w:id="968"/>
      <w:bookmarkEnd w:id="969"/>
    </w:p>
    <w:p w14:paraId="2690ED3C">
      <w:pPr>
        <w:spacing w:line="400" w:lineRule="exact"/>
        <w:ind w:firstLine="420" w:firstLineChars="200"/>
        <w:rPr>
          <w:rFonts w:ascii="宋体" w:hAnsi="宋体"/>
          <w:color w:val="auto"/>
          <w:highlight w:val="none"/>
        </w:rPr>
      </w:pPr>
      <w:r>
        <w:rPr>
          <w:rFonts w:hint="eastAsia" w:ascii="宋体" w:hAnsi="宋体"/>
          <w:color w:val="auto"/>
          <w:highlight w:val="none"/>
        </w:rPr>
        <w:t>22.1.2 对承包人违约的处理</w:t>
      </w:r>
    </w:p>
    <w:p w14:paraId="68ECF989">
      <w:pPr>
        <w:spacing w:line="400" w:lineRule="exact"/>
        <w:ind w:firstLine="420" w:firstLineChars="200"/>
        <w:rPr>
          <w:rFonts w:ascii="宋体" w:hAnsi="宋体"/>
          <w:color w:val="auto"/>
          <w:highlight w:val="none"/>
        </w:rPr>
      </w:pPr>
      <w:r>
        <w:rPr>
          <w:rFonts w:hint="eastAsia" w:ascii="宋体" w:hAnsi="宋体"/>
          <w:color w:val="auto"/>
          <w:highlight w:val="none"/>
        </w:rPr>
        <w:t>补充：</w:t>
      </w:r>
    </w:p>
    <w:p w14:paraId="09B54996">
      <w:pPr>
        <w:spacing w:line="400" w:lineRule="exact"/>
        <w:ind w:firstLine="420" w:firstLineChars="200"/>
        <w:rPr>
          <w:rFonts w:ascii="宋体" w:hAnsi="宋体"/>
          <w:color w:val="auto"/>
          <w:highlight w:val="none"/>
        </w:rPr>
      </w:pPr>
      <w:r>
        <w:rPr>
          <w:rFonts w:hint="eastAsia" w:ascii="宋体" w:hAnsi="宋体"/>
          <w:color w:val="auto"/>
          <w:highlight w:val="none"/>
        </w:rPr>
        <w:t>（4）工程质量方面的违约责任</w:t>
      </w:r>
    </w:p>
    <w:p w14:paraId="38246F1A">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1 \* GB3 \* MERGEFORMAT </w:instrText>
      </w:r>
      <w:r>
        <w:rPr>
          <w:rFonts w:hint="eastAsia" w:ascii="宋体" w:hAnsi="宋体"/>
          <w:color w:val="auto"/>
          <w:highlight w:val="none"/>
        </w:rPr>
        <w:fldChar w:fldCharType="separate"/>
      </w:r>
      <w:r>
        <w:rPr>
          <w:rFonts w:hint="eastAsia" w:ascii="宋体" w:hAnsi="宋体"/>
          <w:color w:val="auto"/>
          <w:highlight w:val="none"/>
        </w:rPr>
        <w:t>①</w:t>
      </w:r>
      <w:r>
        <w:rPr>
          <w:rFonts w:hint="eastAsia" w:ascii="宋体" w:hAnsi="宋体"/>
          <w:color w:val="auto"/>
          <w:highlight w:val="none"/>
        </w:rPr>
        <w:fldChar w:fldCharType="end"/>
      </w:r>
      <w:r>
        <w:rPr>
          <w:rFonts w:hint="eastAsia" w:ascii="宋体" w:hAnsi="宋体"/>
          <w:color w:val="auto"/>
          <w:highlight w:val="none"/>
        </w:rPr>
        <w:t xml:space="preserve"> 发包人和监理人抽查承包人的工程材料时，发现所检查的材料与合同约定的标准的任何一项不符合时，承包人除必须全部退货、返工，并赔偿发包人由此遭受的实际损失外，承包人应当按照该批次材料的价值，按照如下方式承担违约责任：</w:t>
      </w:r>
    </w:p>
    <w:p w14:paraId="1A401980">
      <w:pPr>
        <w:spacing w:line="400" w:lineRule="exact"/>
        <w:ind w:firstLine="420" w:firstLineChars="200"/>
        <w:rPr>
          <w:rFonts w:ascii="宋体" w:hAnsi="宋体"/>
          <w:color w:val="auto"/>
          <w:highlight w:val="none"/>
        </w:rPr>
      </w:pPr>
      <w:r>
        <w:rPr>
          <w:rFonts w:hint="eastAsia" w:ascii="宋体" w:hAnsi="宋体"/>
          <w:color w:val="auto"/>
          <w:highlight w:val="none"/>
        </w:rPr>
        <w:t>A、单宗或批次材料价值在10万元（含10万元）以下的，承包人必须主动向发包人交纳违约金人民币1万元/次。</w:t>
      </w:r>
    </w:p>
    <w:p w14:paraId="51319517">
      <w:pPr>
        <w:spacing w:line="400" w:lineRule="exact"/>
        <w:ind w:firstLine="420" w:firstLineChars="200"/>
        <w:rPr>
          <w:rFonts w:ascii="宋体" w:hAnsi="宋体"/>
          <w:color w:val="auto"/>
          <w:highlight w:val="none"/>
        </w:rPr>
      </w:pPr>
      <w:r>
        <w:rPr>
          <w:rFonts w:hint="eastAsia" w:ascii="宋体" w:hAnsi="宋体"/>
          <w:color w:val="auto"/>
          <w:highlight w:val="none"/>
        </w:rPr>
        <w:t>B、单宗或批次材料价值10-50万元（含50万元）的，承包人必须主动向发包人交纳违约金人民币5万元/次。</w:t>
      </w:r>
    </w:p>
    <w:p w14:paraId="0596935C">
      <w:pPr>
        <w:spacing w:line="400" w:lineRule="exact"/>
        <w:ind w:firstLine="420" w:firstLineChars="200"/>
        <w:rPr>
          <w:rFonts w:ascii="宋体" w:hAnsi="宋体"/>
          <w:color w:val="auto"/>
          <w:highlight w:val="none"/>
        </w:rPr>
      </w:pPr>
      <w:r>
        <w:rPr>
          <w:rFonts w:hint="eastAsia" w:ascii="宋体" w:hAnsi="宋体"/>
          <w:color w:val="auto"/>
          <w:highlight w:val="none"/>
        </w:rPr>
        <w:t>C、单宗或批次材料价值在50万元（不含50万元）以上的，发包人有权部分解除合同或解除合同。</w:t>
      </w:r>
    </w:p>
    <w:p w14:paraId="70509C87">
      <w:pPr>
        <w:spacing w:line="400" w:lineRule="exact"/>
        <w:ind w:firstLine="420" w:firstLineChars="200"/>
        <w:rPr>
          <w:rFonts w:ascii="宋体" w:hAnsi="宋体"/>
          <w:color w:val="auto"/>
          <w:highlight w:val="none"/>
        </w:rPr>
      </w:pPr>
      <w:r>
        <w:rPr>
          <w:rFonts w:hint="eastAsia" w:ascii="宋体" w:hAnsi="宋体"/>
          <w:color w:val="auto"/>
          <w:highlight w:val="none"/>
        </w:rPr>
        <w:t xml:space="preserve">D、对于单宗或批次材料价值不高于5万元（含5万元）、累计抽检不合格达3次的，每发生一例，承包人必须主动向发包人交纳违约金人民币1万元/次。 </w:t>
      </w:r>
    </w:p>
    <w:p w14:paraId="28276EBF">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2 \* GB3 \* MERGEFORMAT </w:instrText>
      </w:r>
      <w:r>
        <w:rPr>
          <w:rFonts w:hint="eastAsia" w:ascii="宋体" w:hAnsi="宋体"/>
          <w:color w:val="auto"/>
          <w:highlight w:val="none"/>
        </w:rPr>
        <w:fldChar w:fldCharType="separate"/>
      </w:r>
      <w:r>
        <w:rPr>
          <w:rFonts w:hint="eastAsia" w:ascii="宋体" w:hAnsi="宋体"/>
          <w:color w:val="auto"/>
          <w:highlight w:val="none"/>
        </w:rPr>
        <w:t>②</w:t>
      </w:r>
      <w:r>
        <w:rPr>
          <w:rFonts w:hint="eastAsia" w:ascii="宋体" w:hAnsi="宋体"/>
          <w:color w:val="auto"/>
          <w:highlight w:val="none"/>
        </w:rPr>
        <w:fldChar w:fldCharType="end"/>
      </w:r>
      <w:r>
        <w:rPr>
          <w:rFonts w:hint="eastAsia" w:ascii="宋体" w:hAnsi="宋体"/>
          <w:color w:val="auto"/>
          <w:highlight w:val="none"/>
        </w:rPr>
        <w:t xml:space="preserve"> 承包人必须对各工序报验核查质量控制点。承包人申请报验后，经总监理工程师或发包人检查发现存在较大质量问题（如存在质量问题的部分超过检查部分工程的10%的），则该工序质量为不合格，承包人必须对不合格部分进行返工，返工后经检查合格才准进入下一工序，工期不予顺延。复检的结果，按每一分项工程计算，总计发现3次或连续发现2次质量控制点不合格的，承包人必须主动向发包人交纳违约金人民币1万元/次。</w:t>
      </w:r>
    </w:p>
    <w:p w14:paraId="2A28116F">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3 \* GB3 \* MERGEFORMAT </w:instrText>
      </w:r>
      <w:r>
        <w:rPr>
          <w:rFonts w:hint="eastAsia" w:ascii="宋体" w:hAnsi="宋体"/>
          <w:color w:val="auto"/>
          <w:highlight w:val="none"/>
        </w:rPr>
        <w:fldChar w:fldCharType="separate"/>
      </w:r>
      <w:r>
        <w:rPr>
          <w:rFonts w:hint="eastAsia" w:ascii="宋体" w:hAnsi="宋体"/>
          <w:color w:val="auto"/>
          <w:highlight w:val="none"/>
        </w:rPr>
        <w:t>③</w:t>
      </w:r>
      <w:r>
        <w:rPr>
          <w:rFonts w:hint="eastAsia" w:ascii="宋体" w:hAnsi="宋体"/>
          <w:color w:val="auto"/>
          <w:highlight w:val="none"/>
        </w:rPr>
        <w:fldChar w:fldCharType="end"/>
      </w:r>
      <w:r>
        <w:rPr>
          <w:rFonts w:hint="eastAsia" w:ascii="宋体" w:hAnsi="宋体"/>
          <w:color w:val="auto"/>
          <w:highlight w:val="none"/>
        </w:rPr>
        <w:t xml:space="preserve"> 工程完工验收达不到合同约定的质量标准的，承包人向发包人交纳审定结算总价1%的违约金，并赔偿发包人的实际损失。</w:t>
      </w:r>
    </w:p>
    <w:p w14:paraId="7E673648">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4 \* GB3 \* MERGEFORMAT </w:instrText>
      </w:r>
      <w:r>
        <w:rPr>
          <w:rFonts w:hint="eastAsia" w:ascii="宋体" w:hAnsi="宋体"/>
          <w:color w:val="auto"/>
          <w:highlight w:val="none"/>
        </w:rPr>
        <w:fldChar w:fldCharType="separate"/>
      </w:r>
      <w:r>
        <w:rPr>
          <w:rFonts w:hint="eastAsia" w:ascii="宋体" w:hAnsi="宋体"/>
          <w:color w:val="auto"/>
          <w:highlight w:val="none"/>
        </w:rPr>
        <w:t>④</w:t>
      </w:r>
      <w:r>
        <w:rPr>
          <w:rFonts w:hint="eastAsia" w:ascii="宋体" w:hAnsi="宋体"/>
          <w:color w:val="auto"/>
          <w:highlight w:val="none"/>
        </w:rPr>
        <w:fldChar w:fldCharType="end"/>
      </w:r>
      <w:r>
        <w:rPr>
          <w:rFonts w:hint="eastAsia" w:ascii="宋体" w:hAnsi="宋体"/>
          <w:color w:val="auto"/>
          <w:highlight w:val="none"/>
        </w:rPr>
        <w:t xml:space="preserve"> 工程保修期内发现重大质量不合格问题（该重大质量问题应界定为达不到要求的质量标准，属质量保修的问题除外），承包人必须在规定的期限返工达到合同约定的质量等级并赔偿由此造成发包人的损失，同时按该不合格项目所处分项工程造价的5%向发包人支付违约金。工程保修期从所处分项工程返工验收合格之日起重新计算。</w:t>
      </w:r>
    </w:p>
    <w:p w14:paraId="62A92D04">
      <w:pPr>
        <w:spacing w:line="400" w:lineRule="exact"/>
        <w:ind w:firstLine="420" w:firstLineChars="200"/>
        <w:rPr>
          <w:rFonts w:ascii="宋体" w:hAnsi="宋体"/>
          <w:color w:val="auto"/>
          <w:highlight w:val="none"/>
        </w:rPr>
      </w:pPr>
      <w:r>
        <w:rPr>
          <w:rFonts w:hint="eastAsia" w:ascii="宋体" w:hAnsi="宋体"/>
          <w:color w:val="auto"/>
          <w:highlight w:val="none"/>
        </w:rPr>
        <w:t>（5）工程建设人员（包括农民工）的管理方面的违约责任</w:t>
      </w:r>
    </w:p>
    <w:p w14:paraId="6AC05221">
      <w:pPr>
        <w:spacing w:line="400" w:lineRule="exact"/>
        <w:ind w:firstLine="420" w:firstLineChars="200"/>
        <w:rPr>
          <w:rFonts w:ascii="宋体" w:hAnsi="宋体"/>
          <w:color w:val="auto"/>
          <w:highlight w:val="none"/>
        </w:rPr>
      </w:pPr>
      <w:r>
        <w:rPr>
          <w:rFonts w:hint="eastAsia" w:ascii="宋体" w:hAnsi="宋体"/>
          <w:color w:val="auto"/>
          <w:highlight w:val="none"/>
        </w:rPr>
        <w:t>承包人违反规定不按时支付工人工资的，发包人有权在其工程款中直接支付，同时不影响发包人对承包人采取的其它处理措施。</w:t>
      </w:r>
    </w:p>
    <w:p w14:paraId="09C94BA5">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1 \* GB3 \* MERGEFORMAT </w:instrText>
      </w:r>
      <w:r>
        <w:rPr>
          <w:rFonts w:hint="eastAsia" w:ascii="宋体" w:hAnsi="宋体"/>
          <w:color w:val="auto"/>
          <w:highlight w:val="none"/>
        </w:rPr>
        <w:fldChar w:fldCharType="separate"/>
      </w:r>
      <w:r>
        <w:rPr>
          <w:rFonts w:hint="eastAsia" w:ascii="宋体" w:hAnsi="宋体"/>
          <w:color w:val="auto"/>
          <w:highlight w:val="none"/>
        </w:rPr>
        <w:t>①</w:t>
      </w:r>
      <w:r>
        <w:rPr>
          <w:rFonts w:hint="eastAsia" w:ascii="宋体" w:hAnsi="宋体"/>
          <w:color w:val="auto"/>
          <w:highlight w:val="none"/>
        </w:rPr>
        <w:fldChar w:fldCharType="end"/>
      </w:r>
      <w:r>
        <w:rPr>
          <w:rFonts w:hint="eastAsia" w:ascii="宋体" w:hAnsi="宋体"/>
          <w:color w:val="auto"/>
          <w:highlight w:val="none"/>
        </w:rPr>
        <w:t xml:space="preserve"> 承包人违反规定拖欠工人工资的，被工人投诉属实的，承包人必须在3天内予以发放拖欠的款项。若继续拖延被投诉2次及以上，经查实，承包人必须主动向发包人交纳违约金人民币1万元/次。</w:t>
      </w:r>
    </w:p>
    <w:p w14:paraId="52201D4A">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2 \* GB3 \* MERGEFORMAT </w:instrText>
      </w:r>
      <w:r>
        <w:rPr>
          <w:rFonts w:hint="eastAsia" w:ascii="宋体" w:hAnsi="宋体"/>
          <w:color w:val="auto"/>
          <w:highlight w:val="none"/>
        </w:rPr>
        <w:fldChar w:fldCharType="separate"/>
      </w:r>
      <w:r>
        <w:rPr>
          <w:rFonts w:hint="eastAsia" w:ascii="宋体" w:hAnsi="宋体"/>
          <w:color w:val="auto"/>
          <w:highlight w:val="none"/>
        </w:rPr>
        <w:t>②</w:t>
      </w:r>
      <w:r>
        <w:rPr>
          <w:rFonts w:hint="eastAsia" w:ascii="宋体" w:hAnsi="宋体"/>
          <w:color w:val="auto"/>
          <w:highlight w:val="none"/>
        </w:rPr>
        <w:fldChar w:fldCharType="end"/>
      </w:r>
      <w:r>
        <w:rPr>
          <w:rFonts w:hint="eastAsia" w:ascii="宋体" w:hAnsi="宋体"/>
          <w:color w:val="auto"/>
          <w:highlight w:val="none"/>
        </w:rPr>
        <w:t xml:space="preserve"> 若仍然不予整改并发放拖欠的款项，使工人采取停工、集聚围阻发包人办公地点甚至政府办公部门等过激行动的，承包人必须承担严重违约责任，并立即采取切实有效措施予以整改；拒不采取切实有效的措施整改的，或整改效果不明显的，发包人有权部分或全部解除合同，并要求承包人赔偿由此造成的损失。</w:t>
      </w:r>
    </w:p>
    <w:p w14:paraId="2A6A9461">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3 \* GB3 \* MERGEFORMAT </w:instrText>
      </w:r>
      <w:r>
        <w:rPr>
          <w:rFonts w:hint="eastAsia" w:ascii="宋体" w:hAnsi="宋体"/>
          <w:color w:val="auto"/>
          <w:highlight w:val="none"/>
        </w:rPr>
        <w:fldChar w:fldCharType="separate"/>
      </w:r>
      <w:r>
        <w:rPr>
          <w:rFonts w:hint="eastAsia" w:ascii="宋体" w:hAnsi="宋体"/>
          <w:color w:val="auto"/>
          <w:highlight w:val="none"/>
        </w:rPr>
        <w:t>③</w:t>
      </w:r>
      <w:r>
        <w:rPr>
          <w:rFonts w:hint="eastAsia" w:ascii="宋体" w:hAnsi="宋体"/>
          <w:color w:val="auto"/>
          <w:highlight w:val="none"/>
        </w:rPr>
        <w:fldChar w:fldCharType="end"/>
      </w:r>
      <w:r>
        <w:rPr>
          <w:rFonts w:hint="eastAsia" w:ascii="宋体" w:hAnsi="宋体"/>
          <w:color w:val="auto"/>
          <w:highlight w:val="none"/>
        </w:rPr>
        <w:t xml:space="preserve"> 由于承包人或其管理的分包单位、劳务合作单位拖欠工人工资致使发包人被投诉或起诉并被判令先行垫付工人工资的，承包人必须主动向发包人交纳违约金人民币5万元/次，还应向发包人支付先行垫付工人工资金额的两倍作为补偿。</w:t>
      </w:r>
    </w:p>
    <w:p w14:paraId="28B3B77F">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4 \* GB3 \* MERGEFORMAT </w:instrText>
      </w:r>
      <w:r>
        <w:rPr>
          <w:rFonts w:hint="eastAsia" w:ascii="宋体" w:hAnsi="宋体"/>
          <w:color w:val="auto"/>
          <w:highlight w:val="none"/>
        </w:rPr>
        <w:fldChar w:fldCharType="separate"/>
      </w:r>
      <w:r>
        <w:rPr>
          <w:rFonts w:hint="eastAsia" w:ascii="宋体" w:hAnsi="宋体"/>
          <w:color w:val="auto"/>
          <w:highlight w:val="none"/>
        </w:rPr>
        <w:t>④</w:t>
      </w:r>
      <w:r>
        <w:rPr>
          <w:rFonts w:hint="eastAsia" w:ascii="宋体" w:hAnsi="宋体"/>
          <w:color w:val="auto"/>
          <w:highlight w:val="none"/>
        </w:rPr>
        <w:fldChar w:fldCharType="end"/>
      </w:r>
      <w:r>
        <w:rPr>
          <w:rFonts w:hint="eastAsia" w:ascii="宋体" w:hAnsi="宋体"/>
          <w:color w:val="auto"/>
          <w:highlight w:val="none"/>
        </w:rPr>
        <w:t xml:space="preserve"> 因承包人违约导致发包人暂停支付工程款时，承包人不得以此为理由拖欠工人工资，在发包人和承包人就暂停支付工程款问题解决之前，承包人有义务先行支付其所属工人工资。 </w:t>
      </w:r>
    </w:p>
    <w:p w14:paraId="607C0C33">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5 \* GB3 \* MERGEFORMAT </w:instrText>
      </w:r>
      <w:r>
        <w:rPr>
          <w:rFonts w:hint="eastAsia" w:ascii="宋体" w:hAnsi="宋体"/>
          <w:color w:val="auto"/>
          <w:highlight w:val="none"/>
        </w:rPr>
        <w:fldChar w:fldCharType="separate"/>
      </w:r>
      <w:r>
        <w:rPr>
          <w:rFonts w:hint="eastAsia" w:ascii="宋体" w:hAnsi="宋体"/>
          <w:color w:val="auto"/>
          <w:highlight w:val="none"/>
        </w:rPr>
        <w:t>⑤</w:t>
      </w:r>
      <w:r>
        <w:rPr>
          <w:rFonts w:hint="eastAsia" w:ascii="宋体" w:hAnsi="宋体"/>
          <w:color w:val="auto"/>
          <w:highlight w:val="none"/>
        </w:rPr>
        <w:fldChar w:fldCharType="end"/>
      </w:r>
      <w:r>
        <w:rPr>
          <w:rFonts w:hint="eastAsia" w:ascii="宋体" w:hAnsi="宋体"/>
          <w:color w:val="auto"/>
          <w:highlight w:val="none"/>
        </w:rPr>
        <w:t xml:space="preserve"> 承包人不按合同及有关规定按时、足额支付分包单位合同价款及民工工资致使民工集体上访、集聚围阻而造成社会不良影响的，发包人将立即终止与承包人的合同，上报建设行政管理部门停止承包人两年内再参与广州市增城区各级财政投资的所有建设项目的招标活动，并上报省、市主管部门建议取消其参加广州地区省、市重大项目的投标资格，并由发包人予以公告。如属恶意煽动并造成社会不良影响的，发包人将提请司法部门追究其法律责任。</w:t>
      </w:r>
    </w:p>
    <w:p w14:paraId="12757A64">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6 \* GB3 \* MERGEFORMAT </w:instrText>
      </w:r>
      <w:r>
        <w:rPr>
          <w:rFonts w:hint="eastAsia" w:ascii="宋体" w:hAnsi="宋体"/>
          <w:color w:val="auto"/>
          <w:highlight w:val="none"/>
        </w:rPr>
        <w:fldChar w:fldCharType="separate"/>
      </w:r>
      <w:r>
        <w:rPr>
          <w:rFonts w:hint="eastAsia" w:ascii="宋体" w:hAnsi="宋体"/>
          <w:color w:val="auto"/>
          <w:highlight w:val="none"/>
        </w:rPr>
        <w:t>⑥</w:t>
      </w:r>
      <w:r>
        <w:rPr>
          <w:rFonts w:hint="eastAsia" w:ascii="宋体" w:hAnsi="宋体"/>
          <w:color w:val="auto"/>
          <w:highlight w:val="none"/>
        </w:rPr>
        <w:fldChar w:fldCharType="end"/>
      </w:r>
      <w:r>
        <w:rPr>
          <w:rFonts w:hint="eastAsia" w:ascii="宋体" w:hAnsi="宋体"/>
          <w:color w:val="auto"/>
          <w:highlight w:val="none"/>
        </w:rPr>
        <w:t xml:space="preserve"> 经发包人或监理单位抽查发现承包人违反约定，其技术管理人员或施工作业人员没有佩带平安卡的，由承包人按每人次500元的标准向发包人支付违约金并立即改正。</w:t>
      </w:r>
      <w:bookmarkStart w:id="970" w:name="_Toc367280794"/>
      <w:bookmarkStart w:id="971" w:name="_Toc29992"/>
      <w:bookmarkStart w:id="972" w:name="_Toc32514"/>
    </w:p>
    <w:p w14:paraId="540BB0F4">
      <w:pPr>
        <w:spacing w:before="260" w:after="260" w:line="400" w:lineRule="exact"/>
        <w:outlineLvl w:val="1"/>
        <w:rPr>
          <w:rFonts w:ascii="宋体" w:hAnsi="宋体" w:eastAsia="黑体"/>
          <w:color w:val="auto"/>
          <w:kern w:val="44"/>
          <w:sz w:val="31"/>
          <w:szCs w:val="31"/>
          <w:highlight w:val="none"/>
        </w:rPr>
      </w:pPr>
      <w:bookmarkStart w:id="973" w:name="_Toc483383046"/>
      <w:bookmarkStart w:id="974" w:name="_Toc115180040"/>
      <w:r>
        <w:rPr>
          <w:rFonts w:hint="eastAsia" w:ascii="宋体" w:hAnsi="宋体" w:eastAsia="黑体"/>
          <w:color w:val="auto"/>
          <w:kern w:val="44"/>
          <w:sz w:val="31"/>
          <w:szCs w:val="31"/>
          <w:highlight w:val="none"/>
        </w:rPr>
        <w:t>24　争议的解决</w:t>
      </w:r>
      <w:bookmarkEnd w:id="970"/>
      <w:bookmarkEnd w:id="973"/>
      <w:bookmarkEnd w:id="974"/>
    </w:p>
    <w:p w14:paraId="54C21118">
      <w:pPr>
        <w:keepNext/>
        <w:keepLines/>
        <w:spacing w:before="260" w:after="260" w:line="416" w:lineRule="auto"/>
        <w:outlineLvl w:val="2"/>
        <w:rPr>
          <w:rFonts w:ascii="宋体" w:hAnsi="宋体"/>
          <w:b/>
          <w:bCs/>
          <w:color w:val="auto"/>
          <w:kern w:val="0"/>
          <w:sz w:val="32"/>
          <w:szCs w:val="32"/>
          <w:highlight w:val="none"/>
        </w:rPr>
      </w:pPr>
      <w:bookmarkStart w:id="975" w:name="_Toc367280795"/>
      <w:bookmarkStart w:id="976" w:name="_Toc115180041"/>
      <w:r>
        <w:rPr>
          <w:rFonts w:hint="eastAsia" w:ascii="宋体" w:hAnsi="宋体"/>
          <w:b/>
          <w:bCs/>
          <w:color w:val="auto"/>
          <w:kern w:val="0"/>
          <w:sz w:val="32"/>
          <w:szCs w:val="32"/>
          <w:highlight w:val="none"/>
        </w:rPr>
        <w:t>24.1　争议的解决方式</w:t>
      </w:r>
      <w:bookmarkEnd w:id="975"/>
      <w:bookmarkEnd w:id="976"/>
    </w:p>
    <w:p w14:paraId="63D6E47A">
      <w:pPr>
        <w:spacing w:line="400" w:lineRule="exact"/>
        <w:ind w:right="248" w:firstLine="525" w:firstLineChars="250"/>
        <w:rPr>
          <w:rFonts w:ascii="宋体" w:hAnsi="宋体"/>
          <w:color w:val="auto"/>
          <w:highlight w:val="none"/>
        </w:rPr>
      </w:pPr>
      <w:r>
        <w:rPr>
          <w:rFonts w:hint="eastAsia" w:ascii="宋体" w:hAnsi="宋体"/>
          <w:color w:val="auto"/>
          <w:highlight w:val="none"/>
        </w:rPr>
        <w:t>合同当事人友好协商解决不成、不愿提请争议评审或不接受争议评审组意见的，约定的合同争议解决方式：</w:t>
      </w:r>
      <w:r>
        <w:rPr>
          <w:rFonts w:hint="eastAsia" w:ascii="宋体" w:hAnsi="宋体"/>
          <w:color w:val="auto"/>
          <w:highlight w:val="none"/>
          <w:u w:val="single"/>
        </w:rPr>
        <w:t>向广州市增城区人民法院提起诉讼</w:t>
      </w:r>
      <w:r>
        <w:rPr>
          <w:rFonts w:hint="eastAsia" w:ascii="宋体" w:hAnsi="宋体"/>
          <w:color w:val="auto"/>
          <w:highlight w:val="none"/>
        </w:rPr>
        <w:t>。</w:t>
      </w:r>
    </w:p>
    <w:p w14:paraId="7D4398CC">
      <w:pPr>
        <w:keepNext/>
        <w:keepLines/>
        <w:spacing w:before="260" w:after="260" w:line="416" w:lineRule="auto"/>
        <w:outlineLvl w:val="2"/>
        <w:rPr>
          <w:rFonts w:ascii="宋体" w:hAnsi="宋体"/>
          <w:b/>
          <w:bCs/>
          <w:color w:val="auto"/>
          <w:kern w:val="0"/>
          <w:sz w:val="28"/>
          <w:szCs w:val="28"/>
          <w:highlight w:val="none"/>
        </w:rPr>
      </w:pPr>
      <w:bookmarkStart w:id="977" w:name="_Toc115180042"/>
      <w:r>
        <w:rPr>
          <w:rFonts w:hint="eastAsia" w:ascii="宋体" w:hAnsi="宋体"/>
          <w:b/>
          <w:bCs/>
          <w:color w:val="auto"/>
          <w:kern w:val="0"/>
          <w:sz w:val="28"/>
          <w:szCs w:val="28"/>
          <w:highlight w:val="none"/>
        </w:rPr>
        <w:t>25  补充条款</w:t>
      </w:r>
      <w:bookmarkEnd w:id="971"/>
      <w:bookmarkEnd w:id="972"/>
      <w:bookmarkEnd w:id="977"/>
    </w:p>
    <w:p w14:paraId="0E72CDCB">
      <w:pPr>
        <w:spacing w:line="400" w:lineRule="exact"/>
        <w:ind w:firstLine="420" w:firstLineChars="200"/>
        <w:rPr>
          <w:rFonts w:ascii="宋体" w:hAnsi="宋体"/>
          <w:color w:val="auto"/>
          <w:highlight w:val="none"/>
        </w:rPr>
      </w:pPr>
      <w:r>
        <w:rPr>
          <w:rFonts w:hint="eastAsia" w:ascii="宋体" w:hAnsi="宋体"/>
          <w:color w:val="auto"/>
          <w:highlight w:val="none"/>
        </w:rPr>
        <w:t>25．1  若因当地政府未能及时解决工程征地、青苗清理、建筑物拆迁等而导致工程延期，则可根据实际顺延工期，由于上述原因造成部分工程延期开工的，该部分工程所需的工料机价格将按照基础价格（政府公布的计划开工日期之上一期的价格）与现行价格（政府公布的实际开工日期之上一期的价格）之间的价差进行补偿。</w:t>
      </w:r>
    </w:p>
    <w:p w14:paraId="4C9B0CB0">
      <w:pPr>
        <w:spacing w:line="400" w:lineRule="exact"/>
        <w:ind w:firstLine="420" w:firstLineChars="200"/>
        <w:rPr>
          <w:rFonts w:ascii="宋体" w:hAnsi="宋体"/>
          <w:color w:val="auto"/>
          <w:highlight w:val="none"/>
        </w:rPr>
      </w:pPr>
      <w:r>
        <w:rPr>
          <w:rFonts w:hint="eastAsia" w:ascii="宋体" w:hAnsi="宋体"/>
          <w:color w:val="auto"/>
          <w:highlight w:val="none"/>
        </w:rPr>
        <w:t>25．2  若某个项目在施工过程中发生设计变更，或在招标工程量清单中缺项，则以该项目的实际工程量作为结算工程量；若工程在施工过程中因工程实际需要，发生增加或取消某部分工程项目时，则按实际发生工程量作为结算工程量；最终结算的工程量均以财政投资评审中心的评审结果为准。</w:t>
      </w:r>
    </w:p>
    <w:p w14:paraId="71BA039D">
      <w:pPr>
        <w:spacing w:line="400" w:lineRule="exact"/>
        <w:ind w:firstLine="420" w:firstLineChars="200"/>
        <w:rPr>
          <w:rFonts w:ascii="宋体" w:hAnsi="宋体"/>
          <w:color w:val="auto"/>
          <w:highlight w:val="none"/>
        </w:rPr>
      </w:pPr>
      <w:r>
        <w:rPr>
          <w:rFonts w:hint="eastAsia" w:ascii="宋体" w:hAnsi="宋体"/>
          <w:color w:val="auto"/>
          <w:highlight w:val="none"/>
        </w:rPr>
        <w:t>25．3  施工单位在收到建设单位发出的财政评审结算核对通知后，7天内派员会同建设、监理单位一起对经财政评审的结算结果进行核对，若施工单位不按期派员参加，建设、监理单位将派代表对经财政评审的结算结果进行核对，施工单位不得对核对结果有异议。建设、监理、施工单位应在收到财政评审结算结果后14天内以书面形式提出核对意见，否则视为同意财政评审结算意见。当核对意见与财政评审结果有异议时，各方将按照本工程合同的有关条款及实事求是的原则进行协商解决，协商时间一般为28天，如施工单位不能提供充分依据的，或在本款约定的期限内协商未果的，原则上采用财政部门评审结果作为最终结算价，或根据合同约定采用仲裁或诉讼的方式进行解决。</w:t>
      </w:r>
    </w:p>
    <w:p w14:paraId="1EB42840">
      <w:pPr>
        <w:spacing w:line="400" w:lineRule="exact"/>
        <w:ind w:firstLine="420" w:firstLineChars="200"/>
        <w:rPr>
          <w:rFonts w:ascii="宋体" w:hAnsi="宋体"/>
          <w:color w:val="auto"/>
          <w:highlight w:val="none"/>
        </w:rPr>
      </w:pPr>
      <w:r>
        <w:rPr>
          <w:rFonts w:hint="eastAsia" w:ascii="宋体" w:hAnsi="宋体"/>
          <w:color w:val="auto"/>
          <w:highlight w:val="none"/>
        </w:rPr>
        <w:t>25．4 工程完工后，施工单位应当按照有关工程档案管理规定及时对工程档案进行整理归档，工程具备验收条件后，施工单位应及时向建设单位提交合同工程完工验收或单位工程验收申请报告。施工单位在工程完工后28天内不提交验收申请报告（含工程结算书）的，则从逾期第一天起每天向建设单位支付本工程合同价款1‰的违约金，累计总额不超过合同价的5%，发包人上报建设行政管理部门停止施工单位两年内再参与广州市增城区各级财政投资的所有建设项目的招标活动。合同工程完工验收或单位工程验收后，除验收时有遗留问题外施工单位应在7天内向建设单位移交工程档案，每逾期一天施工单位向建设单位支付本工程合同价款1‰的违约金，累计总额不超过合同价的5%。建设单位组织竣工验收时，施工单位应当在收到工程竣工验收通知后及时准备相关材料，并派员准时参加竣工验收会议，否则将被视为违背诚信原则，发包人上报建设行政管理部门并停止施工单位两年内再参与广州市增城区各级财政投资的所有建设项目的招标活动。</w:t>
      </w:r>
    </w:p>
    <w:p w14:paraId="0E732D32">
      <w:pPr>
        <w:spacing w:line="400" w:lineRule="exact"/>
        <w:ind w:firstLine="420" w:firstLineChars="200"/>
        <w:rPr>
          <w:rFonts w:ascii="宋体" w:hAnsi="宋体"/>
          <w:color w:val="auto"/>
          <w:highlight w:val="none"/>
        </w:rPr>
      </w:pPr>
    </w:p>
    <w:p w14:paraId="3406A6B8">
      <w:pPr>
        <w:spacing w:line="400" w:lineRule="exact"/>
        <w:ind w:firstLine="420" w:firstLineChars="200"/>
        <w:rPr>
          <w:rFonts w:ascii="宋体" w:hAnsi="宋体"/>
          <w:color w:val="auto"/>
          <w:highlight w:val="none"/>
        </w:rPr>
      </w:pPr>
    </w:p>
    <w:p w14:paraId="2CD31791">
      <w:pPr>
        <w:spacing w:line="400" w:lineRule="exact"/>
        <w:ind w:firstLine="420" w:firstLineChars="200"/>
        <w:rPr>
          <w:rFonts w:ascii="宋体" w:hAnsi="宋体"/>
          <w:color w:val="auto"/>
          <w:highlight w:val="none"/>
        </w:rPr>
      </w:pPr>
    </w:p>
    <w:p w14:paraId="7E9E79AD">
      <w:pPr>
        <w:widowControl/>
        <w:jc w:val="left"/>
        <w:rPr>
          <w:rFonts w:ascii="宋体" w:hAnsi="宋体" w:cs="宋体"/>
          <w:color w:val="auto"/>
          <w:sz w:val="27"/>
          <w:szCs w:val="27"/>
          <w:highlight w:val="none"/>
        </w:rPr>
      </w:pPr>
      <w:bookmarkStart w:id="978" w:name="_Toc16165"/>
      <w:bookmarkStart w:id="979" w:name="_Toc115180043"/>
      <w:bookmarkStart w:id="980" w:name="_Toc483383047"/>
      <w:r>
        <w:rPr>
          <w:rFonts w:ascii="宋体" w:hAnsi="宋体" w:cs="宋体"/>
          <w:color w:val="auto"/>
          <w:sz w:val="27"/>
          <w:szCs w:val="27"/>
          <w:highlight w:val="none"/>
        </w:rPr>
        <w:br w:type="page"/>
      </w:r>
    </w:p>
    <w:p w14:paraId="4C41E0DC">
      <w:pPr>
        <w:spacing w:before="260" w:after="260" w:line="400" w:lineRule="exact"/>
        <w:jc w:val="center"/>
        <w:outlineLvl w:val="1"/>
        <w:rPr>
          <w:rFonts w:ascii="宋体" w:hAnsi="宋体" w:eastAsia="黑体" w:cs="宋体"/>
          <w:b/>
          <w:bCs/>
          <w:color w:val="auto"/>
          <w:kern w:val="44"/>
          <w:sz w:val="27"/>
          <w:szCs w:val="27"/>
          <w:highlight w:val="none"/>
        </w:rPr>
      </w:pPr>
      <w:r>
        <w:rPr>
          <w:rFonts w:hint="eastAsia" w:ascii="宋体" w:hAnsi="宋体" w:eastAsia="黑体" w:cs="宋体"/>
          <w:b/>
          <w:bCs/>
          <w:color w:val="auto"/>
          <w:kern w:val="44"/>
          <w:sz w:val="27"/>
          <w:szCs w:val="27"/>
          <w:highlight w:val="none"/>
        </w:rPr>
        <w:t>第三节  合同附件格式</w:t>
      </w:r>
      <w:bookmarkEnd w:id="978"/>
      <w:bookmarkEnd w:id="979"/>
      <w:bookmarkEnd w:id="980"/>
    </w:p>
    <w:p w14:paraId="7E971224">
      <w:pPr>
        <w:keepNext/>
        <w:keepLines/>
        <w:spacing w:line="400" w:lineRule="exact"/>
        <w:jc w:val="left"/>
        <w:outlineLvl w:val="2"/>
        <w:rPr>
          <w:rFonts w:ascii="宋体" w:hAnsi="宋体" w:cs="宋体"/>
          <w:color w:val="auto"/>
          <w:kern w:val="0"/>
          <w:sz w:val="24"/>
          <w:szCs w:val="20"/>
          <w:highlight w:val="none"/>
        </w:rPr>
      </w:pPr>
      <w:bookmarkStart w:id="981" w:name="_Toc115180044"/>
      <w:r>
        <w:rPr>
          <w:rFonts w:hint="eastAsia" w:ascii="宋体" w:hAnsi="宋体" w:cs="宋体"/>
          <w:color w:val="auto"/>
          <w:kern w:val="0"/>
          <w:sz w:val="24"/>
          <w:szCs w:val="20"/>
          <w:highlight w:val="none"/>
        </w:rPr>
        <w:t>附件一：合同协议书（格式）</w:t>
      </w:r>
      <w:bookmarkEnd w:id="981"/>
    </w:p>
    <w:p w14:paraId="18BDB8EF">
      <w:pPr>
        <w:spacing w:line="400" w:lineRule="exact"/>
        <w:rPr>
          <w:rFonts w:ascii="宋体" w:hAnsi="宋体"/>
          <w:color w:val="auto"/>
          <w:sz w:val="20"/>
          <w:szCs w:val="20"/>
          <w:highlight w:val="none"/>
        </w:rPr>
      </w:pPr>
    </w:p>
    <w:p w14:paraId="6156E8EB">
      <w:pPr>
        <w:spacing w:line="400" w:lineRule="exact"/>
        <w:jc w:val="center"/>
        <w:rPr>
          <w:rFonts w:ascii="宋体" w:hAnsi="宋体"/>
          <w:color w:val="auto"/>
          <w:sz w:val="27"/>
          <w:szCs w:val="27"/>
          <w:highlight w:val="none"/>
        </w:rPr>
      </w:pPr>
      <w:r>
        <w:rPr>
          <w:rFonts w:hint="eastAsia" w:ascii="宋体" w:hAnsi="宋体"/>
          <w:color w:val="auto"/>
          <w:sz w:val="27"/>
          <w:szCs w:val="27"/>
          <w:highlight w:val="none"/>
        </w:rPr>
        <w:t>合同协议书（格式）</w:t>
      </w:r>
    </w:p>
    <w:p w14:paraId="446E4465">
      <w:pPr>
        <w:snapToGrid w:val="0"/>
        <w:spacing w:line="500" w:lineRule="exact"/>
        <w:ind w:firstLine="420" w:firstLineChars="200"/>
        <w:rPr>
          <w:rFonts w:ascii="宋体" w:hAnsi="宋体"/>
          <w:b/>
          <w:color w:val="auto"/>
          <w:highlight w:val="none"/>
        </w:rPr>
      </w:pPr>
      <w:r>
        <w:rPr>
          <w:rFonts w:hint="eastAsia" w:ascii="宋体" w:hAnsi="宋体"/>
          <w:color w:val="auto"/>
          <w:highlight w:val="none"/>
          <w:u w:val="single"/>
        </w:rPr>
        <w:t xml:space="preserve">  （发包人全称）  </w:t>
      </w:r>
      <w:r>
        <w:rPr>
          <w:rFonts w:hint="eastAsia" w:ascii="宋体" w:hAnsi="宋体"/>
          <w:color w:val="auto"/>
          <w:highlight w:val="none"/>
        </w:rPr>
        <w:t>（以下简称“发包人”）与</w:t>
      </w:r>
      <w:r>
        <w:rPr>
          <w:rFonts w:hint="eastAsia" w:ascii="宋体" w:hAnsi="宋体"/>
          <w:color w:val="auto"/>
          <w:highlight w:val="none"/>
          <w:u w:val="single"/>
        </w:rPr>
        <w:t xml:space="preserve">   （投标人全称）     </w:t>
      </w:r>
      <w:r>
        <w:rPr>
          <w:rFonts w:hint="eastAsia" w:ascii="宋体" w:hAnsi="宋体"/>
          <w:color w:val="auto"/>
          <w:highlight w:val="none"/>
        </w:rPr>
        <w:t>（以下简称“承包人”）依照《中华人民共和国民法典》、《中华人民共和国建筑法》及其它有关法律、行政法规、部门规章、地方性法规和规章，以及</w:t>
      </w:r>
      <w:r>
        <w:rPr>
          <w:rFonts w:hint="eastAsia" w:ascii="宋体" w:hAnsi="宋体"/>
          <w:color w:val="auto"/>
          <w:highlight w:val="none"/>
          <w:u w:val="single"/>
        </w:rPr>
        <w:t>（工程名称）</w:t>
      </w:r>
      <w:r>
        <w:rPr>
          <w:rFonts w:hint="eastAsia" w:ascii="宋体" w:hAnsi="宋体"/>
          <w:color w:val="auto"/>
          <w:highlight w:val="none"/>
        </w:rPr>
        <w:t>建设的有关文件，遵循平等、自愿、公平和诚实信用的原则，双方就本建设工程施工事项协商一致，订立本合同。</w:t>
      </w:r>
    </w:p>
    <w:p w14:paraId="5535E659">
      <w:pPr>
        <w:snapToGrid w:val="0"/>
        <w:spacing w:line="500" w:lineRule="exact"/>
        <w:ind w:firstLine="422" w:firstLineChars="200"/>
        <w:rPr>
          <w:rFonts w:ascii="宋体" w:hAnsi="宋体"/>
          <w:b/>
          <w:color w:val="auto"/>
          <w:highlight w:val="none"/>
        </w:rPr>
      </w:pPr>
      <w:r>
        <w:rPr>
          <w:rFonts w:hint="eastAsia" w:ascii="宋体" w:hAnsi="宋体"/>
          <w:b/>
          <w:color w:val="auto"/>
          <w:highlight w:val="none"/>
        </w:rPr>
        <w:t>一、工程概况</w:t>
      </w:r>
    </w:p>
    <w:p w14:paraId="3B71C2E4">
      <w:pPr>
        <w:spacing w:line="400" w:lineRule="exact"/>
        <w:ind w:firstLine="420" w:firstLineChars="200"/>
        <w:rPr>
          <w:rFonts w:ascii="宋体" w:hAnsi="宋体"/>
          <w:color w:val="auto"/>
          <w:highlight w:val="none"/>
        </w:rPr>
      </w:pPr>
      <w:r>
        <w:rPr>
          <w:rFonts w:hint="eastAsia" w:ascii="宋体" w:hAnsi="宋体"/>
          <w:color w:val="auto"/>
          <w:highlight w:val="none"/>
        </w:rPr>
        <w:t xml:space="preserve">工程名称： </w:t>
      </w:r>
    </w:p>
    <w:p w14:paraId="6C964FB3">
      <w:pPr>
        <w:spacing w:line="400" w:lineRule="exact"/>
        <w:ind w:firstLine="420" w:firstLineChars="200"/>
        <w:rPr>
          <w:rFonts w:ascii="宋体" w:hAnsi="宋体"/>
          <w:color w:val="auto"/>
          <w:highlight w:val="none"/>
        </w:rPr>
      </w:pPr>
      <w:r>
        <w:rPr>
          <w:rFonts w:hint="eastAsia" w:ascii="宋体" w:hAnsi="宋体"/>
          <w:color w:val="auto"/>
          <w:highlight w:val="none"/>
        </w:rPr>
        <w:t xml:space="preserve">工程地点： </w:t>
      </w:r>
    </w:p>
    <w:p w14:paraId="748F8F9F">
      <w:pPr>
        <w:spacing w:line="400" w:lineRule="exact"/>
        <w:ind w:firstLine="420" w:firstLineChars="200"/>
        <w:rPr>
          <w:rFonts w:ascii="宋体" w:hAnsi="宋体"/>
          <w:color w:val="auto"/>
          <w:highlight w:val="none"/>
        </w:rPr>
      </w:pPr>
      <w:r>
        <w:rPr>
          <w:rFonts w:hint="eastAsia" w:ascii="宋体" w:hAnsi="宋体"/>
          <w:color w:val="auto"/>
          <w:highlight w:val="none"/>
        </w:rPr>
        <w:t>资金来源：</w:t>
      </w:r>
    </w:p>
    <w:p w14:paraId="71F8E39B">
      <w:pPr>
        <w:spacing w:line="400" w:lineRule="exact"/>
        <w:ind w:firstLine="420" w:firstLineChars="200"/>
        <w:rPr>
          <w:rFonts w:ascii="宋体" w:hAnsi="宋体"/>
          <w:color w:val="auto"/>
          <w:highlight w:val="none"/>
        </w:rPr>
      </w:pPr>
      <w:r>
        <w:rPr>
          <w:rFonts w:hint="eastAsia" w:ascii="宋体" w:hAnsi="宋体"/>
          <w:color w:val="auto"/>
          <w:highlight w:val="none"/>
        </w:rPr>
        <w:t>工程内容：</w:t>
      </w:r>
    </w:p>
    <w:p w14:paraId="2588A95E">
      <w:pPr>
        <w:spacing w:line="400" w:lineRule="exact"/>
        <w:ind w:firstLine="420" w:firstLineChars="200"/>
        <w:rPr>
          <w:rFonts w:ascii="宋体" w:hAnsi="宋体"/>
          <w:color w:val="auto"/>
          <w:highlight w:val="none"/>
        </w:rPr>
      </w:pPr>
      <w:r>
        <w:rPr>
          <w:rFonts w:hint="eastAsia" w:ascii="宋体" w:hAnsi="宋体"/>
          <w:color w:val="auto"/>
          <w:highlight w:val="none"/>
        </w:rPr>
        <w:t>对于招标的工作范围，发包人根据需要有权进行调整。造成工程规模及建设内容增减，承包人无条件服从，承包人不得因此提出任何索赔或补偿。</w:t>
      </w:r>
    </w:p>
    <w:p w14:paraId="2AA162E7">
      <w:pPr>
        <w:snapToGrid w:val="0"/>
        <w:spacing w:line="500" w:lineRule="exact"/>
        <w:ind w:firstLine="422" w:firstLineChars="200"/>
        <w:rPr>
          <w:rFonts w:ascii="宋体" w:hAnsi="宋体"/>
          <w:b/>
          <w:color w:val="auto"/>
          <w:highlight w:val="none"/>
        </w:rPr>
      </w:pPr>
      <w:r>
        <w:rPr>
          <w:rFonts w:hint="eastAsia" w:ascii="宋体" w:hAnsi="宋体"/>
          <w:b/>
          <w:color w:val="auto"/>
          <w:highlight w:val="none"/>
        </w:rPr>
        <w:t>二、工程承包范围及承包方式</w:t>
      </w:r>
    </w:p>
    <w:p w14:paraId="3650A080">
      <w:pPr>
        <w:spacing w:line="400" w:lineRule="exact"/>
        <w:ind w:firstLine="420" w:firstLineChars="200"/>
        <w:rPr>
          <w:rFonts w:ascii="宋体" w:hAnsi="宋体"/>
          <w:color w:val="auto"/>
          <w:highlight w:val="none"/>
        </w:rPr>
      </w:pPr>
      <w:r>
        <w:rPr>
          <w:rFonts w:hint="eastAsia" w:ascii="宋体" w:hAnsi="宋体"/>
          <w:color w:val="auto"/>
          <w:highlight w:val="none"/>
        </w:rPr>
        <w:t>1.承包范围：按发包人确认的施工图纸、图纸会审纪录和有关变更文件、资料 、招标文件、承包人投标文件以及双方签订的有关协议所包含的内容。</w:t>
      </w:r>
    </w:p>
    <w:p w14:paraId="15185476">
      <w:pPr>
        <w:spacing w:line="400" w:lineRule="exact"/>
        <w:ind w:firstLine="420" w:firstLineChars="200"/>
        <w:rPr>
          <w:rFonts w:ascii="宋体" w:hAnsi="宋体"/>
          <w:color w:val="auto"/>
          <w:highlight w:val="none"/>
        </w:rPr>
      </w:pPr>
      <w:r>
        <w:rPr>
          <w:rFonts w:hint="eastAsia" w:ascii="宋体" w:hAnsi="宋体"/>
          <w:color w:val="auto"/>
          <w:highlight w:val="none"/>
        </w:rPr>
        <w:t>2.发包人根据工程实施情况，会对承包人的承包工作范围进行调整，承包人不得因此提出任何索赔或补偿。</w:t>
      </w:r>
    </w:p>
    <w:p w14:paraId="7ABAE54B">
      <w:pPr>
        <w:snapToGrid w:val="0"/>
        <w:spacing w:line="500" w:lineRule="exact"/>
        <w:ind w:firstLine="422" w:firstLineChars="200"/>
        <w:rPr>
          <w:rFonts w:ascii="宋体" w:hAnsi="宋体"/>
          <w:b/>
          <w:color w:val="auto"/>
          <w:highlight w:val="none"/>
        </w:rPr>
      </w:pPr>
      <w:r>
        <w:rPr>
          <w:rFonts w:hint="eastAsia" w:ascii="宋体" w:hAnsi="宋体"/>
          <w:b/>
          <w:color w:val="auto"/>
          <w:highlight w:val="none"/>
        </w:rPr>
        <w:t>三、合同工期</w:t>
      </w:r>
    </w:p>
    <w:p w14:paraId="538BF8F3">
      <w:pPr>
        <w:spacing w:line="500" w:lineRule="exact"/>
        <w:ind w:left="210" w:leftChars="100" w:right="11" w:firstLine="193" w:firstLineChars="92"/>
        <w:rPr>
          <w:rFonts w:ascii="宋体" w:hAnsi="宋体"/>
          <w:color w:val="auto"/>
          <w:highlight w:val="none"/>
        </w:rPr>
      </w:pPr>
      <w:r>
        <w:rPr>
          <w:rFonts w:hint="eastAsia" w:ascii="宋体" w:hAnsi="宋体"/>
          <w:color w:val="auto"/>
          <w:highlight w:val="none"/>
        </w:rPr>
        <w:t>总工期</w:t>
      </w:r>
      <w:r>
        <w:rPr>
          <w:rFonts w:hint="eastAsia" w:ascii="宋体" w:hAnsi="宋体"/>
          <w:b/>
          <w:color w:val="auto"/>
          <w:highlight w:val="none"/>
          <w:u w:val="single"/>
        </w:rPr>
        <w:t xml:space="preserve">      </w:t>
      </w:r>
      <w:r>
        <w:rPr>
          <w:rFonts w:hint="eastAsia" w:ascii="宋体" w:hAnsi="宋体"/>
          <w:b/>
          <w:color w:val="auto"/>
          <w:highlight w:val="none"/>
        </w:rPr>
        <w:t>日</w:t>
      </w:r>
      <w:r>
        <w:rPr>
          <w:rFonts w:hint="eastAsia" w:ascii="宋体" w:hAnsi="宋体"/>
          <w:color w:val="auto"/>
          <w:highlight w:val="none"/>
        </w:rPr>
        <w:t>历天，开工时间定为</w:t>
      </w:r>
      <w:r>
        <w:rPr>
          <w:rFonts w:hint="eastAsia" w:ascii="宋体" w:hAnsi="宋体"/>
          <w:b/>
          <w:color w:val="auto"/>
          <w:highlight w:val="none"/>
          <w:u w:val="single"/>
        </w:rPr>
        <w:t xml:space="preserve">      年   月 日</w:t>
      </w:r>
      <w:r>
        <w:rPr>
          <w:rFonts w:hint="eastAsia" w:ascii="宋体" w:hAnsi="宋体"/>
          <w:color w:val="auto"/>
          <w:highlight w:val="none"/>
        </w:rPr>
        <w:t>；完工时间定为</w:t>
      </w:r>
      <w:r>
        <w:rPr>
          <w:rFonts w:hint="eastAsia" w:ascii="宋体" w:hAnsi="宋体"/>
          <w:b/>
          <w:color w:val="auto"/>
          <w:highlight w:val="none"/>
          <w:u w:val="single"/>
        </w:rPr>
        <w:t xml:space="preserve">    年  月 日</w:t>
      </w:r>
      <w:r>
        <w:rPr>
          <w:rFonts w:ascii="宋体" w:hAnsi="宋体"/>
          <w:color w:val="auto"/>
          <w:highlight w:val="none"/>
        </w:rPr>
        <w:t>。</w:t>
      </w:r>
    </w:p>
    <w:p w14:paraId="3AEB0AD0">
      <w:pPr>
        <w:spacing w:line="500" w:lineRule="exact"/>
        <w:ind w:right="11" w:firstLine="403" w:firstLineChars="192"/>
        <w:rPr>
          <w:rFonts w:ascii="宋体" w:hAnsi="宋体"/>
          <w:color w:val="auto"/>
          <w:highlight w:val="none"/>
        </w:rPr>
      </w:pPr>
      <w:r>
        <w:rPr>
          <w:rFonts w:hint="eastAsia" w:ascii="宋体" w:hAnsi="宋体"/>
          <w:color w:val="auto"/>
          <w:highlight w:val="none"/>
        </w:rPr>
        <w:t>关键节点工期要求：</w:t>
      </w:r>
      <w:r>
        <w:rPr>
          <w:rFonts w:hint="eastAsia" w:ascii="宋体" w:hAnsi="宋体"/>
          <w:b/>
          <w:color w:val="auto"/>
          <w:highlight w:val="none"/>
          <w:u w:val="single"/>
        </w:rPr>
        <w:t xml:space="preserve">                                                      </w:t>
      </w:r>
      <w:r>
        <w:rPr>
          <w:rFonts w:hint="eastAsia" w:ascii="宋体" w:hAnsi="宋体"/>
          <w:b/>
          <w:color w:val="auto"/>
          <w:highlight w:val="none"/>
        </w:rPr>
        <w:t>。</w:t>
      </w:r>
    </w:p>
    <w:p w14:paraId="02F06C5A">
      <w:pPr>
        <w:spacing w:line="400" w:lineRule="exact"/>
        <w:ind w:firstLine="420" w:firstLineChars="200"/>
        <w:rPr>
          <w:rFonts w:ascii="宋体" w:hAnsi="宋体"/>
          <w:color w:val="auto"/>
          <w:highlight w:val="none"/>
        </w:rPr>
      </w:pPr>
      <w:r>
        <w:rPr>
          <w:rFonts w:hint="eastAsia" w:ascii="宋体" w:hAnsi="宋体"/>
          <w:color w:val="auto"/>
          <w:highlight w:val="none"/>
        </w:rPr>
        <w:t>发包人根据工程实施情况，有权对合同工程工期（包括节点工期和完工日期）进行适当调整。承包人必须采取一切有效措施保证完工日期，不得延误。如不能按批准的计划完成任务，发包人有权将未完工程量从本合同中分割，交由第三方完成，由此发生的费用在合同价中支付，承包人必须无条件服从，并赔偿由此造成的发包人损失。</w:t>
      </w:r>
    </w:p>
    <w:p w14:paraId="6613646B">
      <w:pPr>
        <w:snapToGrid w:val="0"/>
        <w:spacing w:line="500" w:lineRule="exact"/>
        <w:ind w:firstLine="422" w:firstLineChars="200"/>
        <w:rPr>
          <w:rFonts w:ascii="宋体" w:hAnsi="宋体"/>
          <w:b/>
          <w:color w:val="auto"/>
          <w:highlight w:val="none"/>
        </w:rPr>
      </w:pPr>
      <w:r>
        <w:rPr>
          <w:rFonts w:hint="eastAsia" w:ascii="宋体" w:hAnsi="宋体"/>
          <w:b/>
          <w:color w:val="auto"/>
          <w:highlight w:val="none"/>
        </w:rPr>
        <w:t>四、质量标准和安全生产文明施工目标</w:t>
      </w:r>
    </w:p>
    <w:p w14:paraId="07354308">
      <w:pPr>
        <w:spacing w:line="500" w:lineRule="exact"/>
        <w:ind w:right="11" w:firstLine="403" w:firstLineChars="192"/>
        <w:rPr>
          <w:rFonts w:ascii="宋体" w:hAnsi="宋体"/>
          <w:b/>
          <w:color w:val="auto"/>
          <w:highlight w:val="none"/>
        </w:rPr>
      </w:pPr>
      <w:r>
        <w:rPr>
          <w:rFonts w:hint="eastAsia" w:ascii="宋体" w:hAnsi="宋体"/>
          <w:color w:val="auto"/>
          <w:highlight w:val="none"/>
        </w:rPr>
        <w:t>工程质量标准：一次性验收 合格</w:t>
      </w:r>
      <w:r>
        <w:rPr>
          <w:rFonts w:hint="eastAsia" w:ascii="宋体" w:hAnsi="宋体"/>
          <w:b/>
          <w:color w:val="auto"/>
          <w:highlight w:val="none"/>
        </w:rPr>
        <w:t>。</w:t>
      </w:r>
      <w:r>
        <w:rPr>
          <w:rFonts w:hint="eastAsia" w:ascii="宋体" w:hAnsi="宋体"/>
          <w:color w:val="auto"/>
          <w:highlight w:val="none"/>
        </w:rPr>
        <w:t>安全生产文明施工目标：</w:t>
      </w:r>
      <w:r>
        <w:rPr>
          <w:rFonts w:hint="eastAsia" w:ascii="宋体" w:hAnsi="宋体"/>
          <w:bCs/>
          <w:color w:val="auto"/>
          <w:highlight w:val="none"/>
        </w:rPr>
        <w:t>确保工程无安全事故</w:t>
      </w:r>
    </w:p>
    <w:p w14:paraId="49A98F1D">
      <w:pPr>
        <w:snapToGrid w:val="0"/>
        <w:spacing w:line="500" w:lineRule="exact"/>
        <w:ind w:firstLine="422" w:firstLineChars="200"/>
        <w:rPr>
          <w:rFonts w:ascii="宋体" w:hAnsi="宋体"/>
          <w:b/>
          <w:color w:val="auto"/>
          <w:highlight w:val="none"/>
        </w:rPr>
      </w:pPr>
      <w:r>
        <w:rPr>
          <w:rFonts w:hint="eastAsia" w:ascii="宋体" w:hAnsi="宋体"/>
          <w:b/>
          <w:color w:val="auto"/>
          <w:highlight w:val="none"/>
        </w:rPr>
        <w:t>五、合同价款</w:t>
      </w:r>
    </w:p>
    <w:p w14:paraId="11F3A36E">
      <w:pPr>
        <w:snapToGrid w:val="0"/>
        <w:spacing w:line="500" w:lineRule="exact"/>
        <w:ind w:firstLine="420" w:firstLineChars="200"/>
        <w:rPr>
          <w:rFonts w:ascii="宋体" w:hAnsi="宋体"/>
          <w:color w:val="auto"/>
          <w:highlight w:val="none"/>
        </w:rPr>
      </w:pPr>
      <w:r>
        <w:rPr>
          <w:rFonts w:hint="eastAsia" w:ascii="宋体" w:hAnsi="宋体"/>
          <w:color w:val="auto"/>
          <w:highlight w:val="none"/>
        </w:rPr>
        <w:t>本合同以人民币为报价和结算货币，除非发包人承包人双方另有约定。</w:t>
      </w:r>
    </w:p>
    <w:p w14:paraId="4C9F4654">
      <w:pPr>
        <w:snapToGrid w:val="0"/>
        <w:spacing w:line="500" w:lineRule="exact"/>
        <w:ind w:firstLine="420" w:firstLineChars="200"/>
        <w:rPr>
          <w:rFonts w:ascii="宋体" w:hAnsi="宋体"/>
          <w:b/>
          <w:color w:val="auto"/>
          <w:highlight w:val="none"/>
        </w:rPr>
      </w:pPr>
      <w:r>
        <w:rPr>
          <w:rFonts w:hint="eastAsia" w:ascii="宋体" w:hAnsi="宋体"/>
          <w:color w:val="auto"/>
          <w:highlight w:val="none"/>
        </w:rPr>
        <w:t>本工程的暂定合同价款为（大写）：</w:t>
      </w:r>
      <w:r>
        <w:rPr>
          <w:rFonts w:hint="eastAsia" w:ascii="宋体" w:hAnsi="宋体"/>
          <w:b/>
          <w:color w:val="auto"/>
          <w:highlight w:val="none"/>
          <w:u w:val="single"/>
        </w:rPr>
        <w:t xml:space="preserve">             整；￥：           元整（中标价）</w:t>
      </w:r>
      <w:r>
        <w:rPr>
          <w:rFonts w:hint="eastAsia" w:ascii="宋体" w:hAnsi="宋体"/>
          <w:b/>
          <w:color w:val="auto"/>
          <w:highlight w:val="none"/>
        </w:rPr>
        <w:t>。</w:t>
      </w:r>
    </w:p>
    <w:p w14:paraId="717CE210">
      <w:pPr>
        <w:snapToGrid w:val="0"/>
        <w:spacing w:line="500" w:lineRule="exact"/>
        <w:ind w:firstLine="422" w:firstLineChars="200"/>
        <w:rPr>
          <w:rFonts w:ascii="宋体" w:hAnsi="宋体"/>
          <w:bCs/>
          <w:color w:val="auto"/>
          <w:highlight w:val="none"/>
        </w:rPr>
      </w:pPr>
      <w:r>
        <w:rPr>
          <w:rFonts w:hint="eastAsia" w:ascii="宋体" w:hAnsi="宋体"/>
          <w:b/>
          <w:color w:val="auto"/>
          <w:highlight w:val="none"/>
        </w:rPr>
        <w:t>六、承包人</w:t>
      </w:r>
      <w:r>
        <w:rPr>
          <w:rFonts w:hint="eastAsia" w:ascii="宋体" w:hAnsi="宋体"/>
          <w:bCs/>
          <w:color w:val="auto"/>
          <w:highlight w:val="none"/>
        </w:rPr>
        <w:t>项目负责人：</w:t>
      </w:r>
      <w:r>
        <w:rPr>
          <w:rFonts w:hint="eastAsia" w:ascii="宋体" w:hAnsi="宋体"/>
          <w:bCs/>
          <w:color w:val="auto"/>
          <w:highlight w:val="none"/>
          <w:u w:val="single"/>
        </w:rPr>
        <w:t xml:space="preserve">            </w:t>
      </w:r>
      <w:r>
        <w:rPr>
          <w:rFonts w:hint="eastAsia" w:ascii="宋体" w:hAnsi="宋体"/>
          <w:bCs/>
          <w:color w:val="auto"/>
          <w:highlight w:val="none"/>
        </w:rPr>
        <w:t>，专业及等级：</w:t>
      </w:r>
      <w:r>
        <w:rPr>
          <w:rFonts w:hint="eastAsia" w:ascii="宋体" w:hAnsi="宋体"/>
          <w:bCs/>
          <w:color w:val="auto"/>
          <w:highlight w:val="none"/>
          <w:u w:val="single"/>
        </w:rPr>
        <w:t xml:space="preserve">                 </w:t>
      </w:r>
      <w:r>
        <w:rPr>
          <w:rFonts w:hint="eastAsia" w:ascii="宋体" w:hAnsi="宋体"/>
          <w:bCs/>
          <w:color w:val="auto"/>
          <w:highlight w:val="none"/>
        </w:rPr>
        <w:t>。</w:t>
      </w:r>
    </w:p>
    <w:p w14:paraId="70DF5233">
      <w:pPr>
        <w:snapToGrid w:val="0"/>
        <w:spacing w:line="500" w:lineRule="exact"/>
        <w:ind w:firstLine="1446" w:firstLineChars="689"/>
        <w:rPr>
          <w:rFonts w:ascii="宋体" w:hAnsi="宋体"/>
          <w:bCs/>
          <w:color w:val="auto"/>
          <w:highlight w:val="none"/>
        </w:rPr>
      </w:pPr>
      <w:r>
        <w:rPr>
          <w:rFonts w:hint="eastAsia" w:ascii="宋体" w:hAnsi="宋体"/>
          <w:bCs/>
          <w:color w:val="auto"/>
          <w:highlight w:val="none"/>
        </w:rPr>
        <w:t>技术负责人：</w:t>
      </w:r>
      <w:r>
        <w:rPr>
          <w:rFonts w:hint="eastAsia" w:ascii="宋体" w:hAnsi="宋体"/>
          <w:bCs/>
          <w:color w:val="auto"/>
          <w:highlight w:val="none"/>
          <w:u w:val="single"/>
        </w:rPr>
        <w:t xml:space="preserve">            </w:t>
      </w:r>
      <w:r>
        <w:rPr>
          <w:rFonts w:hint="eastAsia" w:ascii="宋体" w:hAnsi="宋体"/>
          <w:bCs/>
          <w:color w:val="auto"/>
          <w:highlight w:val="none"/>
        </w:rPr>
        <w:t>，专业及等级：</w:t>
      </w:r>
      <w:r>
        <w:rPr>
          <w:rFonts w:hint="eastAsia" w:ascii="宋体" w:hAnsi="宋体"/>
          <w:bCs/>
          <w:color w:val="auto"/>
          <w:highlight w:val="none"/>
          <w:u w:val="single"/>
        </w:rPr>
        <w:t xml:space="preserve">                 </w:t>
      </w:r>
      <w:r>
        <w:rPr>
          <w:rFonts w:hint="eastAsia" w:ascii="宋体" w:hAnsi="宋体"/>
          <w:bCs/>
          <w:color w:val="auto"/>
          <w:highlight w:val="none"/>
        </w:rPr>
        <w:t>。</w:t>
      </w:r>
    </w:p>
    <w:p w14:paraId="50A333DE">
      <w:pPr>
        <w:snapToGrid w:val="0"/>
        <w:spacing w:line="500" w:lineRule="exact"/>
        <w:ind w:firstLine="422" w:firstLineChars="200"/>
        <w:rPr>
          <w:rFonts w:ascii="宋体" w:hAnsi="宋体"/>
          <w:b/>
          <w:color w:val="auto"/>
          <w:highlight w:val="none"/>
        </w:rPr>
      </w:pPr>
      <w:r>
        <w:rPr>
          <w:rFonts w:hint="eastAsia" w:ascii="宋体" w:hAnsi="宋体"/>
          <w:b/>
          <w:color w:val="auto"/>
          <w:highlight w:val="none"/>
        </w:rPr>
        <w:t>七、组成合同的文件</w:t>
      </w:r>
    </w:p>
    <w:p w14:paraId="75FE8E9E">
      <w:pPr>
        <w:spacing w:line="400" w:lineRule="exact"/>
        <w:ind w:firstLine="420" w:firstLineChars="200"/>
        <w:rPr>
          <w:rFonts w:ascii="宋体" w:hAnsi="宋体"/>
          <w:color w:val="auto"/>
          <w:highlight w:val="none"/>
        </w:rPr>
      </w:pPr>
      <w:r>
        <w:rPr>
          <w:rFonts w:hint="eastAsia" w:ascii="宋体" w:hAnsi="宋体"/>
          <w:color w:val="auto"/>
          <w:highlight w:val="none"/>
        </w:rPr>
        <w:t>下列文件应被认为是组成本合同的一部分，并互为补充和解释，如各文件存在冲突之处，以如下先后排列次序为优先：</w:t>
      </w:r>
    </w:p>
    <w:p w14:paraId="1F643460">
      <w:pPr>
        <w:spacing w:line="400" w:lineRule="exact"/>
        <w:ind w:firstLine="420" w:firstLineChars="200"/>
        <w:rPr>
          <w:rFonts w:ascii="宋体" w:hAnsi="宋体"/>
          <w:color w:val="auto"/>
          <w:highlight w:val="none"/>
        </w:rPr>
      </w:pPr>
      <w:r>
        <w:rPr>
          <w:rFonts w:hint="eastAsia" w:ascii="宋体" w:hAnsi="宋体"/>
          <w:color w:val="auto"/>
          <w:highlight w:val="none"/>
        </w:rPr>
        <w:t>（1）合同协议书；</w:t>
      </w:r>
    </w:p>
    <w:p w14:paraId="34B155C7">
      <w:pPr>
        <w:spacing w:line="400" w:lineRule="exact"/>
        <w:ind w:firstLine="420" w:firstLineChars="200"/>
        <w:rPr>
          <w:rFonts w:ascii="宋体" w:hAnsi="宋体"/>
          <w:color w:val="auto"/>
          <w:highlight w:val="none"/>
        </w:rPr>
      </w:pPr>
      <w:r>
        <w:rPr>
          <w:rFonts w:hint="eastAsia" w:ascii="宋体" w:hAnsi="宋体"/>
          <w:color w:val="auto"/>
          <w:highlight w:val="none"/>
        </w:rPr>
        <w:t>（2）中标通知书；</w:t>
      </w:r>
    </w:p>
    <w:p w14:paraId="6CB51C7F">
      <w:pPr>
        <w:spacing w:line="400" w:lineRule="exact"/>
        <w:ind w:firstLine="420" w:firstLineChars="200"/>
        <w:rPr>
          <w:rFonts w:ascii="宋体" w:hAnsi="宋体"/>
          <w:color w:val="auto"/>
          <w:highlight w:val="none"/>
        </w:rPr>
      </w:pPr>
      <w:r>
        <w:rPr>
          <w:rFonts w:hint="eastAsia" w:ascii="宋体" w:hAnsi="宋体"/>
          <w:color w:val="auto"/>
          <w:highlight w:val="none"/>
        </w:rPr>
        <w:t>（3）投标函</w:t>
      </w:r>
    </w:p>
    <w:p w14:paraId="1E1E3ED3">
      <w:pPr>
        <w:spacing w:line="400" w:lineRule="exact"/>
        <w:ind w:firstLine="420" w:firstLineChars="200"/>
        <w:rPr>
          <w:rFonts w:ascii="宋体" w:hAnsi="宋体"/>
          <w:color w:val="auto"/>
          <w:highlight w:val="none"/>
        </w:rPr>
      </w:pPr>
      <w:r>
        <w:rPr>
          <w:rFonts w:hint="eastAsia" w:ascii="宋体" w:hAnsi="宋体"/>
          <w:color w:val="auto"/>
          <w:highlight w:val="none"/>
        </w:rPr>
        <w:t>（4）专用合同条款；</w:t>
      </w:r>
    </w:p>
    <w:p w14:paraId="31DFFAB7">
      <w:pPr>
        <w:spacing w:line="400" w:lineRule="exact"/>
        <w:ind w:firstLine="420" w:firstLineChars="200"/>
        <w:rPr>
          <w:rFonts w:ascii="宋体" w:hAnsi="宋体"/>
          <w:color w:val="auto"/>
          <w:highlight w:val="none"/>
        </w:rPr>
      </w:pPr>
      <w:r>
        <w:rPr>
          <w:rFonts w:hint="eastAsia" w:ascii="宋体" w:hAnsi="宋体"/>
          <w:color w:val="auto"/>
          <w:highlight w:val="none"/>
        </w:rPr>
        <w:t>（5）通用合同条款；</w:t>
      </w:r>
    </w:p>
    <w:p w14:paraId="3FFC7D47">
      <w:pPr>
        <w:spacing w:line="400" w:lineRule="exact"/>
        <w:ind w:firstLine="420" w:firstLineChars="200"/>
        <w:rPr>
          <w:rFonts w:ascii="宋体" w:hAnsi="宋体"/>
          <w:color w:val="auto"/>
          <w:highlight w:val="none"/>
        </w:rPr>
      </w:pPr>
      <w:r>
        <w:rPr>
          <w:rFonts w:hint="eastAsia" w:ascii="宋体" w:hAnsi="宋体"/>
          <w:color w:val="auto"/>
          <w:highlight w:val="none"/>
        </w:rPr>
        <w:t>（6）技术标准和要求；</w:t>
      </w:r>
    </w:p>
    <w:p w14:paraId="61D9AA1A">
      <w:pPr>
        <w:spacing w:line="400" w:lineRule="exact"/>
        <w:ind w:firstLine="420" w:firstLineChars="200"/>
        <w:rPr>
          <w:rFonts w:ascii="宋体" w:hAnsi="宋体"/>
          <w:color w:val="auto"/>
          <w:highlight w:val="none"/>
        </w:rPr>
      </w:pPr>
      <w:r>
        <w:rPr>
          <w:rFonts w:hint="eastAsia" w:ascii="宋体" w:hAnsi="宋体"/>
          <w:color w:val="auto"/>
          <w:highlight w:val="none"/>
        </w:rPr>
        <w:t>（7）图纸；</w:t>
      </w:r>
    </w:p>
    <w:p w14:paraId="581784DF">
      <w:pPr>
        <w:spacing w:line="400" w:lineRule="exact"/>
        <w:ind w:firstLine="420" w:firstLineChars="200"/>
        <w:rPr>
          <w:rFonts w:ascii="宋体" w:hAnsi="宋体"/>
          <w:color w:val="auto"/>
          <w:highlight w:val="none"/>
        </w:rPr>
      </w:pPr>
      <w:r>
        <w:rPr>
          <w:rFonts w:hint="eastAsia" w:ascii="宋体" w:hAnsi="宋体"/>
          <w:color w:val="auto"/>
          <w:highlight w:val="none"/>
        </w:rPr>
        <w:t>（8）已标价工程量清单（控制价）；</w:t>
      </w:r>
    </w:p>
    <w:p w14:paraId="12C3079B">
      <w:pPr>
        <w:spacing w:line="400" w:lineRule="exact"/>
        <w:ind w:firstLine="420" w:firstLineChars="200"/>
        <w:rPr>
          <w:rFonts w:ascii="宋体" w:hAnsi="宋体"/>
          <w:color w:val="auto"/>
          <w:highlight w:val="none"/>
        </w:rPr>
      </w:pPr>
      <w:r>
        <w:rPr>
          <w:rFonts w:hint="eastAsia" w:ascii="宋体" w:hAnsi="宋体"/>
          <w:color w:val="auto"/>
          <w:highlight w:val="none"/>
        </w:rPr>
        <w:t>（9）组成合同的其他文件。</w:t>
      </w:r>
    </w:p>
    <w:p w14:paraId="79A8BD70">
      <w:pPr>
        <w:spacing w:line="400" w:lineRule="exact"/>
        <w:ind w:firstLine="420" w:firstLineChars="200"/>
        <w:rPr>
          <w:rFonts w:ascii="宋体" w:hAnsi="宋体"/>
          <w:color w:val="auto"/>
          <w:highlight w:val="none"/>
          <w:u w:val="single"/>
        </w:rPr>
      </w:pPr>
      <w:r>
        <w:rPr>
          <w:rFonts w:hint="eastAsia" w:ascii="宋体" w:hAnsi="宋体"/>
          <w:color w:val="auto"/>
          <w:highlight w:val="none"/>
        </w:rPr>
        <w:t>（10）其他：</w:t>
      </w:r>
      <w:r>
        <w:rPr>
          <w:rFonts w:ascii="宋体" w:hAnsi="宋体"/>
          <w:color w:val="auto"/>
          <w:highlight w:val="none"/>
        </w:rPr>
        <w:t>图纸与技术标准和要求之间有矛盾或者不一致的，以其中要求较严格的标准为准。</w:t>
      </w:r>
      <w:r>
        <w:rPr>
          <w:rFonts w:hint="eastAsia" w:ascii="宋体" w:hAnsi="宋体"/>
          <w:color w:val="auto"/>
          <w:highlight w:val="none"/>
        </w:rPr>
        <w:t>合同履行期间发包人与承包人双方签订的补充合同（协议）或修正文件</w:t>
      </w:r>
      <w:r>
        <w:rPr>
          <w:rFonts w:ascii="宋体" w:hAnsi="宋体"/>
          <w:color w:val="auto"/>
          <w:highlight w:val="none"/>
        </w:rPr>
        <w:t>亦构成合同文件的组成部分，其解释顺序视其内容与其他合同文件的相互关系而定。</w:t>
      </w:r>
    </w:p>
    <w:p w14:paraId="0B579414">
      <w:pPr>
        <w:spacing w:line="400" w:lineRule="exact"/>
        <w:ind w:firstLine="420" w:firstLineChars="200"/>
        <w:rPr>
          <w:rFonts w:ascii="宋体" w:hAnsi="宋体"/>
          <w:color w:val="auto"/>
          <w:highlight w:val="none"/>
        </w:rPr>
      </w:pPr>
      <w:r>
        <w:rPr>
          <w:rFonts w:hint="eastAsia" w:ascii="宋体" w:hAnsi="宋体"/>
          <w:color w:val="auto"/>
          <w:highlight w:val="none"/>
        </w:rPr>
        <w:t>八、本合同《合同通用条款》约定的内容与《合同专用条款》约定的内容相冲突时，以《合同专用条款》所约定的内容为准。本合同《合同通用条款》和《合同专用条款》约定的内容与双方共同签署的本合同补充或修正文件所约定的内容相冲突时，以双方共同签署的本合同补充或修正文件所约定的内容为准。</w:t>
      </w:r>
    </w:p>
    <w:p w14:paraId="2CAAF0A4">
      <w:pPr>
        <w:spacing w:line="400" w:lineRule="exact"/>
        <w:ind w:firstLine="420" w:firstLineChars="200"/>
        <w:rPr>
          <w:rFonts w:ascii="宋体" w:hAnsi="宋体"/>
          <w:color w:val="auto"/>
          <w:highlight w:val="none"/>
        </w:rPr>
      </w:pPr>
      <w:r>
        <w:rPr>
          <w:rFonts w:hint="eastAsia" w:ascii="宋体" w:hAnsi="宋体"/>
          <w:color w:val="auto"/>
          <w:highlight w:val="none"/>
        </w:rPr>
        <w:t>九、本协议书中有关词语含义与本合同《合同通用条款》、《合同专用条款》中分别赋予它们的定义相同。</w:t>
      </w:r>
    </w:p>
    <w:p w14:paraId="08B9551E">
      <w:pPr>
        <w:spacing w:line="400" w:lineRule="exact"/>
        <w:ind w:firstLine="420" w:firstLineChars="200"/>
        <w:rPr>
          <w:rFonts w:ascii="宋体" w:hAnsi="宋体"/>
          <w:color w:val="auto"/>
          <w:highlight w:val="none"/>
        </w:rPr>
      </w:pPr>
      <w:r>
        <w:rPr>
          <w:rFonts w:hint="eastAsia" w:ascii="宋体" w:hAnsi="宋体"/>
          <w:color w:val="auto"/>
          <w:highlight w:val="none"/>
        </w:rPr>
        <w:t>十、承包人向发包人承诺按照合同约定进行施工、管理和配合服务、完工 、移交并在质量保修期内承担工程质量保修责任。</w:t>
      </w:r>
    </w:p>
    <w:p w14:paraId="55FFA9A9">
      <w:pPr>
        <w:spacing w:line="400" w:lineRule="exact"/>
        <w:ind w:firstLine="420" w:firstLineChars="200"/>
        <w:rPr>
          <w:rFonts w:ascii="宋体" w:hAnsi="宋体"/>
          <w:color w:val="auto"/>
          <w:highlight w:val="none"/>
        </w:rPr>
      </w:pPr>
      <w:r>
        <w:rPr>
          <w:rFonts w:hint="eastAsia" w:ascii="宋体" w:hAnsi="宋体"/>
          <w:color w:val="auto"/>
          <w:highlight w:val="none"/>
        </w:rPr>
        <w:t>承包人向发包人承诺：承包人在工程工期延误、工程质量、安全生产、文明施工、环境保护、工程转包分包等方面及人员、机械设备、材料投入不到位方面、工程建设人员（包括农民工）的管理方面违反《合同专用条款》约定而应承担的“严重违约责任”方式以上的违约（含暂停施工、解除合同、赔偿损失等），或者本项目被区级以上行政管理部门书面通报三次或以上的，或者所承接的增城区不同水务项目一年内被区级以上行政管理部门书面通报三次或以上的，承包人无条件接受发包人上报建设行政管理部门停止承包人两年内再参与广州市增城区各级财政投资的水务建设项目的招标活动，</w:t>
      </w:r>
      <w:r>
        <w:rPr>
          <w:rFonts w:ascii="宋体" w:hAnsi="宋体"/>
          <w:color w:val="auto"/>
          <w:highlight w:val="none"/>
        </w:rPr>
        <w:t>并上报省、市主管部门建议取消其参加广州地区省、市重大项目的投标资格，并由</w:t>
      </w:r>
      <w:r>
        <w:rPr>
          <w:rFonts w:hint="eastAsia" w:ascii="宋体" w:hAnsi="宋体"/>
          <w:color w:val="auto"/>
          <w:highlight w:val="none"/>
        </w:rPr>
        <w:t>发包人</w:t>
      </w:r>
      <w:r>
        <w:rPr>
          <w:rFonts w:ascii="宋体" w:hAnsi="宋体"/>
          <w:color w:val="auto"/>
          <w:highlight w:val="none"/>
        </w:rPr>
        <w:t>予以公告</w:t>
      </w:r>
      <w:r>
        <w:rPr>
          <w:rFonts w:hint="eastAsia" w:ascii="宋体" w:hAnsi="宋体"/>
          <w:color w:val="auto"/>
          <w:highlight w:val="none"/>
        </w:rPr>
        <w:t>。如属恶意煽动并造成社会不良影响的，发包人将提请司法部门追究其法律责任。</w:t>
      </w:r>
    </w:p>
    <w:p w14:paraId="12A01EC9">
      <w:pPr>
        <w:spacing w:line="400" w:lineRule="exact"/>
        <w:ind w:firstLine="420" w:firstLineChars="200"/>
        <w:rPr>
          <w:rFonts w:ascii="宋体" w:hAnsi="宋体"/>
          <w:color w:val="auto"/>
          <w:highlight w:val="none"/>
        </w:rPr>
      </w:pPr>
      <w:r>
        <w:rPr>
          <w:rFonts w:hint="eastAsia" w:ascii="宋体" w:hAnsi="宋体"/>
          <w:color w:val="auto"/>
          <w:highlight w:val="none"/>
        </w:rPr>
        <w:t>承包人向发包人承诺：承包人按《广州市住房和城乡建设局关于印发&lt;广州市建筑施工实名制管理办法&gt;的通知》（穗建规字〔2020〕18号）规定，对建设项目工程从业人员实行实名制管理；承包人按《广州市建设领域工人工资支付分账管理实施细则》（穗建规字〔2020〕37号）规定，对建设项目工程款中的工人工资款与其他款项实行分开银行账户管理，以工程项目为单位，在商业银行设立建设领域工人工资支付专用账户用于支付工人工资。施工单位进场前，向项目所在地的商业银行开办工人工资支付专用账户，取得办理回执；承包人按《广州市建设领域施工企业工人工资支付保证金管理办法》(穗人社规字 (2023) 1 号)等有关规定落实工程建设领域工资保证金制度。建设单位办理工程施工许可手续时，将从业人员实名制、工人工资专用账户、工资保证金落实情况列为开工条件审核内容。实名制和工人工资支付分账制纳入广州市建设领域管理应用信息平台，实行平台化管理。承包人理解并配合建设单位办理工程施工许可手续时，将从业人员实名制、工人工资专用账户、工资保证金落实情况列为开工条件审核内容。</w:t>
      </w:r>
    </w:p>
    <w:p w14:paraId="70192C92">
      <w:pPr>
        <w:spacing w:line="400" w:lineRule="exact"/>
        <w:ind w:firstLine="420" w:firstLineChars="200"/>
        <w:rPr>
          <w:rFonts w:ascii="宋体" w:hAnsi="宋体"/>
          <w:color w:val="auto"/>
          <w:highlight w:val="none"/>
        </w:rPr>
      </w:pPr>
      <w:r>
        <w:rPr>
          <w:rFonts w:hint="eastAsia" w:ascii="宋体" w:hAnsi="宋体"/>
          <w:color w:val="auto"/>
          <w:highlight w:val="none"/>
        </w:rPr>
        <w:t>承包人向发包人承诺：承包人按《广州市安全生产委员会办公室关于印发&lt;广州市2018年度安全生产责任保险工作方案&gt;的通知》（穗安办〔2018〕95号）等政策文件的要求，落实参保。</w:t>
      </w:r>
    </w:p>
    <w:p w14:paraId="68A7708C">
      <w:pPr>
        <w:spacing w:line="400" w:lineRule="exact"/>
        <w:ind w:firstLine="420" w:firstLineChars="200"/>
        <w:rPr>
          <w:rFonts w:ascii="宋体" w:hAnsi="宋体"/>
          <w:color w:val="auto"/>
          <w:highlight w:val="none"/>
        </w:rPr>
      </w:pPr>
      <w:r>
        <w:rPr>
          <w:rFonts w:hint="eastAsia" w:ascii="宋体" w:hAnsi="宋体"/>
          <w:color w:val="auto"/>
          <w:highlight w:val="none"/>
        </w:rPr>
        <w:t>十一、发包人向承包人承诺按照合同约定的期限和方式支付合同价款及按合同规定支付的其他款项。</w:t>
      </w:r>
    </w:p>
    <w:p w14:paraId="57588BA2">
      <w:pPr>
        <w:spacing w:line="400" w:lineRule="exact"/>
        <w:ind w:firstLine="420" w:firstLineChars="200"/>
        <w:rPr>
          <w:rFonts w:ascii="宋体" w:hAnsi="宋体"/>
          <w:color w:val="auto"/>
          <w:highlight w:val="none"/>
        </w:rPr>
      </w:pPr>
      <w:r>
        <w:rPr>
          <w:rFonts w:hint="eastAsia" w:ascii="宋体" w:hAnsi="宋体"/>
          <w:color w:val="auto"/>
          <w:highlight w:val="none"/>
        </w:rPr>
        <w:t>十二、本工程的质量监督单位是</w:t>
      </w:r>
      <w:r>
        <w:rPr>
          <w:rFonts w:hint="eastAsia" w:ascii="宋体" w:hAnsi="宋体"/>
          <w:color w:val="auto"/>
          <w:highlight w:val="none"/>
          <w:u w:val="single"/>
        </w:rPr>
        <w:t>广州市增城区水务工程质量安全监督站</w:t>
      </w:r>
      <w:r>
        <w:rPr>
          <w:rFonts w:hint="eastAsia" w:ascii="宋体" w:hAnsi="宋体"/>
          <w:color w:val="auto"/>
          <w:highlight w:val="none"/>
        </w:rPr>
        <w:t>。</w:t>
      </w:r>
    </w:p>
    <w:p w14:paraId="0E8B3212">
      <w:pPr>
        <w:spacing w:line="400" w:lineRule="exact"/>
        <w:ind w:firstLine="420" w:firstLineChars="200"/>
        <w:rPr>
          <w:rFonts w:ascii="宋体" w:hAnsi="宋体"/>
          <w:color w:val="auto"/>
          <w:highlight w:val="none"/>
        </w:rPr>
      </w:pPr>
      <w:r>
        <w:rPr>
          <w:rFonts w:hint="eastAsia" w:ascii="宋体" w:hAnsi="宋体"/>
          <w:color w:val="auto"/>
          <w:highlight w:val="none"/>
        </w:rPr>
        <w:t>十三、验收规程执行设计施工规范规定。工程建设档案资料整理执行</w:t>
      </w:r>
      <w:r>
        <w:rPr>
          <w:rFonts w:hint="eastAsia" w:ascii="宋体" w:hAnsi="宋体"/>
          <w:color w:val="auto"/>
          <w:highlight w:val="none"/>
          <w:u w:val="single"/>
        </w:rPr>
        <w:t>《水利工程建设项目档案管理规定》(按最新文号或年度号版本执行)</w:t>
      </w:r>
      <w:r>
        <w:rPr>
          <w:rFonts w:hint="eastAsia" w:ascii="宋体" w:hAnsi="宋体"/>
          <w:color w:val="auto"/>
          <w:highlight w:val="none"/>
        </w:rPr>
        <w:t>。</w:t>
      </w:r>
    </w:p>
    <w:p w14:paraId="0BD37D6F">
      <w:pPr>
        <w:spacing w:line="400" w:lineRule="exact"/>
        <w:ind w:firstLine="420" w:firstLineChars="200"/>
        <w:rPr>
          <w:rFonts w:ascii="宋体" w:hAnsi="宋体"/>
          <w:color w:val="auto"/>
          <w:highlight w:val="none"/>
        </w:rPr>
      </w:pPr>
      <w:r>
        <w:rPr>
          <w:rFonts w:hint="eastAsia" w:ascii="宋体" w:hAnsi="宋体"/>
          <w:color w:val="auto"/>
          <w:highlight w:val="none"/>
        </w:rPr>
        <w:t>十四、合同生效</w:t>
      </w:r>
    </w:p>
    <w:p w14:paraId="41AFB158">
      <w:pPr>
        <w:spacing w:line="400" w:lineRule="exact"/>
        <w:ind w:firstLine="420" w:firstLineChars="200"/>
        <w:rPr>
          <w:rFonts w:ascii="宋体" w:hAnsi="宋体"/>
          <w:color w:val="auto"/>
          <w:highlight w:val="none"/>
        </w:rPr>
      </w:pPr>
      <w:r>
        <w:rPr>
          <w:rFonts w:hint="eastAsia" w:ascii="宋体" w:hAnsi="宋体"/>
          <w:color w:val="auto"/>
          <w:highlight w:val="none"/>
        </w:rPr>
        <w:t>合同订立时间：</w:t>
      </w:r>
      <w:r>
        <w:rPr>
          <w:rFonts w:hint="eastAsia" w:ascii="宋体" w:hAnsi="宋体"/>
          <w:color w:val="auto"/>
          <w:highlight w:val="none"/>
          <w:u w:val="single"/>
        </w:rPr>
        <w:t>20   年 月</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日</w:t>
      </w:r>
      <w:r>
        <w:rPr>
          <w:rFonts w:hint="eastAsia" w:ascii="宋体" w:hAnsi="宋体"/>
          <w:color w:val="auto"/>
          <w:highlight w:val="none"/>
        </w:rPr>
        <w:t>。</w:t>
      </w:r>
    </w:p>
    <w:p w14:paraId="62BF5C8C">
      <w:pPr>
        <w:spacing w:line="400" w:lineRule="exact"/>
        <w:ind w:firstLine="420" w:firstLineChars="200"/>
        <w:rPr>
          <w:rFonts w:ascii="宋体" w:hAnsi="宋体"/>
          <w:color w:val="auto"/>
          <w:highlight w:val="none"/>
        </w:rPr>
      </w:pPr>
      <w:r>
        <w:rPr>
          <w:rFonts w:hint="eastAsia" w:ascii="宋体" w:hAnsi="宋体"/>
          <w:color w:val="auto"/>
          <w:highlight w:val="none"/>
        </w:rPr>
        <w:t xml:space="preserve">合同订立地点：  </w:t>
      </w:r>
    </w:p>
    <w:p w14:paraId="736F46D6">
      <w:pPr>
        <w:spacing w:line="400" w:lineRule="exact"/>
        <w:ind w:firstLine="420" w:firstLineChars="200"/>
        <w:rPr>
          <w:rFonts w:ascii="宋体" w:hAnsi="宋体"/>
          <w:color w:val="auto"/>
          <w:highlight w:val="none"/>
        </w:rPr>
      </w:pPr>
      <w:r>
        <w:rPr>
          <w:rFonts w:hint="eastAsia" w:ascii="宋体" w:hAnsi="宋体"/>
          <w:color w:val="auto"/>
          <w:highlight w:val="none"/>
        </w:rPr>
        <w:t>十五、本合同一式八份。其中正本二份，双方各执一份，副本六份，发包人执四份，承包人执二份</w:t>
      </w:r>
    </w:p>
    <w:p w14:paraId="199856A5">
      <w:pPr>
        <w:spacing w:line="400" w:lineRule="exact"/>
        <w:ind w:firstLine="420" w:firstLineChars="200"/>
        <w:rPr>
          <w:rFonts w:hint="eastAsia" w:ascii="宋体" w:hAnsi="宋体"/>
          <w:color w:val="auto"/>
          <w:highlight w:val="none"/>
        </w:rPr>
      </w:pPr>
      <w:r>
        <w:rPr>
          <w:rFonts w:hint="eastAsia" w:ascii="宋体" w:hAnsi="宋体"/>
          <w:color w:val="auto"/>
          <w:highlight w:val="none"/>
        </w:rPr>
        <w:t>本合同自双方签字盖章、递交履约担保之日起生效，至本工程保修期届满且完工结算满60日并同时双方的责任、义务履行完毕时终止。</w:t>
      </w:r>
    </w:p>
    <w:p w14:paraId="4CB5B218">
      <w:pPr>
        <w:snapToGrid w:val="0"/>
        <w:spacing w:line="440" w:lineRule="exact"/>
        <w:rPr>
          <w:rFonts w:ascii="宋体" w:hAnsi="宋体"/>
          <w:color w:val="auto"/>
          <w:szCs w:val="20"/>
          <w:highlight w:val="none"/>
        </w:rPr>
      </w:pPr>
      <w:r>
        <w:rPr>
          <w:rFonts w:hint="eastAsia" w:ascii="宋体" w:hAnsi="宋体"/>
          <w:color w:val="auto"/>
          <w:szCs w:val="20"/>
          <w:highlight w:val="none"/>
        </w:rPr>
        <w:t>发包人：               （盖章）        承包人：               （盖章）</w:t>
      </w:r>
    </w:p>
    <w:p w14:paraId="1FC869E0">
      <w:pPr>
        <w:snapToGrid w:val="0"/>
        <w:spacing w:line="440" w:lineRule="exact"/>
        <w:rPr>
          <w:rFonts w:ascii="宋体" w:hAnsi="宋体"/>
          <w:color w:val="auto"/>
          <w:highlight w:val="none"/>
        </w:rPr>
      </w:pPr>
      <w:r>
        <w:rPr>
          <w:rFonts w:hint="eastAsia" w:ascii="宋体" w:hAnsi="宋体"/>
          <w:color w:val="auto"/>
          <w:highlight w:val="none"/>
        </w:rPr>
        <w:t>法定代表人：           （签章）        法定代表人：           （签章）</w:t>
      </w:r>
    </w:p>
    <w:p w14:paraId="105772A3">
      <w:pPr>
        <w:snapToGrid w:val="0"/>
        <w:spacing w:line="440" w:lineRule="exact"/>
        <w:rPr>
          <w:rFonts w:ascii="宋体" w:hAnsi="宋体"/>
          <w:color w:val="auto"/>
          <w:highlight w:val="none"/>
        </w:rPr>
      </w:pPr>
      <w:r>
        <w:rPr>
          <w:rFonts w:hint="eastAsia" w:ascii="宋体" w:hAnsi="宋体"/>
          <w:color w:val="auto"/>
          <w:highlight w:val="none"/>
        </w:rPr>
        <w:t xml:space="preserve">地    址：                             地    址：                 </w:t>
      </w:r>
    </w:p>
    <w:p w14:paraId="4A1B3EE5">
      <w:pPr>
        <w:snapToGrid w:val="0"/>
        <w:spacing w:line="440" w:lineRule="exact"/>
        <w:ind w:left="-134" w:leftChars="-64" w:firstLine="105" w:firstLineChars="50"/>
        <w:rPr>
          <w:rFonts w:ascii="宋体" w:hAnsi="宋体"/>
          <w:color w:val="auto"/>
          <w:highlight w:val="none"/>
        </w:rPr>
      </w:pPr>
      <w:r>
        <w:rPr>
          <w:rFonts w:hint="eastAsia" w:ascii="宋体" w:hAnsi="宋体"/>
          <w:color w:val="auto"/>
          <w:highlight w:val="none"/>
        </w:rPr>
        <w:t xml:space="preserve">电    话：                             电    话：                  </w:t>
      </w:r>
    </w:p>
    <w:p w14:paraId="7C35646B">
      <w:pPr>
        <w:snapToGrid w:val="0"/>
        <w:spacing w:line="440" w:lineRule="exact"/>
        <w:ind w:left="-134" w:leftChars="-64" w:firstLine="105" w:firstLineChars="50"/>
        <w:rPr>
          <w:rFonts w:ascii="宋体" w:hAnsi="宋体"/>
          <w:color w:val="auto"/>
          <w:highlight w:val="none"/>
        </w:rPr>
      </w:pPr>
      <w:r>
        <w:rPr>
          <w:rFonts w:hint="eastAsia" w:ascii="宋体" w:hAnsi="宋体"/>
          <w:color w:val="auto"/>
          <w:highlight w:val="none"/>
        </w:rPr>
        <w:t xml:space="preserve">传    真：                             传    真：                  </w:t>
      </w:r>
    </w:p>
    <w:p w14:paraId="4365E203">
      <w:pPr>
        <w:snapToGrid w:val="0"/>
        <w:spacing w:line="440" w:lineRule="exact"/>
        <w:rPr>
          <w:rFonts w:ascii="宋体" w:hAnsi="宋体"/>
          <w:color w:val="auto"/>
          <w:highlight w:val="none"/>
        </w:rPr>
      </w:pPr>
      <w:r>
        <w:rPr>
          <w:rFonts w:hint="eastAsia" w:ascii="宋体" w:hAnsi="宋体"/>
          <w:color w:val="auto"/>
          <w:highlight w:val="none"/>
        </w:rPr>
        <w:t xml:space="preserve">邮政编码：                             邮政编码：                    </w:t>
      </w:r>
    </w:p>
    <w:p w14:paraId="0C8995E7">
      <w:pPr>
        <w:snapToGrid w:val="0"/>
        <w:spacing w:line="440" w:lineRule="exact"/>
        <w:ind w:firstLine="105" w:firstLineChars="50"/>
        <w:rPr>
          <w:rFonts w:ascii="宋体" w:hAnsi="宋体"/>
          <w:color w:val="auto"/>
          <w:highlight w:val="none"/>
        </w:rPr>
      </w:pPr>
      <w:r>
        <w:rPr>
          <w:rFonts w:hint="eastAsia" w:ascii="宋体" w:hAnsi="宋体"/>
          <w:color w:val="auto"/>
          <w:highlight w:val="none"/>
        </w:rPr>
        <w:t xml:space="preserve">                                      开户银行：                   </w:t>
      </w:r>
    </w:p>
    <w:p w14:paraId="7B9DAA19">
      <w:pPr>
        <w:snapToGrid w:val="0"/>
        <w:spacing w:line="440" w:lineRule="exact"/>
        <w:ind w:firstLine="105" w:firstLineChars="50"/>
        <w:rPr>
          <w:rFonts w:ascii="宋体" w:hAnsi="宋体"/>
          <w:color w:val="auto"/>
          <w:highlight w:val="none"/>
        </w:rPr>
      </w:pPr>
      <w:r>
        <w:rPr>
          <w:rFonts w:hint="eastAsia" w:ascii="宋体" w:hAnsi="宋体"/>
          <w:color w:val="auto"/>
          <w:highlight w:val="none"/>
        </w:rPr>
        <w:t xml:space="preserve">                                      帐    号：                  </w:t>
      </w:r>
    </w:p>
    <w:p w14:paraId="648AD7EF">
      <w:pPr>
        <w:rPr>
          <w:rFonts w:ascii="宋体" w:hAnsi="宋体"/>
          <w:b/>
          <w:color w:val="auto"/>
          <w:highlight w:val="none"/>
        </w:rPr>
      </w:pPr>
    </w:p>
    <w:p w14:paraId="06E7D01E">
      <w:pPr>
        <w:rPr>
          <w:rFonts w:ascii="宋体" w:hAnsi="宋体"/>
          <w:b/>
          <w:color w:val="auto"/>
          <w:highlight w:val="none"/>
        </w:rPr>
      </w:pPr>
    </w:p>
    <w:p w14:paraId="6BD1FEDC">
      <w:pPr>
        <w:rPr>
          <w:rFonts w:ascii="宋体" w:hAnsi="宋体"/>
          <w:b/>
          <w:color w:val="auto"/>
          <w:highlight w:val="none"/>
        </w:rPr>
      </w:pPr>
    </w:p>
    <w:p w14:paraId="08CC92EF">
      <w:pPr>
        <w:rPr>
          <w:rFonts w:ascii="宋体" w:hAnsi="宋体"/>
          <w:b/>
          <w:color w:val="auto"/>
          <w:highlight w:val="none"/>
        </w:rPr>
      </w:pPr>
    </w:p>
    <w:p w14:paraId="7146BB3D">
      <w:pPr>
        <w:rPr>
          <w:rFonts w:ascii="宋体" w:hAnsi="宋体"/>
          <w:b/>
          <w:color w:val="auto"/>
          <w:highlight w:val="none"/>
        </w:rPr>
      </w:pPr>
    </w:p>
    <w:p w14:paraId="778DD86B">
      <w:pPr>
        <w:rPr>
          <w:rFonts w:ascii="宋体" w:hAnsi="宋体"/>
          <w:b/>
          <w:color w:val="auto"/>
          <w:highlight w:val="none"/>
        </w:rPr>
      </w:pPr>
    </w:p>
    <w:p w14:paraId="3B360EC7">
      <w:pPr>
        <w:rPr>
          <w:rFonts w:ascii="宋体" w:hAnsi="宋体"/>
          <w:b/>
          <w:color w:val="auto"/>
          <w:highlight w:val="none"/>
        </w:rPr>
        <w:sectPr>
          <w:pgSz w:w="11906" w:h="16838"/>
          <w:pgMar w:top="1440" w:right="1800" w:bottom="1440" w:left="1800" w:header="851" w:footer="992" w:gutter="0"/>
          <w:cols w:space="720" w:num="1"/>
          <w:docGrid w:type="lines" w:linePitch="312" w:charSpace="0"/>
        </w:sectPr>
      </w:pPr>
    </w:p>
    <w:p w14:paraId="1221806D">
      <w:pPr>
        <w:keepNext/>
        <w:keepLines/>
        <w:spacing w:line="400" w:lineRule="exact"/>
        <w:jc w:val="left"/>
        <w:outlineLvl w:val="2"/>
        <w:rPr>
          <w:rFonts w:ascii="宋体" w:hAnsi="宋体" w:cs="宋体"/>
          <w:color w:val="auto"/>
          <w:kern w:val="0"/>
          <w:sz w:val="24"/>
          <w:szCs w:val="20"/>
          <w:highlight w:val="none"/>
        </w:rPr>
      </w:pPr>
      <w:bookmarkStart w:id="982" w:name="_Toc115180045"/>
      <w:r>
        <w:rPr>
          <w:rFonts w:hint="eastAsia" w:ascii="宋体" w:hAnsi="宋体" w:cs="宋体"/>
          <w:color w:val="auto"/>
          <w:kern w:val="0"/>
          <w:sz w:val="24"/>
          <w:szCs w:val="20"/>
          <w:highlight w:val="none"/>
        </w:rPr>
        <w:t>附件二：建设工程廉政责任书（格式）</w:t>
      </w:r>
      <w:bookmarkEnd w:id="982"/>
    </w:p>
    <w:p w14:paraId="3AEE40D6">
      <w:pPr>
        <w:rPr>
          <w:rFonts w:ascii="宋体" w:hAnsi="宋体"/>
          <w:b/>
          <w:color w:val="auto"/>
          <w:highlight w:val="none"/>
        </w:rPr>
      </w:pPr>
    </w:p>
    <w:p w14:paraId="1395AE9F">
      <w:pPr>
        <w:spacing w:line="400" w:lineRule="exact"/>
        <w:jc w:val="center"/>
        <w:rPr>
          <w:rFonts w:ascii="宋体" w:hAnsi="宋体"/>
          <w:color w:val="auto"/>
          <w:sz w:val="27"/>
          <w:szCs w:val="27"/>
          <w:highlight w:val="none"/>
        </w:rPr>
      </w:pPr>
      <w:r>
        <w:rPr>
          <w:rFonts w:hint="eastAsia" w:ascii="宋体" w:hAnsi="宋体"/>
          <w:color w:val="auto"/>
          <w:sz w:val="27"/>
          <w:szCs w:val="27"/>
          <w:highlight w:val="none"/>
        </w:rPr>
        <w:t>建设工程廉政责任书</w:t>
      </w:r>
    </w:p>
    <w:p w14:paraId="2EDD531B">
      <w:pPr>
        <w:spacing w:line="500" w:lineRule="exact"/>
        <w:ind w:firstLine="420" w:firstLineChars="200"/>
        <w:rPr>
          <w:rFonts w:ascii="宋体" w:hAnsi="宋体"/>
          <w:color w:val="auto"/>
          <w:highlight w:val="none"/>
        </w:rPr>
      </w:pPr>
      <w:r>
        <w:rPr>
          <w:rFonts w:hint="eastAsia" w:ascii="宋体" w:hAnsi="宋体"/>
          <w:color w:val="auto"/>
          <w:highlight w:val="none"/>
        </w:rPr>
        <w:t>工程项目名称：</w:t>
      </w:r>
    </w:p>
    <w:p w14:paraId="2AFB4D36">
      <w:pPr>
        <w:spacing w:line="500" w:lineRule="exact"/>
        <w:ind w:firstLine="420" w:firstLineChars="200"/>
        <w:rPr>
          <w:rFonts w:ascii="宋体" w:hAnsi="宋体"/>
          <w:color w:val="auto"/>
          <w:highlight w:val="none"/>
        </w:rPr>
      </w:pPr>
      <w:r>
        <w:rPr>
          <w:rFonts w:hint="eastAsia" w:ascii="宋体" w:hAnsi="宋体"/>
          <w:color w:val="auto"/>
          <w:highlight w:val="none"/>
        </w:rPr>
        <w:t>工程项目地址：</w:t>
      </w:r>
    </w:p>
    <w:p w14:paraId="4F1B1946">
      <w:pPr>
        <w:spacing w:line="400" w:lineRule="exact"/>
        <w:ind w:firstLine="420" w:firstLineChars="200"/>
        <w:rPr>
          <w:rFonts w:ascii="宋体" w:hAnsi="宋体"/>
          <w:color w:val="auto"/>
          <w:highlight w:val="none"/>
        </w:rPr>
      </w:pPr>
      <w:r>
        <w:rPr>
          <w:rFonts w:hint="eastAsia" w:ascii="宋体" w:hAnsi="宋体"/>
          <w:color w:val="auto"/>
          <w:highlight w:val="none"/>
        </w:rPr>
        <w:t xml:space="preserve">发包人：                                               </w:t>
      </w:r>
    </w:p>
    <w:p w14:paraId="1BBA57A8">
      <w:pPr>
        <w:spacing w:line="400" w:lineRule="exact"/>
        <w:ind w:firstLine="420" w:firstLineChars="200"/>
        <w:rPr>
          <w:rFonts w:ascii="宋体" w:hAnsi="宋体"/>
          <w:color w:val="auto"/>
          <w:highlight w:val="none"/>
        </w:rPr>
      </w:pPr>
      <w:r>
        <w:rPr>
          <w:rFonts w:hint="eastAsia" w:ascii="宋体" w:hAnsi="宋体"/>
          <w:color w:val="auto"/>
          <w:highlight w:val="none"/>
        </w:rPr>
        <w:t xml:space="preserve">承包人：                                               </w:t>
      </w:r>
    </w:p>
    <w:p w14:paraId="73616AD8">
      <w:pPr>
        <w:spacing w:line="400" w:lineRule="exact"/>
        <w:ind w:firstLine="420" w:firstLineChars="200"/>
        <w:rPr>
          <w:rFonts w:ascii="宋体" w:hAnsi="宋体"/>
          <w:color w:val="auto"/>
          <w:highlight w:val="none"/>
        </w:rPr>
      </w:pPr>
      <w:r>
        <w:rPr>
          <w:rFonts w:hint="eastAsia" w:ascii="宋体" w:hAnsi="宋体"/>
          <w:color w:val="auto"/>
          <w:highlight w:val="none"/>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622F3FB2">
      <w:pPr>
        <w:spacing w:line="400" w:lineRule="exact"/>
        <w:ind w:firstLine="420" w:firstLineChars="200"/>
        <w:rPr>
          <w:rFonts w:ascii="宋体" w:hAnsi="宋体"/>
          <w:color w:val="auto"/>
          <w:highlight w:val="none"/>
        </w:rPr>
      </w:pPr>
      <w:r>
        <w:rPr>
          <w:rFonts w:hint="eastAsia" w:ascii="宋体" w:hAnsi="宋体"/>
          <w:color w:val="auto"/>
          <w:highlight w:val="none"/>
        </w:rPr>
        <w:t>一、双方的责任</w:t>
      </w:r>
    </w:p>
    <w:p w14:paraId="140D2BEE">
      <w:pPr>
        <w:spacing w:line="400" w:lineRule="exact"/>
        <w:ind w:firstLine="420" w:firstLineChars="200"/>
        <w:rPr>
          <w:rFonts w:ascii="宋体" w:hAnsi="宋体"/>
          <w:color w:val="auto"/>
          <w:highlight w:val="none"/>
        </w:rPr>
      </w:pPr>
      <w:r>
        <w:rPr>
          <w:rFonts w:hint="eastAsia" w:ascii="宋体" w:hAnsi="宋体"/>
          <w:color w:val="auto"/>
          <w:highlight w:val="none"/>
        </w:rPr>
        <w:t>1.1应严格遵守国家关于建设工程的有关法律、法规，相关政策，以及廉政建设的各项规定。</w:t>
      </w:r>
    </w:p>
    <w:p w14:paraId="49F547E1">
      <w:pPr>
        <w:spacing w:line="400" w:lineRule="exact"/>
        <w:ind w:firstLine="420" w:firstLineChars="200"/>
        <w:rPr>
          <w:rFonts w:ascii="宋体" w:hAnsi="宋体"/>
          <w:color w:val="auto"/>
          <w:highlight w:val="none"/>
        </w:rPr>
      </w:pPr>
      <w:r>
        <w:rPr>
          <w:rFonts w:hint="eastAsia" w:ascii="宋体" w:hAnsi="宋体"/>
          <w:color w:val="auto"/>
          <w:highlight w:val="none"/>
        </w:rPr>
        <w:t>1.2严格执行建设工程合同文件，自觉按合同办事。</w:t>
      </w:r>
    </w:p>
    <w:p w14:paraId="76A00997">
      <w:pPr>
        <w:spacing w:line="400" w:lineRule="exact"/>
        <w:ind w:firstLine="420" w:firstLineChars="200"/>
        <w:rPr>
          <w:rFonts w:ascii="宋体" w:hAnsi="宋体"/>
          <w:color w:val="auto"/>
          <w:highlight w:val="none"/>
        </w:rPr>
      </w:pPr>
      <w:r>
        <w:rPr>
          <w:rFonts w:hint="eastAsia" w:ascii="宋体" w:hAnsi="宋体"/>
          <w:color w:val="auto"/>
          <w:highlight w:val="none"/>
        </w:rPr>
        <w:t>1.3各项活动必须坚持公开、公平、公正、诚信、透明的原则（除法律法规另有规定者外），不得为获取不正当的利益，损害国家、集体和对方利益，不得违反建设工程管理的规章制度。</w:t>
      </w:r>
    </w:p>
    <w:p w14:paraId="6B57963D">
      <w:pPr>
        <w:spacing w:line="400" w:lineRule="exact"/>
        <w:ind w:firstLine="420" w:firstLineChars="200"/>
        <w:rPr>
          <w:rFonts w:ascii="宋体" w:hAnsi="宋体"/>
          <w:color w:val="auto"/>
          <w:highlight w:val="none"/>
        </w:rPr>
      </w:pPr>
      <w:r>
        <w:rPr>
          <w:rFonts w:hint="eastAsia" w:ascii="宋体" w:hAnsi="宋体"/>
          <w:color w:val="auto"/>
          <w:highlight w:val="none"/>
        </w:rPr>
        <w:t>1.4发现对方在业务活动中有违规、违纪、违法行为的，应及时提醒对方，情节严重的，应向其上级主管部门或纪检监察、司法等有关机关举报。</w:t>
      </w:r>
    </w:p>
    <w:p w14:paraId="58F98E30">
      <w:pPr>
        <w:spacing w:line="400" w:lineRule="exact"/>
        <w:ind w:firstLine="420" w:firstLineChars="200"/>
        <w:rPr>
          <w:rFonts w:ascii="宋体" w:hAnsi="宋体"/>
          <w:color w:val="auto"/>
          <w:highlight w:val="none"/>
        </w:rPr>
      </w:pPr>
      <w:r>
        <w:rPr>
          <w:rFonts w:hint="eastAsia" w:ascii="宋体" w:hAnsi="宋体"/>
          <w:color w:val="auto"/>
          <w:highlight w:val="none"/>
        </w:rPr>
        <w:t>二、发包人责任</w:t>
      </w:r>
    </w:p>
    <w:p w14:paraId="025D6B55">
      <w:pPr>
        <w:spacing w:line="400" w:lineRule="exact"/>
        <w:ind w:firstLine="420" w:firstLineChars="200"/>
        <w:rPr>
          <w:rFonts w:ascii="宋体" w:hAnsi="宋体"/>
          <w:color w:val="auto"/>
          <w:highlight w:val="none"/>
        </w:rPr>
      </w:pPr>
      <w:r>
        <w:rPr>
          <w:rFonts w:hint="eastAsia" w:ascii="宋体" w:hAnsi="宋体"/>
          <w:color w:val="auto"/>
          <w:highlight w:val="none"/>
        </w:rPr>
        <w:t>发包人的领导和从事该建设工程项目的工作人员，在工程建设的事前、事中、事后应遵守以下规定：</w:t>
      </w:r>
    </w:p>
    <w:p w14:paraId="052AF4E0">
      <w:pPr>
        <w:spacing w:line="400" w:lineRule="exact"/>
        <w:ind w:firstLine="420" w:firstLineChars="200"/>
        <w:rPr>
          <w:rFonts w:ascii="宋体" w:hAnsi="宋体"/>
          <w:color w:val="auto"/>
          <w:highlight w:val="none"/>
        </w:rPr>
      </w:pPr>
      <w:r>
        <w:rPr>
          <w:rFonts w:hint="eastAsia" w:ascii="宋体" w:hAnsi="宋体"/>
          <w:color w:val="auto"/>
          <w:highlight w:val="none"/>
        </w:rPr>
        <w:t>2.1不得向承包人和相关单位索要或接受回扣、礼金、有价证券、贵重物品和好处费、感谢费等。</w:t>
      </w:r>
    </w:p>
    <w:p w14:paraId="30241E24">
      <w:pPr>
        <w:spacing w:line="400" w:lineRule="exact"/>
        <w:ind w:firstLine="420" w:firstLineChars="200"/>
        <w:rPr>
          <w:rFonts w:ascii="宋体" w:hAnsi="宋体"/>
          <w:color w:val="auto"/>
          <w:highlight w:val="none"/>
        </w:rPr>
      </w:pPr>
      <w:r>
        <w:rPr>
          <w:rFonts w:hint="eastAsia" w:ascii="宋体" w:hAnsi="宋体"/>
          <w:color w:val="auto"/>
          <w:highlight w:val="none"/>
        </w:rPr>
        <w:t>2.2不得在承包人和相关单位报销任何应由发包人或个人支付的费用。</w:t>
      </w:r>
    </w:p>
    <w:p w14:paraId="62D3AB94">
      <w:pPr>
        <w:spacing w:line="400" w:lineRule="exact"/>
        <w:ind w:firstLine="420" w:firstLineChars="200"/>
        <w:rPr>
          <w:rFonts w:ascii="宋体" w:hAnsi="宋体"/>
          <w:color w:val="auto"/>
          <w:highlight w:val="none"/>
        </w:rPr>
      </w:pPr>
      <w:r>
        <w:rPr>
          <w:rFonts w:hint="eastAsia" w:ascii="宋体" w:hAnsi="宋体"/>
          <w:color w:val="auto"/>
          <w:highlight w:val="none"/>
        </w:rPr>
        <w:t>2.3不得要求、暗示或接受承包人和相关单位为个人装修住房、婚丧嫁娶、配偶子女的工作安排以及出国（境）、旅游等提供方便。</w:t>
      </w:r>
    </w:p>
    <w:p w14:paraId="48EF724B">
      <w:pPr>
        <w:spacing w:line="400" w:lineRule="exact"/>
        <w:ind w:firstLine="420" w:firstLineChars="200"/>
        <w:rPr>
          <w:rFonts w:ascii="宋体" w:hAnsi="宋体"/>
          <w:color w:val="auto"/>
          <w:highlight w:val="none"/>
        </w:rPr>
      </w:pPr>
      <w:r>
        <w:rPr>
          <w:rFonts w:hint="eastAsia" w:ascii="宋体" w:hAnsi="宋体"/>
          <w:color w:val="auto"/>
          <w:highlight w:val="none"/>
        </w:rPr>
        <w:t>2.4不得参加有可能影响公正执行公务的承包人和相关单位的宴请、健身、娱乐等活动。</w:t>
      </w:r>
    </w:p>
    <w:p w14:paraId="625A7FE9">
      <w:pPr>
        <w:spacing w:line="400" w:lineRule="exact"/>
        <w:ind w:firstLine="420" w:firstLineChars="200"/>
        <w:rPr>
          <w:rFonts w:ascii="宋体" w:hAnsi="宋体"/>
          <w:color w:val="auto"/>
          <w:highlight w:val="none"/>
        </w:rPr>
      </w:pPr>
      <w:r>
        <w:rPr>
          <w:rFonts w:hint="eastAsia" w:ascii="宋体" w:hAnsi="宋体"/>
          <w:color w:val="auto"/>
          <w:highlight w:val="none"/>
        </w:rPr>
        <w:t>2.5不得向承包人和相关单位介绍或为配偶、子女、亲属参与同发包人工程建设管理合同有关的业务活动；不得以任何理由要求承包人和相关单位使用某种产品、材料和设备。</w:t>
      </w:r>
    </w:p>
    <w:p w14:paraId="06E3D90B">
      <w:pPr>
        <w:spacing w:line="400" w:lineRule="exact"/>
        <w:ind w:firstLine="420" w:firstLineChars="200"/>
        <w:rPr>
          <w:rFonts w:ascii="宋体" w:hAnsi="宋体"/>
          <w:color w:val="auto"/>
          <w:highlight w:val="none"/>
        </w:rPr>
      </w:pPr>
      <w:r>
        <w:rPr>
          <w:rFonts w:hint="eastAsia" w:ascii="宋体" w:hAnsi="宋体"/>
          <w:color w:val="auto"/>
          <w:highlight w:val="none"/>
        </w:rPr>
        <w:t>三、承包人责任</w:t>
      </w:r>
    </w:p>
    <w:p w14:paraId="1051CE88">
      <w:pPr>
        <w:spacing w:line="400" w:lineRule="exact"/>
        <w:ind w:firstLine="420" w:firstLineChars="200"/>
        <w:rPr>
          <w:rFonts w:ascii="宋体" w:hAnsi="宋体"/>
          <w:color w:val="auto"/>
          <w:highlight w:val="none"/>
        </w:rPr>
      </w:pPr>
      <w:r>
        <w:rPr>
          <w:rFonts w:hint="eastAsia" w:ascii="宋体" w:hAnsi="宋体"/>
          <w:color w:val="auto"/>
          <w:highlight w:val="none"/>
        </w:rPr>
        <w:t>应与发包人保持正常的业务交往，按照有关法律法规和程序开展业务工作，严格执行工程建设的有关方针、政策，执行工程建设强制性标准，并遵守以下规定：</w:t>
      </w:r>
    </w:p>
    <w:p w14:paraId="6D1405D1">
      <w:pPr>
        <w:spacing w:line="400" w:lineRule="exact"/>
        <w:ind w:firstLine="420" w:firstLineChars="200"/>
        <w:rPr>
          <w:rFonts w:ascii="宋体" w:hAnsi="宋体"/>
          <w:color w:val="auto"/>
          <w:highlight w:val="none"/>
        </w:rPr>
      </w:pPr>
      <w:r>
        <w:rPr>
          <w:rFonts w:hint="eastAsia" w:ascii="宋体" w:hAnsi="宋体"/>
          <w:color w:val="auto"/>
          <w:highlight w:val="none"/>
        </w:rPr>
        <w:t>3.1不得以任何理由向发包人及其工作人员索要、接受或赠送礼金、有价证券、贵重物品及回扣、好处费、感谢费等。</w:t>
      </w:r>
    </w:p>
    <w:p w14:paraId="1C3EDEE0">
      <w:pPr>
        <w:spacing w:line="400" w:lineRule="exact"/>
        <w:ind w:firstLine="420" w:firstLineChars="200"/>
        <w:rPr>
          <w:rFonts w:ascii="宋体" w:hAnsi="宋体"/>
          <w:color w:val="auto"/>
          <w:highlight w:val="none"/>
        </w:rPr>
      </w:pPr>
      <w:r>
        <w:rPr>
          <w:rFonts w:hint="eastAsia" w:ascii="宋体" w:hAnsi="宋体"/>
          <w:color w:val="auto"/>
          <w:highlight w:val="none"/>
        </w:rPr>
        <w:t>3.2不得以任何理由为发包人和相关单位报销应由对方或个人支付的费用。</w:t>
      </w:r>
    </w:p>
    <w:p w14:paraId="70198F2A">
      <w:pPr>
        <w:spacing w:line="400" w:lineRule="exact"/>
        <w:ind w:firstLine="420" w:firstLineChars="200"/>
        <w:rPr>
          <w:rFonts w:ascii="宋体" w:hAnsi="宋体"/>
          <w:color w:val="auto"/>
          <w:highlight w:val="none"/>
        </w:rPr>
      </w:pPr>
      <w:r>
        <w:rPr>
          <w:rFonts w:hint="eastAsia" w:ascii="宋体" w:hAnsi="宋体"/>
          <w:color w:val="auto"/>
          <w:highlight w:val="none"/>
        </w:rPr>
        <w:t>3.3不得接受或暗示为发包人、相关单位或个人装修住房、婚丧嫁娶、配偶子女的工作安排以及出国（境）、旅游等提供方便。</w:t>
      </w:r>
    </w:p>
    <w:p w14:paraId="09D71B9E">
      <w:pPr>
        <w:spacing w:line="400" w:lineRule="exact"/>
        <w:ind w:firstLine="420" w:firstLineChars="200"/>
        <w:rPr>
          <w:rFonts w:ascii="宋体" w:hAnsi="宋体"/>
          <w:color w:val="auto"/>
          <w:highlight w:val="none"/>
        </w:rPr>
      </w:pPr>
      <w:r>
        <w:rPr>
          <w:rFonts w:hint="eastAsia" w:ascii="宋体" w:hAnsi="宋体"/>
          <w:color w:val="auto"/>
          <w:highlight w:val="none"/>
        </w:rPr>
        <w:t>3.4不得以任何理由为发包人、相关单位或个人组织有可能影响公正执行公务的宴请、健身、娱乐等活动。</w:t>
      </w:r>
    </w:p>
    <w:p w14:paraId="116CE135">
      <w:pPr>
        <w:spacing w:line="400" w:lineRule="exact"/>
        <w:ind w:firstLine="420" w:firstLineChars="200"/>
        <w:rPr>
          <w:rFonts w:ascii="宋体" w:hAnsi="宋体"/>
          <w:color w:val="auto"/>
          <w:highlight w:val="none"/>
        </w:rPr>
      </w:pPr>
      <w:r>
        <w:rPr>
          <w:rFonts w:hint="eastAsia" w:ascii="宋体" w:hAnsi="宋体"/>
          <w:color w:val="auto"/>
          <w:highlight w:val="none"/>
        </w:rPr>
        <w:t>四、违约责任</w:t>
      </w:r>
    </w:p>
    <w:p w14:paraId="1023D1FD">
      <w:pPr>
        <w:spacing w:line="400" w:lineRule="exact"/>
        <w:ind w:firstLine="420" w:firstLineChars="200"/>
        <w:rPr>
          <w:rFonts w:ascii="宋体" w:hAnsi="宋体"/>
          <w:color w:val="auto"/>
          <w:highlight w:val="none"/>
        </w:rPr>
      </w:pPr>
      <w:r>
        <w:rPr>
          <w:rFonts w:hint="eastAsia" w:ascii="宋体" w:hAnsi="宋体"/>
          <w:color w:val="auto"/>
          <w:highlight w:val="none"/>
        </w:rPr>
        <w:t>4.1发包人工作人员有违反本责任书第一、二条责任行为的，依据有关法律、法规给予处理；涉嫌犯罪的，移交司法机关追究刑事责任；给承包人单位造成经济损失的，应予以赔偿。</w:t>
      </w:r>
    </w:p>
    <w:p w14:paraId="2E70362F">
      <w:pPr>
        <w:spacing w:line="400" w:lineRule="exact"/>
        <w:ind w:firstLine="420" w:firstLineChars="200"/>
        <w:rPr>
          <w:rFonts w:ascii="宋体" w:hAnsi="宋体"/>
          <w:color w:val="auto"/>
          <w:highlight w:val="none"/>
        </w:rPr>
      </w:pPr>
      <w:r>
        <w:rPr>
          <w:rFonts w:hint="eastAsia" w:ascii="宋体" w:hAnsi="宋体"/>
          <w:color w:val="auto"/>
          <w:highlight w:val="none"/>
        </w:rPr>
        <w:t>4.2承包人工作人员有违反本责任书第一、三条责任行为的，依据有关法律法规处理；涉嫌犯罪的，移交司法机关追究刑事责任；给发包人单位造成经济损失的，应予以赔偿。</w:t>
      </w:r>
    </w:p>
    <w:p w14:paraId="5A8981FA">
      <w:pPr>
        <w:spacing w:line="400" w:lineRule="exact"/>
        <w:ind w:firstLine="420" w:firstLineChars="200"/>
        <w:rPr>
          <w:rFonts w:ascii="宋体" w:hAnsi="宋体"/>
          <w:color w:val="auto"/>
          <w:highlight w:val="none"/>
        </w:rPr>
      </w:pPr>
      <w:r>
        <w:rPr>
          <w:rFonts w:hint="eastAsia" w:ascii="宋体" w:hAnsi="宋体"/>
          <w:color w:val="auto"/>
          <w:highlight w:val="none"/>
        </w:rPr>
        <w:t>4.3本责任书作为建设工程合同的组成部分，与建设工程合同具有同等法律效力。经双方签署后立即生效。</w:t>
      </w:r>
    </w:p>
    <w:p w14:paraId="6DAF5CDF">
      <w:pPr>
        <w:spacing w:line="400" w:lineRule="exact"/>
        <w:ind w:firstLine="420" w:firstLineChars="200"/>
        <w:rPr>
          <w:rFonts w:ascii="宋体" w:hAnsi="宋体"/>
          <w:color w:val="auto"/>
          <w:highlight w:val="none"/>
        </w:rPr>
      </w:pPr>
      <w:r>
        <w:rPr>
          <w:rFonts w:hint="eastAsia" w:ascii="宋体" w:hAnsi="宋体"/>
          <w:color w:val="auto"/>
          <w:highlight w:val="none"/>
        </w:rPr>
        <w:t>五、责任书有效期</w:t>
      </w:r>
    </w:p>
    <w:p w14:paraId="50117495">
      <w:pPr>
        <w:spacing w:line="400" w:lineRule="exact"/>
        <w:ind w:firstLine="420" w:firstLineChars="200"/>
        <w:rPr>
          <w:rFonts w:ascii="宋体" w:hAnsi="宋体"/>
          <w:color w:val="auto"/>
          <w:highlight w:val="none"/>
        </w:rPr>
      </w:pPr>
      <w:r>
        <w:rPr>
          <w:rFonts w:hint="eastAsia" w:ascii="宋体" w:hAnsi="宋体"/>
          <w:color w:val="auto"/>
          <w:highlight w:val="none"/>
        </w:rPr>
        <w:t>本责任书的有效期为双方签署之日起至该工程项目竣工验收合格时止。</w:t>
      </w:r>
    </w:p>
    <w:p w14:paraId="1EE7EFAD">
      <w:pPr>
        <w:spacing w:line="400" w:lineRule="exact"/>
        <w:ind w:firstLine="420" w:firstLineChars="200"/>
        <w:rPr>
          <w:rFonts w:ascii="宋体" w:hAnsi="宋体"/>
          <w:color w:val="auto"/>
          <w:highlight w:val="none"/>
        </w:rPr>
      </w:pPr>
      <w:r>
        <w:rPr>
          <w:rFonts w:hint="eastAsia" w:ascii="宋体" w:hAnsi="宋体"/>
          <w:color w:val="auto"/>
          <w:highlight w:val="none"/>
        </w:rPr>
        <w:t>六、责任书份数</w:t>
      </w:r>
    </w:p>
    <w:p w14:paraId="677E877F">
      <w:pPr>
        <w:spacing w:line="400" w:lineRule="exact"/>
        <w:ind w:firstLine="420" w:firstLineChars="200"/>
        <w:rPr>
          <w:rFonts w:ascii="宋体" w:hAnsi="宋体"/>
          <w:color w:val="auto"/>
          <w:highlight w:val="none"/>
        </w:rPr>
      </w:pPr>
      <w:r>
        <w:rPr>
          <w:rFonts w:hint="eastAsia" w:ascii="宋体" w:hAnsi="宋体"/>
          <w:color w:val="auto"/>
          <w:highlight w:val="none"/>
        </w:rPr>
        <w:t>本责任书一式二份，发包人承包人各执一份，具有同等效力。</w:t>
      </w:r>
    </w:p>
    <w:p w14:paraId="53594E20">
      <w:pPr>
        <w:spacing w:line="400" w:lineRule="exact"/>
        <w:ind w:firstLine="420" w:firstLineChars="200"/>
        <w:rPr>
          <w:rFonts w:ascii="宋体" w:hAnsi="宋体"/>
          <w:color w:val="auto"/>
          <w:highlight w:val="none"/>
        </w:rPr>
      </w:pPr>
    </w:p>
    <w:p w14:paraId="542BADC5">
      <w:pPr>
        <w:spacing w:line="400" w:lineRule="exact"/>
        <w:ind w:firstLine="420" w:firstLineChars="200"/>
        <w:rPr>
          <w:rFonts w:ascii="宋体" w:hAnsi="宋体"/>
          <w:color w:val="auto"/>
          <w:highlight w:val="none"/>
        </w:rPr>
      </w:pPr>
      <w:r>
        <w:rPr>
          <w:rFonts w:hint="eastAsia" w:ascii="宋体" w:hAnsi="宋体"/>
          <w:color w:val="auto"/>
          <w:highlight w:val="none"/>
        </w:rPr>
        <w:t xml:space="preserve">发包人（公章）：                       承包人（公章）：                 </w:t>
      </w:r>
    </w:p>
    <w:p w14:paraId="0ACB7530">
      <w:pPr>
        <w:spacing w:line="400" w:lineRule="exact"/>
        <w:ind w:firstLine="420" w:firstLineChars="200"/>
        <w:rPr>
          <w:rFonts w:ascii="宋体" w:hAnsi="宋体"/>
          <w:color w:val="auto"/>
          <w:highlight w:val="none"/>
        </w:rPr>
      </w:pPr>
      <w:r>
        <w:rPr>
          <w:rFonts w:hint="eastAsia" w:ascii="宋体" w:hAnsi="宋体"/>
          <w:color w:val="auto"/>
          <w:highlight w:val="none"/>
        </w:rPr>
        <w:t>法定代表人或其                        法定代表人或其</w:t>
      </w:r>
    </w:p>
    <w:p w14:paraId="297D6280">
      <w:pPr>
        <w:spacing w:line="400" w:lineRule="exact"/>
        <w:ind w:firstLine="420" w:firstLineChars="200"/>
        <w:rPr>
          <w:rFonts w:ascii="宋体" w:hAnsi="宋体"/>
          <w:color w:val="auto"/>
          <w:highlight w:val="none"/>
        </w:rPr>
      </w:pPr>
      <w:r>
        <w:rPr>
          <w:rFonts w:hint="eastAsia" w:ascii="宋体" w:hAnsi="宋体"/>
          <w:color w:val="auto"/>
          <w:highlight w:val="none"/>
        </w:rPr>
        <w:t xml:space="preserve">委托代理人 （签字）：                  委托代理人（签字）：             </w:t>
      </w:r>
    </w:p>
    <w:p w14:paraId="2A55FF40">
      <w:pPr>
        <w:spacing w:line="500" w:lineRule="exact"/>
        <w:ind w:firstLine="420" w:firstLineChars="200"/>
        <w:jc w:val="center"/>
        <w:rPr>
          <w:rFonts w:ascii="宋体" w:hAnsi="宋体"/>
          <w:color w:val="auto"/>
          <w:highlight w:val="none"/>
        </w:rPr>
      </w:pPr>
      <w:r>
        <w:rPr>
          <w:rFonts w:hint="eastAsia" w:ascii="宋体" w:hAnsi="宋体"/>
          <w:color w:val="auto"/>
          <w:highlight w:val="none"/>
        </w:rPr>
        <w:t>年   月   日</w:t>
      </w:r>
    </w:p>
    <w:p w14:paraId="30B1333C">
      <w:pPr>
        <w:rPr>
          <w:rFonts w:ascii="宋体" w:hAnsi="宋体"/>
          <w:b/>
          <w:color w:val="auto"/>
          <w:highlight w:val="none"/>
        </w:rPr>
      </w:pPr>
    </w:p>
    <w:p w14:paraId="0F4B5A82">
      <w:pPr>
        <w:rPr>
          <w:rFonts w:ascii="宋体" w:hAnsi="宋体"/>
          <w:b/>
          <w:color w:val="auto"/>
          <w:highlight w:val="none"/>
        </w:rPr>
      </w:pPr>
    </w:p>
    <w:p w14:paraId="1B36547C">
      <w:pPr>
        <w:rPr>
          <w:rFonts w:ascii="宋体" w:hAnsi="宋体"/>
          <w:b/>
          <w:color w:val="auto"/>
          <w:highlight w:val="none"/>
        </w:rPr>
      </w:pPr>
    </w:p>
    <w:p w14:paraId="570396C0">
      <w:pPr>
        <w:rPr>
          <w:rFonts w:ascii="宋体" w:hAnsi="宋体"/>
          <w:b/>
          <w:color w:val="auto"/>
          <w:highlight w:val="none"/>
        </w:rPr>
      </w:pPr>
    </w:p>
    <w:p w14:paraId="20ABF44B">
      <w:pPr>
        <w:rPr>
          <w:rFonts w:ascii="宋体" w:hAnsi="宋体"/>
          <w:b/>
          <w:color w:val="auto"/>
          <w:highlight w:val="none"/>
        </w:rPr>
      </w:pPr>
    </w:p>
    <w:p w14:paraId="2E4805B2">
      <w:pPr>
        <w:rPr>
          <w:rFonts w:ascii="宋体" w:hAnsi="宋体"/>
          <w:b/>
          <w:color w:val="auto"/>
          <w:highlight w:val="none"/>
        </w:rPr>
      </w:pPr>
    </w:p>
    <w:p w14:paraId="759C919F">
      <w:pPr>
        <w:rPr>
          <w:rFonts w:ascii="宋体" w:hAnsi="宋体"/>
          <w:b/>
          <w:color w:val="auto"/>
          <w:highlight w:val="none"/>
        </w:rPr>
      </w:pPr>
    </w:p>
    <w:p w14:paraId="52C66170">
      <w:pPr>
        <w:rPr>
          <w:rFonts w:ascii="宋体" w:hAnsi="宋体"/>
          <w:b/>
          <w:color w:val="auto"/>
          <w:highlight w:val="none"/>
        </w:rPr>
      </w:pPr>
    </w:p>
    <w:p w14:paraId="57527017">
      <w:pPr>
        <w:rPr>
          <w:rFonts w:ascii="宋体" w:hAnsi="宋体"/>
          <w:b/>
          <w:color w:val="auto"/>
          <w:highlight w:val="none"/>
        </w:rPr>
      </w:pPr>
    </w:p>
    <w:p w14:paraId="3EBBE070">
      <w:pPr>
        <w:rPr>
          <w:rFonts w:ascii="宋体" w:hAnsi="宋体"/>
          <w:b/>
          <w:color w:val="auto"/>
          <w:highlight w:val="none"/>
        </w:rPr>
      </w:pPr>
    </w:p>
    <w:p w14:paraId="42DA8445">
      <w:pPr>
        <w:rPr>
          <w:rFonts w:ascii="宋体" w:hAnsi="宋体"/>
          <w:b/>
          <w:color w:val="auto"/>
          <w:highlight w:val="none"/>
        </w:rPr>
      </w:pPr>
    </w:p>
    <w:p w14:paraId="70FDEB9D">
      <w:pPr>
        <w:rPr>
          <w:rFonts w:ascii="宋体" w:hAnsi="宋体"/>
          <w:b/>
          <w:color w:val="auto"/>
          <w:highlight w:val="none"/>
        </w:rPr>
      </w:pPr>
    </w:p>
    <w:p w14:paraId="62E6E547">
      <w:pPr>
        <w:rPr>
          <w:rFonts w:ascii="宋体" w:hAnsi="宋体"/>
          <w:b/>
          <w:color w:val="auto"/>
          <w:highlight w:val="none"/>
        </w:rPr>
      </w:pPr>
    </w:p>
    <w:p w14:paraId="7798A87D">
      <w:pPr>
        <w:rPr>
          <w:rFonts w:ascii="宋体" w:hAnsi="宋体"/>
          <w:b/>
          <w:color w:val="auto"/>
          <w:highlight w:val="none"/>
        </w:rPr>
      </w:pPr>
    </w:p>
    <w:p w14:paraId="3AAB51E2">
      <w:pPr>
        <w:rPr>
          <w:rFonts w:ascii="宋体" w:hAnsi="宋体"/>
          <w:b/>
          <w:color w:val="auto"/>
          <w:highlight w:val="none"/>
        </w:rPr>
      </w:pPr>
    </w:p>
    <w:p w14:paraId="2092F85E">
      <w:pPr>
        <w:keepNext/>
        <w:keepLines/>
        <w:spacing w:line="400" w:lineRule="exact"/>
        <w:jc w:val="left"/>
        <w:outlineLvl w:val="2"/>
        <w:rPr>
          <w:rFonts w:ascii="宋体" w:hAnsi="宋体" w:cs="宋体"/>
          <w:color w:val="auto"/>
          <w:kern w:val="0"/>
          <w:sz w:val="24"/>
          <w:szCs w:val="20"/>
          <w:highlight w:val="none"/>
        </w:rPr>
      </w:pPr>
      <w:bookmarkStart w:id="983" w:name="_Toc115180046"/>
      <w:r>
        <w:rPr>
          <w:rFonts w:hint="eastAsia" w:ascii="宋体" w:hAnsi="宋体" w:cs="宋体"/>
          <w:color w:val="auto"/>
          <w:kern w:val="0"/>
          <w:sz w:val="24"/>
          <w:szCs w:val="20"/>
          <w:highlight w:val="none"/>
        </w:rPr>
        <w:t>附件三：工程质量保修书（格式）</w:t>
      </w:r>
      <w:bookmarkEnd w:id="983"/>
    </w:p>
    <w:p w14:paraId="2273833B">
      <w:pPr>
        <w:rPr>
          <w:rFonts w:ascii="宋体" w:hAnsi="宋体"/>
          <w:b/>
          <w:color w:val="auto"/>
          <w:highlight w:val="none"/>
        </w:rPr>
      </w:pPr>
    </w:p>
    <w:p w14:paraId="33FF9850">
      <w:pPr>
        <w:spacing w:line="400" w:lineRule="exact"/>
        <w:jc w:val="center"/>
        <w:rPr>
          <w:rFonts w:ascii="宋体" w:hAnsi="宋体"/>
          <w:color w:val="auto"/>
          <w:sz w:val="27"/>
          <w:szCs w:val="27"/>
          <w:highlight w:val="none"/>
        </w:rPr>
      </w:pPr>
      <w:r>
        <w:rPr>
          <w:rFonts w:hint="eastAsia" w:ascii="宋体" w:hAnsi="宋体"/>
          <w:color w:val="auto"/>
          <w:sz w:val="27"/>
          <w:szCs w:val="27"/>
          <w:highlight w:val="none"/>
        </w:rPr>
        <w:t>工程质量保修书</w:t>
      </w:r>
    </w:p>
    <w:p w14:paraId="57B723D6">
      <w:pPr>
        <w:spacing w:line="400" w:lineRule="exact"/>
        <w:rPr>
          <w:rFonts w:ascii="宋体" w:hAnsi="宋体"/>
          <w:color w:val="auto"/>
          <w:szCs w:val="21"/>
          <w:highlight w:val="none"/>
        </w:rPr>
      </w:pPr>
      <w:r>
        <w:rPr>
          <w:rFonts w:hint="eastAsia" w:ascii="宋体" w:hAnsi="宋体"/>
          <w:color w:val="auto"/>
          <w:szCs w:val="21"/>
          <w:highlight w:val="none"/>
        </w:rPr>
        <w:t xml:space="preserve">发包人（全称）：                </w:t>
      </w:r>
    </w:p>
    <w:p w14:paraId="7582A4AB">
      <w:pPr>
        <w:spacing w:line="400" w:lineRule="exact"/>
        <w:rPr>
          <w:rFonts w:ascii="宋体" w:hAnsi="宋体"/>
          <w:color w:val="auto"/>
          <w:szCs w:val="21"/>
          <w:highlight w:val="none"/>
        </w:rPr>
      </w:pPr>
      <w:r>
        <w:rPr>
          <w:rFonts w:hint="eastAsia" w:ascii="宋体" w:hAnsi="宋体"/>
          <w:color w:val="auto"/>
          <w:szCs w:val="21"/>
          <w:highlight w:val="none"/>
        </w:rPr>
        <w:t xml:space="preserve">承包人（全称）：                </w:t>
      </w:r>
    </w:p>
    <w:p w14:paraId="4C94EC77">
      <w:pPr>
        <w:spacing w:before="156" w:beforeLines="50" w:line="400" w:lineRule="exact"/>
        <w:rPr>
          <w:rFonts w:ascii="宋体" w:hAnsi="宋体"/>
          <w:color w:val="auto"/>
          <w:szCs w:val="21"/>
          <w:highlight w:val="none"/>
        </w:rPr>
      </w:pPr>
      <w:r>
        <w:rPr>
          <w:rFonts w:hint="eastAsia" w:ascii="宋体" w:hAnsi="宋体"/>
          <w:color w:val="auto"/>
          <w:szCs w:val="21"/>
          <w:highlight w:val="none"/>
        </w:rPr>
        <w:t>　　为保证</w:t>
      </w:r>
      <w:r>
        <w:rPr>
          <w:rFonts w:hint="eastAsia" w:ascii="宋体" w:hAnsi="宋体"/>
          <w:color w:val="auto"/>
          <w:highlight w:val="none"/>
          <w:u w:val="single"/>
        </w:rPr>
        <w:t>（工程名称）</w:t>
      </w:r>
      <w:r>
        <w:rPr>
          <w:rFonts w:hint="eastAsia" w:ascii="宋体" w:hAnsi="宋体"/>
          <w:color w:val="auto"/>
          <w:szCs w:val="21"/>
          <w:highlight w:val="none"/>
        </w:rPr>
        <w:t>在合理使用期限内正常使用，发包人、承包人协商一致签订工程质量保修书。承包人在质量保修期内按照有关管理规定及双方约定承担工程质量保修责任。</w:t>
      </w:r>
    </w:p>
    <w:p w14:paraId="298CC96A">
      <w:pPr>
        <w:rPr>
          <w:rFonts w:ascii="宋体" w:hAnsi="宋体"/>
          <w:color w:val="auto"/>
          <w:szCs w:val="21"/>
          <w:highlight w:val="none"/>
        </w:rPr>
      </w:pPr>
      <w:bookmarkStart w:id="984" w:name="_Toc483383048"/>
      <w:bookmarkStart w:id="985" w:name="_Toc24692"/>
      <w:bookmarkStart w:id="986" w:name="_Toc22376"/>
      <w:r>
        <w:rPr>
          <w:rFonts w:hint="eastAsia" w:ascii="宋体" w:hAnsi="宋体"/>
          <w:color w:val="auto"/>
          <w:szCs w:val="21"/>
          <w:highlight w:val="none"/>
        </w:rPr>
        <w:t>一、工程质量保修范围和内容</w:t>
      </w:r>
      <w:bookmarkEnd w:id="984"/>
      <w:bookmarkEnd w:id="985"/>
      <w:bookmarkEnd w:id="986"/>
    </w:p>
    <w:p w14:paraId="5D26FD47">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质量保修范围：具体保修的内容，双方约定如下：（即承包人施工的工程范围）。</w:t>
      </w:r>
    </w:p>
    <w:p w14:paraId="75A5750F">
      <w:pPr>
        <w:rPr>
          <w:rFonts w:ascii="宋体" w:hAnsi="宋体"/>
          <w:color w:val="auto"/>
          <w:szCs w:val="21"/>
          <w:highlight w:val="none"/>
        </w:rPr>
      </w:pPr>
      <w:bookmarkStart w:id="987" w:name="_Toc6528"/>
      <w:bookmarkStart w:id="988" w:name="_Toc483383049"/>
      <w:bookmarkStart w:id="989" w:name="_Toc1421"/>
      <w:r>
        <w:rPr>
          <w:rFonts w:hint="eastAsia" w:ascii="宋体" w:hAnsi="宋体"/>
          <w:color w:val="auto"/>
          <w:szCs w:val="21"/>
          <w:highlight w:val="none"/>
        </w:rPr>
        <w:t>二、质量保修期</w:t>
      </w:r>
      <w:bookmarkEnd w:id="987"/>
      <w:bookmarkEnd w:id="988"/>
      <w:bookmarkEnd w:id="989"/>
    </w:p>
    <w:p w14:paraId="6D1603D5">
      <w:pPr>
        <w:spacing w:line="400" w:lineRule="exact"/>
        <w:rPr>
          <w:rFonts w:ascii="宋体" w:hAnsi="宋体"/>
          <w:color w:val="auto"/>
          <w:szCs w:val="21"/>
          <w:highlight w:val="none"/>
        </w:rPr>
      </w:pPr>
      <w:r>
        <w:rPr>
          <w:rFonts w:hint="eastAsia" w:ascii="宋体" w:hAnsi="宋体"/>
          <w:color w:val="auto"/>
          <w:szCs w:val="21"/>
          <w:highlight w:val="none"/>
        </w:rPr>
        <w:t>　　质量保修期从工程实际竣工之日算起。分单项竣工验收的工程，按单项工程分别计算质量保修期。</w:t>
      </w:r>
    </w:p>
    <w:p w14:paraId="57B5D6A8">
      <w:pPr>
        <w:spacing w:line="400" w:lineRule="exact"/>
        <w:rPr>
          <w:rFonts w:ascii="宋体" w:hAnsi="宋体"/>
          <w:color w:val="auto"/>
          <w:szCs w:val="21"/>
          <w:highlight w:val="none"/>
        </w:rPr>
      </w:pPr>
      <w:r>
        <w:rPr>
          <w:rFonts w:hint="eastAsia" w:ascii="宋体" w:hAnsi="宋体"/>
          <w:color w:val="auto"/>
          <w:szCs w:val="21"/>
          <w:highlight w:val="none"/>
        </w:rPr>
        <w:t>　　双方根据国家有关规定，结合具体工程约定本工程的质量保修期如下：</w:t>
      </w:r>
    </w:p>
    <w:p w14:paraId="250CF925">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1 、地基基础工程和主体结构工程为设计文件规定的该工程的合理使用年限； </w:t>
      </w:r>
    </w:p>
    <w:p w14:paraId="7B886C8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2 、装修工程为 2 年； </w:t>
      </w:r>
    </w:p>
    <w:p w14:paraId="1F8560E2">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 、电气管线、给排水管道、设备安装工程为 2 年；</w:t>
      </w:r>
    </w:p>
    <w:p w14:paraId="58AE530F">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4、给排水设施、道路等配套工程为 2 年； </w:t>
      </w:r>
    </w:p>
    <w:p w14:paraId="337A5BA2">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5、防水工程为5年；</w:t>
      </w:r>
    </w:p>
    <w:p w14:paraId="02CD4BA4">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 、其他保修期限约定如下：原则上按 2 年进行保修。</w:t>
      </w:r>
    </w:p>
    <w:p w14:paraId="466D2803">
      <w:pPr>
        <w:rPr>
          <w:rFonts w:ascii="宋体" w:hAnsi="宋体"/>
          <w:color w:val="auto"/>
          <w:szCs w:val="21"/>
          <w:highlight w:val="none"/>
        </w:rPr>
      </w:pPr>
      <w:bookmarkStart w:id="990" w:name="_Toc1814"/>
      <w:bookmarkStart w:id="991" w:name="_Toc21381"/>
      <w:bookmarkStart w:id="992" w:name="_Toc483383050"/>
      <w:r>
        <w:rPr>
          <w:rFonts w:hint="eastAsia" w:ascii="宋体" w:hAnsi="宋体"/>
          <w:color w:val="auto"/>
          <w:szCs w:val="21"/>
          <w:highlight w:val="none"/>
        </w:rPr>
        <w:t>三、质量保修责任</w:t>
      </w:r>
      <w:bookmarkEnd w:id="990"/>
      <w:bookmarkEnd w:id="991"/>
      <w:bookmarkEnd w:id="992"/>
    </w:p>
    <w:p w14:paraId="0E23CD29">
      <w:pPr>
        <w:spacing w:line="400" w:lineRule="exact"/>
        <w:rPr>
          <w:rFonts w:ascii="宋体" w:hAnsi="宋体"/>
          <w:color w:val="auto"/>
          <w:szCs w:val="21"/>
          <w:highlight w:val="none"/>
        </w:rPr>
      </w:pPr>
      <w:r>
        <w:rPr>
          <w:rFonts w:hint="eastAsia" w:ascii="宋体" w:hAnsi="宋体"/>
          <w:color w:val="auto"/>
          <w:szCs w:val="21"/>
          <w:highlight w:val="none"/>
        </w:rPr>
        <w:t>　　1.属于保修范围、内容的项目，承包人应当在接到保修通知之日起</w:t>
      </w:r>
      <w:r>
        <w:rPr>
          <w:rFonts w:ascii="宋体" w:hAnsi="宋体"/>
          <w:color w:val="auto"/>
          <w:szCs w:val="21"/>
          <w:highlight w:val="none"/>
        </w:rPr>
        <w:t>7</w:t>
      </w:r>
      <w:r>
        <w:rPr>
          <w:rFonts w:hint="eastAsia" w:ascii="宋体" w:hAnsi="宋体"/>
          <w:color w:val="auto"/>
          <w:szCs w:val="21"/>
          <w:highlight w:val="none"/>
        </w:rPr>
        <w:t>天内派人修理。承包人不在约定期限内派人修理，发包人可以委托其他人员修理，保修费用从质量保修金内扣除。</w:t>
      </w:r>
    </w:p>
    <w:p w14:paraId="1556D822">
      <w:pPr>
        <w:spacing w:line="400" w:lineRule="exact"/>
        <w:rPr>
          <w:rFonts w:ascii="宋体" w:hAnsi="宋体"/>
          <w:color w:val="auto"/>
          <w:szCs w:val="21"/>
          <w:highlight w:val="none"/>
        </w:rPr>
      </w:pPr>
      <w:r>
        <w:rPr>
          <w:rFonts w:hint="eastAsia" w:ascii="宋体" w:hAnsi="宋体"/>
          <w:color w:val="auto"/>
          <w:szCs w:val="21"/>
          <w:highlight w:val="none"/>
        </w:rPr>
        <w:t>　　2.发生紧急抢修事故的，承包人在接到事故通知后，应当立即到达事故现场抢修。非承包人施工质量引起的事故，抢修费用由发包人承担。</w:t>
      </w:r>
    </w:p>
    <w:p w14:paraId="1600A901">
      <w:pPr>
        <w:spacing w:line="400" w:lineRule="exact"/>
        <w:rPr>
          <w:rFonts w:ascii="宋体" w:hAnsi="宋体"/>
          <w:color w:val="auto"/>
          <w:szCs w:val="21"/>
          <w:highlight w:val="none"/>
        </w:rPr>
      </w:pPr>
      <w:r>
        <w:rPr>
          <w:rFonts w:hint="eastAsia" w:ascii="宋体" w:hAnsi="宋体"/>
          <w:color w:val="auto"/>
          <w:szCs w:val="21"/>
          <w:highlight w:val="none"/>
        </w:rPr>
        <w:t>　　3.在国家规定的工程合理使用期限内，承包人确保地基基础工程和主体结构的质量。因承包人原因致使工程在合理使用期限内造成人身和财产损害的，承包人应承担损害赔偿责任。</w:t>
      </w:r>
    </w:p>
    <w:p w14:paraId="195E89ED">
      <w:pPr>
        <w:rPr>
          <w:rFonts w:ascii="宋体" w:hAnsi="宋体"/>
          <w:color w:val="auto"/>
          <w:szCs w:val="21"/>
          <w:highlight w:val="none"/>
        </w:rPr>
      </w:pPr>
      <w:bookmarkStart w:id="993" w:name="_Toc26837"/>
      <w:bookmarkStart w:id="994" w:name="_Toc18901"/>
      <w:bookmarkStart w:id="995" w:name="_Toc483383051"/>
      <w:r>
        <w:rPr>
          <w:rFonts w:hint="eastAsia" w:ascii="宋体" w:hAnsi="宋体"/>
          <w:color w:val="auto"/>
          <w:szCs w:val="21"/>
          <w:highlight w:val="none"/>
        </w:rPr>
        <w:t>四、质量保修金的支付</w:t>
      </w:r>
      <w:bookmarkEnd w:id="993"/>
      <w:bookmarkEnd w:id="994"/>
      <w:bookmarkEnd w:id="995"/>
    </w:p>
    <w:p w14:paraId="38EB9EDC">
      <w:pPr>
        <w:spacing w:line="400" w:lineRule="exact"/>
        <w:rPr>
          <w:rFonts w:ascii="宋体" w:hAnsi="宋体"/>
          <w:color w:val="auto"/>
          <w:szCs w:val="21"/>
          <w:highlight w:val="none"/>
        </w:rPr>
      </w:pPr>
      <w:r>
        <w:rPr>
          <w:rFonts w:hint="eastAsia" w:ascii="宋体" w:hAnsi="宋体"/>
          <w:color w:val="auto"/>
          <w:szCs w:val="21"/>
          <w:highlight w:val="none"/>
        </w:rPr>
        <w:t>　　工程质量保修金一般不超过施工合同价款的3％，本工程约定的工程质量保修金为施工合同价款的3 ％。</w:t>
      </w:r>
    </w:p>
    <w:p w14:paraId="17AA2AB4">
      <w:pPr>
        <w:spacing w:line="400" w:lineRule="exact"/>
        <w:rPr>
          <w:rFonts w:ascii="宋体" w:hAnsi="宋体"/>
          <w:color w:val="auto"/>
          <w:szCs w:val="21"/>
          <w:highlight w:val="none"/>
        </w:rPr>
      </w:pPr>
      <w:r>
        <w:rPr>
          <w:rFonts w:hint="eastAsia" w:ascii="宋体" w:hAnsi="宋体"/>
          <w:color w:val="auto"/>
          <w:szCs w:val="21"/>
          <w:highlight w:val="none"/>
        </w:rPr>
        <w:t>　　本工程双方约定承包人向发包人支付工程质量保修金金额为</w:t>
      </w:r>
      <w:r>
        <w:rPr>
          <w:rFonts w:hint="eastAsia" w:ascii="宋体" w:hAnsi="宋体"/>
          <w:color w:val="auto"/>
          <w:szCs w:val="21"/>
          <w:highlight w:val="none"/>
          <w:u w:val="single"/>
        </w:rPr>
        <w:t xml:space="preserve">  /  </w:t>
      </w:r>
      <w:r>
        <w:rPr>
          <w:rFonts w:hint="eastAsia" w:ascii="宋体" w:hAnsi="宋体"/>
          <w:color w:val="auto"/>
          <w:szCs w:val="21"/>
          <w:highlight w:val="none"/>
        </w:rPr>
        <w:t>（大写）。质量保修金银行利率为 零 。</w:t>
      </w:r>
    </w:p>
    <w:p w14:paraId="26AB5FDB">
      <w:pPr>
        <w:rPr>
          <w:rFonts w:ascii="宋体" w:hAnsi="宋体"/>
          <w:color w:val="auto"/>
          <w:szCs w:val="21"/>
          <w:highlight w:val="none"/>
        </w:rPr>
      </w:pPr>
      <w:bookmarkStart w:id="996" w:name="_Toc7679"/>
      <w:bookmarkStart w:id="997" w:name="_Toc20969"/>
      <w:bookmarkStart w:id="998" w:name="_Toc483383052"/>
      <w:r>
        <w:rPr>
          <w:rFonts w:hint="eastAsia" w:ascii="宋体" w:hAnsi="宋体"/>
          <w:color w:val="auto"/>
          <w:szCs w:val="21"/>
          <w:highlight w:val="none"/>
        </w:rPr>
        <w:t>五、质量保修金的返还</w:t>
      </w:r>
      <w:bookmarkEnd w:id="996"/>
      <w:bookmarkEnd w:id="997"/>
      <w:bookmarkEnd w:id="998"/>
    </w:p>
    <w:p w14:paraId="0EEE2E57">
      <w:pPr>
        <w:spacing w:line="400" w:lineRule="exact"/>
        <w:rPr>
          <w:rFonts w:ascii="宋体" w:hAnsi="宋体"/>
          <w:color w:val="auto"/>
          <w:szCs w:val="21"/>
          <w:highlight w:val="none"/>
        </w:rPr>
      </w:pPr>
      <w:r>
        <w:rPr>
          <w:rFonts w:hint="eastAsia" w:ascii="宋体" w:hAnsi="宋体"/>
          <w:color w:val="auto"/>
          <w:szCs w:val="21"/>
          <w:highlight w:val="none"/>
        </w:rPr>
        <w:t>　　发包人在质量保修期满后14天内，将剩余保修金返还承包人（无息）。</w:t>
      </w:r>
    </w:p>
    <w:p w14:paraId="3D7A7850">
      <w:pPr>
        <w:rPr>
          <w:rFonts w:ascii="宋体" w:hAnsi="宋体"/>
          <w:color w:val="auto"/>
          <w:szCs w:val="21"/>
          <w:highlight w:val="none"/>
        </w:rPr>
      </w:pPr>
      <w:bookmarkStart w:id="999" w:name="_Toc26519"/>
      <w:bookmarkStart w:id="1000" w:name="_Toc483383053"/>
      <w:bookmarkStart w:id="1001" w:name="_Toc20348"/>
      <w:r>
        <w:rPr>
          <w:rFonts w:hint="eastAsia" w:ascii="宋体" w:hAnsi="宋体"/>
          <w:color w:val="auto"/>
          <w:szCs w:val="21"/>
          <w:highlight w:val="none"/>
        </w:rPr>
        <w:t>六、其他</w:t>
      </w:r>
      <w:bookmarkEnd w:id="999"/>
      <w:bookmarkEnd w:id="1000"/>
      <w:bookmarkEnd w:id="1001"/>
    </w:p>
    <w:p w14:paraId="56086578">
      <w:pPr>
        <w:spacing w:line="400" w:lineRule="exact"/>
        <w:rPr>
          <w:rFonts w:ascii="宋体" w:hAnsi="宋体"/>
          <w:color w:val="auto"/>
          <w:szCs w:val="21"/>
          <w:highlight w:val="none"/>
        </w:rPr>
      </w:pPr>
      <w:r>
        <w:rPr>
          <w:rFonts w:hint="eastAsia" w:ascii="宋体" w:hAnsi="宋体"/>
          <w:color w:val="auto"/>
          <w:szCs w:val="21"/>
          <w:highlight w:val="none"/>
        </w:rPr>
        <w:t>　　双方约定的其他质量保修事项：发包人扣留工程结算价的3％作为保修期的保证金，待保修期满后再支付给承包人（无息）。</w:t>
      </w:r>
    </w:p>
    <w:p w14:paraId="2DF4EF85">
      <w:pPr>
        <w:spacing w:line="400" w:lineRule="exact"/>
        <w:rPr>
          <w:rFonts w:ascii="宋体" w:hAnsi="宋体"/>
          <w:color w:val="auto"/>
          <w:szCs w:val="21"/>
          <w:highlight w:val="none"/>
        </w:rPr>
      </w:pPr>
      <w:r>
        <w:rPr>
          <w:rFonts w:hint="eastAsia" w:ascii="宋体" w:hAnsi="宋体"/>
          <w:color w:val="auto"/>
          <w:szCs w:val="21"/>
          <w:highlight w:val="none"/>
        </w:rPr>
        <w:t>　　本工程质量保修书作为施工合同附件，由发包人、承包人双方共同签署。</w:t>
      </w:r>
    </w:p>
    <w:p w14:paraId="16BE62EE">
      <w:pPr>
        <w:spacing w:line="400" w:lineRule="exact"/>
        <w:rPr>
          <w:rFonts w:ascii="宋体" w:hAnsi="宋体"/>
          <w:color w:val="auto"/>
          <w:szCs w:val="21"/>
          <w:highlight w:val="none"/>
        </w:rPr>
      </w:pPr>
    </w:p>
    <w:p w14:paraId="7F2139E1">
      <w:pPr>
        <w:spacing w:line="400" w:lineRule="exact"/>
        <w:rPr>
          <w:rFonts w:ascii="宋体" w:hAnsi="宋体"/>
          <w:color w:val="auto"/>
          <w:szCs w:val="21"/>
          <w:highlight w:val="none"/>
        </w:rPr>
      </w:pPr>
    </w:p>
    <w:p w14:paraId="04D2B3E7">
      <w:pPr>
        <w:spacing w:line="400" w:lineRule="exact"/>
        <w:rPr>
          <w:rFonts w:ascii="宋体" w:hAnsi="宋体"/>
          <w:color w:val="auto"/>
          <w:szCs w:val="21"/>
          <w:highlight w:val="none"/>
        </w:rPr>
      </w:pPr>
    </w:p>
    <w:p w14:paraId="783C7F6B">
      <w:pPr>
        <w:spacing w:line="400" w:lineRule="exact"/>
        <w:rPr>
          <w:rFonts w:ascii="宋体" w:hAnsi="宋体"/>
          <w:color w:val="auto"/>
          <w:szCs w:val="21"/>
          <w:highlight w:val="none"/>
        </w:rPr>
      </w:pPr>
      <w:r>
        <w:rPr>
          <w:rFonts w:hint="eastAsia" w:ascii="宋体" w:hAnsi="宋体"/>
          <w:color w:val="auto"/>
          <w:szCs w:val="21"/>
          <w:highlight w:val="none"/>
        </w:rPr>
        <w:t>发包人（甲方）：                            承包人（乙方）</w:t>
      </w:r>
    </w:p>
    <w:p w14:paraId="3D912DB3">
      <w:pPr>
        <w:spacing w:line="400" w:lineRule="exact"/>
        <w:rPr>
          <w:rFonts w:ascii="宋体" w:hAnsi="宋体"/>
          <w:color w:val="auto"/>
          <w:szCs w:val="21"/>
          <w:highlight w:val="none"/>
        </w:rPr>
      </w:pPr>
      <w:r>
        <w:rPr>
          <w:rFonts w:hint="eastAsia" w:ascii="宋体" w:hAnsi="宋体"/>
          <w:color w:val="auto"/>
          <w:szCs w:val="21"/>
          <w:highlight w:val="none"/>
        </w:rPr>
        <w:t>（盖章）                                  （盖章）</w:t>
      </w:r>
    </w:p>
    <w:p w14:paraId="7BC293F4">
      <w:pPr>
        <w:spacing w:line="400" w:lineRule="exact"/>
        <w:rPr>
          <w:rFonts w:ascii="宋体" w:hAnsi="宋体"/>
          <w:color w:val="auto"/>
          <w:szCs w:val="21"/>
          <w:highlight w:val="none"/>
        </w:rPr>
      </w:pPr>
      <w:r>
        <w:rPr>
          <w:rFonts w:hint="eastAsia" w:ascii="宋体" w:hAnsi="宋体"/>
          <w:color w:val="auto"/>
          <w:szCs w:val="21"/>
          <w:highlight w:val="none"/>
        </w:rPr>
        <w:t>法 定 代 表 人：                           法 定 代 表 人：</w:t>
      </w:r>
    </w:p>
    <w:p w14:paraId="17DE7E0A">
      <w:pPr>
        <w:spacing w:line="400" w:lineRule="exact"/>
        <w:rPr>
          <w:rFonts w:ascii="宋体" w:hAnsi="宋体"/>
          <w:color w:val="auto"/>
          <w:szCs w:val="21"/>
          <w:highlight w:val="none"/>
        </w:rPr>
      </w:pPr>
      <w:r>
        <w:rPr>
          <w:rFonts w:hint="eastAsia" w:ascii="宋体" w:hAnsi="宋体"/>
          <w:color w:val="auto"/>
          <w:szCs w:val="21"/>
          <w:highlight w:val="none"/>
        </w:rPr>
        <w:t>委 托 代 理 人：                           委 托 代 理 人：</w:t>
      </w:r>
    </w:p>
    <w:p w14:paraId="79CEA54C">
      <w:pPr>
        <w:rPr>
          <w:rFonts w:ascii="宋体" w:hAnsi="宋体"/>
          <w:b/>
          <w:color w:val="auto"/>
          <w:highlight w:val="none"/>
        </w:rPr>
      </w:pPr>
    </w:p>
    <w:p w14:paraId="74EA0C3C">
      <w:pPr>
        <w:spacing w:line="500" w:lineRule="exact"/>
        <w:ind w:firstLine="420" w:firstLineChars="200"/>
        <w:jc w:val="center"/>
        <w:rPr>
          <w:rFonts w:ascii="宋体" w:hAnsi="宋体"/>
          <w:color w:val="auto"/>
          <w:highlight w:val="none"/>
        </w:rPr>
      </w:pPr>
      <w:r>
        <w:rPr>
          <w:rFonts w:hint="eastAsia" w:ascii="宋体" w:hAnsi="宋体"/>
          <w:color w:val="auto"/>
          <w:highlight w:val="none"/>
        </w:rPr>
        <w:t>年   月   日</w:t>
      </w:r>
    </w:p>
    <w:p w14:paraId="00881FD9">
      <w:pPr>
        <w:rPr>
          <w:rFonts w:ascii="宋体" w:hAnsi="宋体"/>
          <w:b/>
          <w:color w:val="auto"/>
          <w:highlight w:val="none"/>
        </w:rPr>
      </w:pPr>
    </w:p>
    <w:p w14:paraId="018FDC76">
      <w:pPr>
        <w:rPr>
          <w:rFonts w:ascii="宋体" w:hAnsi="宋体"/>
          <w:b/>
          <w:color w:val="auto"/>
          <w:highlight w:val="none"/>
        </w:rPr>
      </w:pPr>
      <w:r>
        <w:rPr>
          <w:rFonts w:ascii="宋体" w:hAnsi="宋体"/>
          <w:b/>
          <w:color w:val="auto"/>
          <w:highlight w:val="none"/>
        </w:rPr>
        <w:br w:type="page"/>
      </w:r>
    </w:p>
    <w:p w14:paraId="01676AF0">
      <w:pPr>
        <w:keepNext/>
        <w:keepLines/>
        <w:spacing w:line="400" w:lineRule="exact"/>
        <w:jc w:val="left"/>
        <w:outlineLvl w:val="2"/>
        <w:rPr>
          <w:rFonts w:ascii="宋体" w:hAnsi="宋体" w:cs="宋体"/>
          <w:color w:val="auto"/>
          <w:kern w:val="0"/>
          <w:sz w:val="24"/>
          <w:szCs w:val="20"/>
          <w:highlight w:val="none"/>
        </w:rPr>
      </w:pPr>
      <w:bookmarkStart w:id="1002" w:name="_Toc367280803"/>
      <w:bookmarkStart w:id="1003" w:name="_Toc354050794"/>
      <w:bookmarkStart w:id="1004" w:name="_Toc354042317"/>
      <w:bookmarkStart w:id="1005" w:name="_Toc115180047"/>
      <w:r>
        <w:rPr>
          <w:rFonts w:hint="eastAsia" w:ascii="宋体" w:hAnsi="宋体" w:cs="宋体"/>
          <w:color w:val="auto"/>
          <w:kern w:val="0"/>
          <w:sz w:val="24"/>
          <w:szCs w:val="20"/>
          <w:highlight w:val="none"/>
        </w:rPr>
        <w:t>附件四：</w:t>
      </w:r>
      <w:r>
        <w:rPr>
          <w:rFonts w:ascii="宋体" w:hAnsi="宋体" w:cs="宋体"/>
          <w:color w:val="auto"/>
          <w:kern w:val="0"/>
          <w:sz w:val="24"/>
          <w:szCs w:val="20"/>
          <w:highlight w:val="none"/>
        </w:rPr>
        <w:t>安全</w:t>
      </w:r>
      <w:r>
        <w:rPr>
          <w:rFonts w:hint="eastAsia" w:ascii="宋体" w:hAnsi="宋体" w:cs="宋体"/>
          <w:color w:val="auto"/>
          <w:kern w:val="0"/>
          <w:sz w:val="24"/>
          <w:szCs w:val="20"/>
          <w:highlight w:val="none"/>
        </w:rPr>
        <w:t>生产和文明施工</w:t>
      </w:r>
      <w:r>
        <w:rPr>
          <w:rFonts w:ascii="宋体" w:hAnsi="宋体" w:cs="宋体"/>
          <w:color w:val="auto"/>
          <w:kern w:val="0"/>
          <w:sz w:val="24"/>
          <w:szCs w:val="20"/>
          <w:highlight w:val="none"/>
        </w:rPr>
        <w:t>管理协议书</w:t>
      </w:r>
      <w:bookmarkEnd w:id="1002"/>
      <w:bookmarkEnd w:id="1003"/>
      <w:bookmarkEnd w:id="1004"/>
      <w:r>
        <w:rPr>
          <w:rFonts w:hint="eastAsia" w:ascii="宋体" w:hAnsi="宋体" w:cs="宋体"/>
          <w:color w:val="auto"/>
          <w:kern w:val="0"/>
          <w:sz w:val="24"/>
          <w:szCs w:val="20"/>
          <w:highlight w:val="none"/>
        </w:rPr>
        <w:t>（格式）</w:t>
      </w:r>
      <w:bookmarkEnd w:id="1005"/>
    </w:p>
    <w:p w14:paraId="67959D2E">
      <w:pPr>
        <w:spacing w:line="400" w:lineRule="exact"/>
        <w:jc w:val="center"/>
        <w:rPr>
          <w:rFonts w:ascii="宋体" w:hAnsi="宋体"/>
          <w:color w:val="auto"/>
          <w:sz w:val="27"/>
          <w:szCs w:val="27"/>
          <w:highlight w:val="none"/>
        </w:rPr>
      </w:pPr>
      <w:r>
        <w:rPr>
          <w:rFonts w:hint="eastAsia" w:ascii="宋体" w:hAnsi="宋体"/>
          <w:color w:val="auto"/>
          <w:sz w:val="27"/>
          <w:szCs w:val="27"/>
          <w:highlight w:val="none"/>
        </w:rPr>
        <w:t>安全生产和文明施工管理协议书</w:t>
      </w:r>
    </w:p>
    <w:p w14:paraId="536CAF7D">
      <w:pPr>
        <w:spacing w:line="400" w:lineRule="exact"/>
        <w:rPr>
          <w:rFonts w:ascii="宋体" w:hAnsi="宋体"/>
          <w:color w:val="auto"/>
          <w:highlight w:val="none"/>
        </w:rPr>
      </w:pPr>
      <w:r>
        <w:rPr>
          <w:rFonts w:hint="eastAsia" w:ascii="宋体" w:hAnsi="宋体"/>
          <w:color w:val="auto"/>
          <w:highlight w:val="none"/>
        </w:rPr>
        <w:t xml:space="preserve">发包人：（甲方）： </w:t>
      </w:r>
    </w:p>
    <w:p w14:paraId="740AAA97">
      <w:pPr>
        <w:spacing w:line="400" w:lineRule="exact"/>
        <w:rPr>
          <w:rFonts w:ascii="宋体" w:hAnsi="宋体"/>
          <w:color w:val="auto"/>
          <w:highlight w:val="none"/>
        </w:rPr>
      </w:pPr>
      <w:r>
        <w:rPr>
          <w:rFonts w:hint="eastAsia" w:ascii="宋体" w:hAnsi="宋体"/>
          <w:color w:val="auto"/>
          <w:highlight w:val="none"/>
        </w:rPr>
        <w:t>承包人：（乙方）：</w:t>
      </w:r>
    </w:p>
    <w:p w14:paraId="6FD9A76F">
      <w:pPr>
        <w:spacing w:line="400" w:lineRule="exact"/>
        <w:ind w:firstLine="420" w:firstLineChars="200"/>
        <w:rPr>
          <w:rFonts w:ascii="宋体" w:hAnsi="宋体"/>
          <w:color w:val="auto"/>
          <w:highlight w:val="none"/>
        </w:rPr>
      </w:pPr>
      <w:r>
        <w:rPr>
          <w:rFonts w:hint="eastAsia" w:ascii="宋体" w:hAnsi="宋体"/>
          <w:color w:val="auto"/>
          <w:highlight w:val="none"/>
        </w:rPr>
        <w:t>第一条  为确保安全文明施工，保证工程顺利进行, 根据《中华人民共和国民法典》、《广东省</w:t>
      </w:r>
      <w:r>
        <w:rPr>
          <w:rFonts w:hint="eastAsia" w:ascii="宋体" w:hAnsi="宋体"/>
          <w:color w:val="auto"/>
          <w:highlight w:val="none"/>
          <w:lang w:val="en-US" w:eastAsia="zh-CN"/>
        </w:rPr>
        <w:t>住房和城乡</w:t>
      </w:r>
      <w:r>
        <w:rPr>
          <w:rFonts w:hint="eastAsia" w:ascii="宋体" w:hAnsi="宋体"/>
          <w:color w:val="auto"/>
          <w:highlight w:val="none"/>
        </w:rPr>
        <w:t>建设厅建筑工程安全防护、文明施工措施费用管理办法》、《广州市建设工程文明施工管理规定》等规定，经双方协商，签订本协议书。</w:t>
      </w:r>
    </w:p>
    <w:p w14:paraId="345747E1">
      <w:pPr>
        <w:spacing w:line="400" w:lineRule="exact"/>
        <w:ind w:firstLine="420" w:firstLineChars="200"/>
        <w:rPr>
          <w:rFonts w:ascii="宋体" w:hAnsi="宋体"/>
          <w:color w:val="auto"/>
          <w:highlight w:val="none"/>
        </w:rPr>
      </w:pPr>
      <w:r>
        <w:rPr>
          <w:rFonts w:hint="eastAsia" w:ascii="宋体" w:hAnsi="宋体"/>
          <w:color w:val="auto"/>
          <w:highlight w:val="none"/>
        </w:rPr>
        <w:t>本协议书所涉及的工程范围</w:t>
      </w:r>
      <w:r>
        <w:rPr>
          <w:rFonts w:hint="eastAsia" w:ascii="宋体" w:hAnsi="宋体"/>
          <w:color w:val="auto"/>
          <w:highlight w:val="none"/>
        </w:rPr>
        <w:softHyphen/>
      </w:r>
      <w:r>
        <w:rPr>
          <w:rFonts w:hint="eastAsia" w:ascii="宋体" w:hAnsi="宋体"/>
          <w:color w:val="auto"/>
          <w:highlight w:val="none"/>
          <w:u w:val="single"/>
        </w:rPr>
        <w:t xml:space="preserve">  （即承包人施工的工程范围）  </w:t>
      </w:r>
      <w:r>
        <w:rPr>
          <w:rFonts w:hint="eastAsia" w:ascii="宋体" w:hAnsi="宋体"/>
          <w:color w:val="auto"/>
          <w:highlight w:val="none"/>
        </w:rPr>
        <w:t>。</w:t>
      </w:r>
    </w:p>
    <w:p w14:paraId="046F0392">
      <w:pPr>
        <w:spacing w:line="400" w:lineRule="exact"/>
        <w:ind w:firstLine="420" w:firstLineChars="200"/>
        <w:rPr>
          <w:rFonts w:ascii="宋体" w:hAnsi="宋体"/>
          <w:color w:val="auto"/>
          <w:highlight w:val="none"/>
        </w:rPr>
      </w:pPr>
      <w:r>
        <w:rPr>
          <w:rFonts w:hint="eastAsia" w:ascii="宋体" w:hAnsi="宋体"/>
          <w:color w:val="auto"/>
          <w:highlight w:val="none"/>
        </w:rPr>
        <w:t>第二条  甲乙双方均应当遵守《建筑施工安全检查标准》(JGJ59-2011)和广东省、广州市政府及其部门制定的有关建筑工程安全生产、文明施工管理办法和规定。</w:t>
      </w:r>
    </w:p>
    <w:p w14:paraId="6589FC17">
      <w:pPr>
        <w:spacing w:line="400" w:lineRule="exact"/>
        <w:ind w:firstLine="420" w:firstLineChars="200"/>
        <w:rPr>
          <w:rFonts w:ascii="宋体" w:hAnsi="宋体"/>
          <w:color w:val="auto"/>
          <w:highlight w:val="none"/>
        </w:rPr>
      </w:pPr>
      <w:r>
        <w:rPr>
          <w:rFonts w:hint="eastAsia" w:ascii="宋体" w:hAnsi="宋体"/>
          <w:color w:val="auto"/>
          <w:highlight w:val="none"/>
        </w:rPr>
        <w:t>第三条 甲方权利和义务</w:t>
      </w:r>
    </w:p>
    <w:p w14:paraId="3E9BBA18">
      <w:pPr>
        <w:spacing w:line="400" w:lineRule="exact"/>
        <w:ind w:firstLine="420" w:firstLineChars="200"/>
        <w:rPr>
          <w:rFonts w:ascii="宋体" w:hAnsi="宋体"/>
          <w:color w:val="auto"/>
          <w:highlight w:val="none"/>
        </w:rPr>
      </w:pPr>
      <w:r>
        <w:rPr>
          <w:rFonts w:hint="eastAsia" w:ascii="宋体" w:hAnsi="宋体"/>
          <w:color w:val="auto"/>
          <w:highlight w:val="none"/>
        </w:rPr>
        <w:t>1、对乙方安全文明施工进行指导、监督，督促施工单位依法履行安全文明施工管理职责，并作好现场记录。</w:t>
      </w:r>
    </w:p>
    <w:p w14:paraId="254A4A11">
      <w:pPr>
        <w:spacing w:line="400" w:lineRule="exact"/>
        <w:ind w:firstLine="420" w:firstLineChars="200"/>
        <w:rPr>
          <w:rFonts w:ascii="宋体" w:hAnsi="宋体"/>
          <w:color w:val="auto"/>
          <w:highlight w:val="none"/>
        </w:rPr>
      </w:pPr>
      <w:r>
        <w:rPr>
          <w:rFonts w:hint="eastAsia" w:ascii="宋体" w:hAnsi="宋体"/>
          <w:color w:val="auto"/>
          <w:highlight w:val="none"/>
        </w:rPr>
        <w:t>2、督促乙方对生产中存在的安全隐患和违反文明施工规定的行为进行整改，及时协调解决各工地之间、工地与周边群众之间的矛盾。</w:t>
      </w:r>
    </w:p>
    <w:p w14:paraId="771C30BD">
      <w:pPr>
        <w:spacing w:line="400" w:lineRule="exact"/>
        <w:ind w:firstLine="420" w:firstLineChars="200"/>
        <w:rPr>
          <w:rFonts w:ascii="宋体" w:hAnsi="宋体"/>
          <w:color w:val="auto"/>
          <w:highlight w:val="none"/>
        </w:rPr>
      </w:pPr>
      <w:r>
        <w:rPr>
          <w:rFonts w:hint="eastAsia" w:ascii="宋体" w:hAnsi="宋体"/>
          <w:color w:val="auto"/>
          <w:highlight w:val="none"/>
        </w:rPr>
        <w:t>3、负责组织建设、监理、施工三方责任主体每月末按标准对乙方进行考核。</w:t>
      </w:r>
    </w:p>
    <w:p w14:paraId="2E640BFE">
      <w:pPr>
        <w:spacing w:line="400" w:lineRule="exact"/>
        <w:ind w:firstLine="420" w:firstLineChars="200"/>
        <w:rPr>
          <w:rFonts w:ascii="宋体" w:hAnsi="宋体"/>
          <w:color w:val="auto"/>
          <w:highlight w:val="none"/>
        </w:rPr>
      </w:pPr>
      <w:r>
        <w:rPr>
          <w:rFonts w:hint="eastAsia" w:ascii="宋体" w:hAnsi="宋体"/>
          <w:color w:val="auto"/>
          <w:highlight w:val="none"/>
        </w:rPr>
        <w:t>4、每星期召开一次有乙方项目负责人、安全专职人员参加的安全文明施工会议，通报情况，交流经验，及时纠正施工中存在的安全隐患问题。</w:t>
      </w:r>
    </w:p>
    <w:p w14:paraId="28837D90">
      <w:pPr>
        <w:spacing w:line="400" w:lineRule="exact"/>
        <w:ind w:firstLine="420" w:firstLineChars="200"/>
        <w:rPr>
          <w:rFonts w:ascii="宋体" w:hAnsi="宋体"/>
          <w:color w:val="auto"/>
          <w:highlight w:val="none"/>
        </w:rPr>
      </w:pPr>
      <w:r>
        <w:rPr>
          <w:rFonts w:hint="eastAsia" w:ascii="宋体" w:hAnsi="宋体"/>
          <w:color w:val="auto"/>
          <w:highlight w:val="none"/>
        </w:rPr>
        <w:t>5、甲方发现安全隐患或违反文明施工规定的行为，有权责令乙方停工整改，直至排除安全隐患。</w:t>
      </w:r>
    </w:p>
    <w:p w14:paraId="4BF9DF43">
      <w:pPr>
        <w:spacing w:line="400" w:lineRule="exact"/>
        <w:ind w:firstLine="420" w:firstLineChars="200"/>
        <w:rPr>
          <w:rFonts w:ascii="宋体" w:hAnsi="宋体"/>
          <w:color w:val="auto"/>
          <w:highlight w:val="none"/>
        </w:rPr>
      </w:pPr>
      <w:r>
        <w:rPr>
          <w:rFonts w:hint="eastAsia" w:ascii="宋体" w:hAnsi="宋体"/>
          <w:color w:val="auto"/>
          <w:highlight w:val="none"/>
        </w:rPr>
        <w:t>第四条  乙方权利和义务</w:t>
      </w:r>
    </w:p>
    <w:p w14:paraId="620DD88F">
      <w:pPr>
        <w:spacing w:line="400" w:lineRule="exact"/>
        <w:ind w:firstLine="420" w:firstLineChars="200"/>
        <w:rPr>
          <w:rFonts w:ascii="宋体" w:hAnsi="宋体"/>
          <w:color w:val="auto"/>
          <w:highlight w:val="none"/>
        </w:rPr>
      </w:pPr>
      <w:r>
        <w:rPr>
          <w:rFonts w:hint="eastAsia" w:ascii="宋体" w:hAnsi="宋体"/>
          <w:color w:val="auto"/>
          <w:highlight w:val="none"/>
        </w:rPr>
        <w:t>1、严格执行国家和省市规定的安全生产和文明施工的相关规定。</w:t>
      </w:r>
    </w:p>
    <w:p w14:paraId="3FD49DE1">
      <w:pPr>
        <w:spacing w:line="400" w:lineRule="exact"/>
        <w:ind w:firstLine="420" w:firstLineChars="200"/>
        <w:rPr>
          <w:rFonts w:ascii="宋体" w:hAnsi="宋体"/>
          <w:color w:val="auto"/>
          <w:highlight w:val="none"/>
        </w:rPr>
      </w:pPr>
      <w:r>
        <w:rPr>
          <w:rFonts w:hint="eastAsia" w:ascii="宋体" w:hAnsi="宋体"/>
          <w:color w:val="auto"/>
          <w:highlight w:val="none"/>
        </w:rPr>
        <w:t>2、建立、健全安全文明施工责任制，健全组织机构，制定安全文明施工规章制度和操作规程，落实安全文明施工专职人员。</w:t>
      </w:r>
    </w:p>
    <w:p w14:paraId="07EE85D6">
      <w:pPr>
        <w:spacing w:line="400" w:lineRule="exact"/>
        <w:ind w:firstLine="420" w:firstLineChars="200"/>
        <w:rPr>
          <w:rFonts w:ascii="宋体" w:hAnsi="宋体"/>
          <w:color w:val="auto"/>
          <w:highlight w:val="none"/>
        </w:rPr>
      </w:pPr>
      <w:r>
        <w:rPr>
          <w:rFonts w:hint="eastAsia" w:ascii="宋体" w:hAnsi="宋体"/>
          <w:color w:val="auto"/>
          <w:highlight w:val="none"/>
        </w:rPr>
        <w:t>3、制定安全事故应急救援预案，若遇险情，及时启动。</w:t>
      </w:r>
    </w:p>
    <w:p w14:paraId="40160C7E">
      <w:pPr>
        <w:spacing w:line="400" w:lineRule="exact"/>
        <w:ind w:firstLine="420" w:firstLineChars="200"/>
        <w:rPr>
          <w:rFonts w:ascii="宋体" w:hAnsi="宋体"/>
          <w:color w:val="auto"/>
          <w:highlight w:val="none"/>
        </w:rPr>
      </w:pPr>
      <w:r>
        <w:rPr>
          <w:rFonts w:hint="eastAsia" w:ascii="宋体" w:hAnsi="宋体"/>
          <w:color w:val="auto"/>
          <w:highlight w:val="none"/>
        </w:rPr>
        <w:t>4、保证对具备安全文明施工条件所必需资金的投入，并对因资金投入不足导致的后果承担责任。</w:t>
      </w:r>
    </w:p>
    <w:p w14:paraId="735A2053">
      <w:pPr>
        <w:spacing w:line="400" w:lineRule="exact"/>
        <w:ind w:firstLine="420" w:firstLineChars="200"/>
        <w:rPr>
          <w:rFonts w:ascii="宋体" w:hAnsi="宋体"/>
          <w:color w:val="auto"/>
          <w:highlight w:val="none"/>
        </w:rPr>
      </w:pPr>
      <w:r>
        <w:rPr>
          <w:rFonts w:hint="eastAsia" w:ascii="宋体" w:hAnsi="宋体"/>
          <w:color w:val="auto"/>
          <w:highlight w:val="none"/>
        </w:rPr>
        <w:t>5、根据《安全生产法》的规定，乙方应对从业人员进行安全教育和培训，保证从业人员具备安全生产知识，熟悉安全生产规章制度和安全操作规程，掌握本岗位的安全操作技能，未经安全生产教育培训合格的人员不得上岗作业。</w:t>
      </w:r>
    </w:p>
    <w:p w14:paraId="014409D2">
      <w:pPr>
        <w:spacing w:line="400" w:lineRule="exact"/>
        <w:ind w:firstLine="420" w:firstLineChars="200"/>
        <w:rPr>
          <w:rFonts w:ascii="宋体" w:hAnsi="宋体"/>
          <w:color w:val="auto"/>
          <w:highlight w:val="none"/>
        </w:rPr>
      </w:pPr>
      <w:r>
        <w:rPr>
          <w:rFonts w:hint="eastAsia" w:ascii="宋体" w:hAnsi="宋体"/>
          <w:color w:val="auto"/>
          <w:highlight w:val="none"/>
        </w:rPr>
        <w:t>6、文明施工现场管理应当做到“六个100%”，即：施工现场100%围蔽，工地砂土100%覆盖，工地路面100%硬化，拆除工程100%洒水压尘，出工地车辆100%冲净车轮车身，暂不开发的场地100%绿化。</w:t>
      </w:r>
    </w:p>
    <w:p w14:paraId="503AFC09">
      <w:pPr>
        <w:spacing w:line="400" w:lineRule="exact"/>
        <w:ind w:firstLine="420" w:firstLineChars="200"/>
        <w:rPr>
          <w:rFonts w:ascii="宋体" w:hAnsi="宋体"/>
          <w:color w:val="auto"/>
          <w:highlight w:val="none"/>
        </w:rPr>
      </w:pPr>
      <w:r>
        <w:rPr>
          <w:rFonts w:hint="eastAsia" w:ascii="宋体" w:hAnsi="宋体"/>
          <w:color w:val="auto"/>
          <w:highlight w:val="none"/>
        </w:rPr>
        <w:t>7、施工现场应当按照下列要求设置相关设施：</w:t>
      </w:r>
    </w:p>
    <w:p w14:paraId="1B0D811E">
      <w:pPr>
        <w:spacing w:line="400" w:lineRule="exact"/>
        <w:ind w:firstLine="420" w:firstLineChars="200"/>
        <w:rPr>
          <w:rFonts w:ascii="宋体" w:hAnsi="宋体"/>
          <w:color w:val="auto"/>
          <w:highlight w:val="none"/>
        </w:rPr>
      </w:pPr>
      <w:r>
        <w:rPr>
          <w:rFonts w:hint="eastAsia" w:ascii="宋体" w:hAnsi="宋体"/>
          <w:color w:val="auto"/>
          <w:highlight w:val="none"/>
        </w:rPr>
        <w:t>(1)在醒目位置设置施工铭牌，并张贴有关许可证件。施工铭牌应当明确项目名称，建设、施工、监理单位及项目负责人姓名，监督机构名称，开工、计划竣工日期和监督投诉电话等。</w:t>
      </w:r>
    </w:p>
    <w:p w14:paraId="54EB3926">
      <w:pPr>
        <w:spacing w:line="400" w:lineRule="exact"/>
        <w:ind w:firstLine="420" w:firstLineChars="200"/>
        <w:rPr>
          <w:rFonts w:ascii="宋体" w:hAnsi="宋体"/>
          <w:color w:val="auto"/>
          <w:highlight w:val="none"/>
        </w:rPr>
      </w:pPr>
      <w:r>
        <w:rPr>
          <w:rFonts w:hint="eastAsia" w:ascii="宋体" w:hAnsi="宋体"/>
          <w:color w:val="auto"/>
          <w:highlight w:val="none"/>
        </w:rPr>
        <w:t>(2)施工作业区与办公、生活区应当分开设置，具有足够的安全距离，采取相应的隔离措施；占用、挖掘城市道路施工的，不得设置办公场地、宿舍等非必要区域和设施。</w:t>
      </w:r>
    </w:p>
    <w:p w14:paraId="2A1F5831">
      <w:pPr>
        <w:spacing w:line="400" w:lineRule="exact"/>
        <w:ind w:firstLine="420" w:firstLineChars="200"/>
        <w:rPr>
          <w:rFonts w:ascii="宋体" w:hAnsi="宋体"/>
          <w:color w:val="auto"/>
          <w:highlight w:val="none"/>
        </w:rPr>
      </w:pPr>
      <w:r>
        <w:rPr>
          <w:rFonts w:hint="eastAsia" w:ascii="宋体" w:hAnsi="宋体"/>
          <w:color w:val="auto"/>
          <w:highlight w:val="none"/>
        </w:rPr>
        <w:t>(3)施工现场四周应当设置连续、封闭的围</w:t>
      </w:r>
      <w:r>
        <w:rPr>
          <w:rFonts w:hint="eastAsia" w:ascii="宋体" w:hAnsi="宋体"/>
          <w:color w:val="auto"/>
          <w:highlight w:val="none"/>
          <w:lang w:val="en-US" w:eastAsia="zh-CN"/>
        </w:rPr>
        <w:t>挡</w:t>
      </w:r>
      <w:r>
        <w:rPr>
          <w:rFonts w:hint="eastAsia" w:ascii="宋体" w:hAnsi="宋体"/>
          <w:color w:val="auto"/>
          <w:highlight w:val="none"/>
        </w:rPr>
        <w:t>。管线工程、非全封闭的城市道路等工程应当使用路拦式围档。</w:t>
      </w:r>
    </w:p>
    <w:p w14:paraId="1C8C4AE1">
      <w:pPr>
        <w:spacing w:line="400" w:lineRule="exact"/>
        <w:ind w:firstLine="420" w:firstLineChars="200"/>
        <w:rPr>
          <w:rFonts w:ascii="宋体" w:hAnsi="宋体"/>
          <w:color w:val="auto"/>
          <w:highlight w:val="none"/>
        </w:rPr>
      </w:pPr>
      <w:r>
        <w:rPr>
          <w:rFonts w:hint="eastAsia" w:ascii="宋体" w:hAnsi="宋体"/>
          <w:color w:val="auto"/>
          <w:highlight w:val="none"/>
        </w:rPr>
        <w:t>(4)工地内车辆出入口应当设置洗车场地和沉淀池，配备高压冲洗水枪；不具备设置洗车设施的管线工程、非全封闭的城市道路等工程，施工单位应当采用移动式冲水设备冲洗工地车辆，并安排工人保洁。</w:t>
      </w:r>
    </w:p>
    <w:p w14:paraId="3B34CAE0">
      <w:pPr>
        <w:spacing w:line="400" w:lineRule="exact"/>
        <w:ind w:firstLine="420" w:firstLineChars="200"/>
        <w:rPr>
          <w:rFonts w:ascii="宋体" w:hAnsi="宋体"/>
          <w:color w:val="auto"/>
          <w:highlight w:val="none"/>
        </w:rPr>
      </w:pPr>
      <w:r>
        <w:rPr>
          <w:rFonts w:hint="eastAsia" w:ascii="宋体" w:hAnsi="宋体"/>
          <w:color w:val="auto"/>
          <w:highlight w:val="none"/>
        </w:rPr>
        <w:t>(5)工地外立面脚手架使用钢管搭设，禁止使用竹子搭设或者钢竹混搭，脚手架杆件应当涂装规定颜色的警示漆，不应有明显锈迹，立面统一采用绿色密目式安全网围蔽。</w:t>
      </w:r>
    </w:p>
    <w:p w14:paraId="5C3DF225">
      <w:pPr>
        <w:spacing w:line="400" w:lineRule="exact"/>
        <w:ind w:firstLine="420" w:firstLineChars="200"/>
        <w:rPr>
          <w:rFonts w:ascii="宋体" w:hAnsi="宋体"/>
          <w:color w:val="auto"/>
          <w:highlight w:val="none"/>
        </w:rPr>
      </w:pPr>
      <w:r>
        <w:rPr>
          <w:rFonts w:hint="eastAsia" w:ascii="宋体" w:hAnsi="宋体"/>
          <w:color w:val="auto"/>
          <w:highlight w:val="none"/>
        </w:rPr>
        <w:t>(6)施工现场的建筑材料和设备设施，应当按照施工总平面图划定的区域存放整齐，并设置标签，不得堆放在现场围蔽以外。</w:t>
      </w:r>
    </w:p>
    <w:p w14:paraId="35A4726F">
      <w:pPr>
        <w:spacing w:line="400" w:lineRule="exact"/>
        <w:ind w:firstLine="420" w:firstLineChars="200"/>
        <w:rPr>
          <w:rFonts w:ascii="宋体" w:hAnsi="宋体"/>
          <w:color w:val="auto"/>
          <w:highlight w:val="none"/>
        </w:rPr>
      </w:pPr>
      <w:r>
        <w:rPr>
          <w:rFonts w:hint="eastAsia" w:ascii="宋体" w:hAnsi="宋体"/>
          <w:color w:val="auto"/>
          <w:highlight w:val="none"/>
        </w:rPr>
        <w:t>(7)施工现场道路应当畅通，并设置通畅的排水设施和应急设施。</w:t>
      </w:r>
    </w:p>
    <w:p w14:paraId="34E2A8FE">
      <w:pPr>
        <w:spacing w:line="400" w:lineRule="exact"/>
        <w:ind w:firstLine="420" w:firstLineChars="200"/>
        <w:rPr>
          <w:rFonts w:ascii="宋体" w:hAnsi="宋体"/>
          <w:color w:val="auto"/>
          <w:highlight w:val="none"/>
        </w:rPr>
      </w:pPr>
      <w:r>
        <w:rPr>
          <w:rFonts w:hint="eastAsia" w:ascii="宋体" w:hAnsi="宋体"/>
          <w:color w:val="auto"/>
          <w:highlight w:val="none"/>
        </w:rPr>
        <w:t>8、对有较大危险因素的作业场所和有关设施、设备要设置明显的安全警示标志。</w:t>
      </w:r>
    </w:p>
    <w:p w14:paraId="6D077DE6">
      <w:pPr>
        <w:spacing w:line="400" w:lineRule="exact"/>
        <w:ind w:firstLine="420" w:firstLineChars="200"/>
        <w:rPr>
          <w:rFonts w:ascii="宋体" w:hAnsi="宋体"/>
          <w:color w:val="auto"/>
          <w:highlight w:val="none"/>
        </w:rPr>
      </w:pPr>
      <w:r>
        <w:rPr>
          <w:rFonts w:hint="eastAsia" w:ascii="宋体" w:hAnsi="宋体"/>
          <w:color w:val="auto"/>
          <w:highlight w:val="none"/>
        </w:rPr>
        <w:t>9、安全文明施工监督检查人员进行监督检查时，乙方要主动接受检查，并积极配合，不得拒绝，阻挠和拖延，并在检查记录上签字。</w:t>
      </w:r>
    </w:p>
    <w:p w14:paraId="31146ECC">
      <w:pPr>
        <w:spacing w:line="400" w:lineRule="exact"/>
        <w:ind w:firstLine="420" w:firstLineChars="200"/>
        <w:rPr>
          <w:rFonts w:ascii="宋体" w:hAnsi="宋体"/>
          <w:color w:val="auto"/>
          <w:highlight w:val="none"/>
        </w:rPr>
      </w:pPr>
      <w:r>
        <w:rPr>
          <w:rFonts w:hint="eastAsia" w:ascii="宋体" w:hAnsi="宋体"/>
          <w:color w:val="auto"/>
          <w:highlight w:val="none"/>
        </w:rPr>
        <w:t>10、每周至少召开一次安全文明施工会议，自查自纠安全隐患及违反文明施工管理规定因素，保证工程顺利进行。</w:t>
      </w:r>
    </w:p>
    <w:p w14:paraId="182889B5">
      <w:pPr>
        <w:spacing w:line="400" w:lineRule="exact"/>
        <w:ind w:firstLine="420" w:firstLineChars="200"/>
        <w:rPr>
          <w:rFonts w:ascii="宋体" w:hAnsi="宋体"/>
          <w:color w:val="auto"/>
          <w:highlight w:val="none"/>
        </w:rPr>
      </w:pPr>
      <w:r>
        <w:rPr>
          <w:rFonts w:hint="eastAsia" w:ascii="宋体" w:hAnsi="宋体"/>
          <w:color w:val="auto"/>
          <w:highlight w:val="none"/>
        </w:rPr>
        <w:t>第五条  安全文明施工措施费的计取和管理</w:t>
      </w:r>
    </w:p>
    <w:p w14:paraId="3B421F0F">
      <w:pPr>
        <w:spacing w:line="400" w:lineRule="exact"/>
        <w:ind w:firstLine="420" w:firstLineChars="200"/>
        <w:rPr>
          <w:rFonts w:ascii="宋体" w:hAnsi="宋体"/>
          <w:color w:val="auto"/>
          <w:highlight w:val="none"/>
        </w:rPr>
      </w:pPr>
      <w:r>
        <w:rPr>
          <w:rFonts w:hint="eastAsia" w:ascii="宋体" w:hAnsi="宋体"/>
          <w:color w:val="auto"/>
          <w:highlight w:val="none"/>
        </w:rPr>
        <w:t>本工程合同中标价</w:t>
      </w:r>
      <w:r>
        <w:rPr>
          <w:rFonts w:hint="eastAsia" w:ascii="宋体" w:hAnsi="宋体"/>
          <w:color w:val="auto"/>
          <w:highlight w:val="none"/>
          <w:u w:val="single"/>
        </w:rPr>
        <w:t xml:space="preserve">    </w:t>
      </w:r>
      <w:r>
        <w:rPr>
          <w:rFonts w:hint="eastAsia" w:ascii="宋体" w:hAnsi="宋体"/>
          <w:color w:val="auto"/>
          <w:highlight w:val="none"/>
        </w:rPr>
        <w:t>万元（大写：），其中应计取安全文明施工措施费用为</w:t>
      </w:r>
      <w:r>
        <w:rPr>
          <w:rFonts w:hint="eastAsia" w:ascii="宋体" w:hAnsi="宋体"/>
          <w:color w:val="auto"/>
          <w:highlight w:val="none"/>
          <w:u w:val="single"/>
        </w:rPr>
        <w:t xml:space="preserve">     </w:t>
      </w:r>
      <w:r>
        <w:rPr>
          <w:rFonts w:hint="eastAsia" w:ascii="宋体" w:hAnsi="宋体"/>
          <w:color w:val="auto"/>
          <w:highlight w:val="none"/>
        </w:rPr>
        <w:t>万元，该费用为专项费用，全部投入到施工工程的安全文明施工管理，按计量支付，总额控制，超过部分不另外支付。同时，在财务管理中应以工程项目为单位，单独列出安全防护、文明施工措施费收入和支出清单备查。</w:t>
      </w:r>
    </w:p>
    <w:p w14:paraId="5236CD92">
      <w:pPr>
        <w:spacing w:line="400" w:lineRule="exact"/>
        <w:ind w:firstLine="420" w:firstLineChars="200"/>
        <w:rPr>
          <w:rFonts w:ascii="宋体" w:hAnsi="宋体"/>
          <w:color w:val="auto"/>
          <w:highlight w:val="none"/>
        </w:rPr>
      </w:pPr>
      <w:r>
        <w:rPr>
          <w:rFonts w:hint="eastAsia" w:ascii="宋体" w:hAnsi="宋体"/>
          <w:color w:val="auto"/>
          <w:highlight w:val="none"/>
        </w:rPr>
        <w:t>第六条 工程安全文明施工实行履约保证金管理制度</w:t>
      </w:r>
    </w:p>
    <w:p w14:paraId="4BD9DEA5">
      <w:pPr>
        <w:spacing w:line="400" w:lineRule="exact"/>
        <w:ind w:firstLine="420" w:firstLineChars="200"/>
        <w:rPr>
          <w:rFonts w:ascii="宋体" w:hAnsi="宋体"/>
          <w:color w:val="auto"/>
          <w:highlight w:val="none"/>
        </w:rPr>
      </w:pPr>
      <w:r>
        <w:rPr>
          <w:rFonts w:hint="eastAsia" w:ascii="宋体" w:hAnsi="宋体"/>
          <w:color w:val="auto"/>
          <w:highlight w:val="none"/>
        </w:rPr>
        <w:t>1、甲方不定时组织人员按照《建筑安全施工检查标准JGJ59-2011）》和《广州市建设工程文明施工管理规定》对乙方落实安全生产和文明施工措施进行检查评分，每个月评分一次，评分等级为不合格（综合分数低于70分）的在履约保证金扣罚5万/次；乙方隐瞒安全风险的，按评定不合格处理。</w:t>
      </w:r>
    </w:p>
    <w:p w14:paraId="415E92E6">
      <w:pPr>
        <w:spacing w:line="400" w:lineRule="exact"/>
        <w:ind w:firstLine="420" w:firstLineChars="200"/>
        <w:rPr>
          <w:rFonts w:ascii="宋体" w:hAnsi="宋体"/>
          <w:color w:val="auto"/>
          <w:highlight w:val="none"/>
        </w:rPr>
      </w:pPr>
      <w:r>
        <w:rPr>
          <w:rFonts w:hint="eastAsia" w:ascii="宋体" w:hAnsi="宋体"/>
          <w:color w:val="auto"/>
          <w:highlight w:val="none"/>
        </w:rPr>
        <w:t>2、履行承包合同期间，发生一起一般生产安全事故的，扣罚施工承包人履约保证金10万元人民币；一个自然年度（1月1日至12月31日，下同）内发生两起及以上一般生产安全事故的，从第二起事故起，每起扣罚施工承包人履约保证金20万元；发生较大及以上生产安全事故的，每起扣罚施工承包人履约保证金50万元。</w:t>
      </w:r>
    </w:p>
    <w:p w14:paraId="3A40A814">
      <w:pPr>
        <w:spacing w:line="400" w:lineRule="exact"/>
        <w:ind w:firstLine="420" w:firstLineChars="200"/>
        <w:rPr>
          <w:rFonts w:ascii="宋体" w:hAnsi="宋体"/>
          <w:color w:val="auto"/>
          <w:highlight w:val="none"/>
        </w:rPr>
      </w:pPr>
      <w:r>
        <w:rPr>
          <w:rFonts w:hint="eastAsia" w:ascii="宋体" w:hAnsi="宋体"/>
          <w:color w:val="auto"/>
          <w:highlight w:val="none"/>
        </w:rPr>
        <w:t>3、甲方每季度对施工承包人安全文明施工情况进行评价，并将评价结果录入市水务局诚信系统。</w:t>
      </w:r>
    </w:p>
    <w:p w14:paraId="67F8654F">
      <w:pPr>
        <w:spacing w:line="400" w:lineRule="exact"/>
        <w:ind w:firstLine="420" w:firstLineChars="200"/>
        <w:rPr>
          <w:rFonts w:ascii="宋体" w:hAnsi="宋体"/>
          <w:color w:val="auto"/>
          <w:highlight w:val="none"/>
        </w:rPr>
      </w:pPr>
      <w:r>
        <w:rPr>
          <w:rFonts w:hint="eastAsia" w:ascii="宋体" w:hAnsi="宋体"/>
          <w:color w:val="auto"/>
          <w:highlight w:val="none"/>
        </w:rPr>
        <w:t>第七条  发生一般(或以上)安全生产责任事故的，对本工程施工承包人纳入广州市水务工程不诚信行为记录，记录有效期2年（不诚信行为记录自安监部门等相关单位的书面调查报告或行政处罚决定书发布的时间之日开始计算）</w:t>
      </w:r>
    </w:p>
    <w:p w14:paraId="57DAC859">
      <w:pPr>
        <w:spacing w:line="400" w:lineRule="exact"/>
        <w:ind w:firstLine="420" w:firstLineChars="200"/>
        <w:rPr>
          <w:rFonts w:ascii="宋体" w:hAnsi="宋体"/>
          <w:color w:val="auto"/>
          <w:highlight w:val="none"/>
        </w:rPr>
      </w:pPr>
      <w:r>
        <w:rPr>
          <w:rFonts w:hint="eastAsia" w:ascii="宋体" w:hAnsi="宋体"/>
          <w:color w:val="auto"/>
          <w:highlight w:val="none"/>
        </w:rPr>
        <w:t>第八条  安全风险因素辨识和评估及安全交底</w:t>
      </w:r>
    </w:p>
    <w:p w14:paraId="3F550273">
      <w:pPr>
        <w:spacing w:line="400" w:lineRule="exact"/>
        <w:ind w:firstLine="420" w:firstLineChars="200"/>
        <w:rPr>
          <w:rFonts w:ascii="宋体" w:hAnsi="宋体"/>
          <w:color w:val="auto"/>
          <w:highlight w:val="none"/>
        </w:rPr>
      </w:pPr>
      <w:r>
        <w:rPr>
          <w:rFonts w:hint="eastAsia" w:ascii="宋体" w:hAnsi="宋体"/>
          <w:color w:val="auto"/>
          <w:highlight w:val="none"/>
        </w:rPr>
        <w:t>1、开工前，乙方应提交工程项目安全风险因素辨识和评估报告作为申请开工令的材料，该报告应根据具体项目以列表形式详细列出本项目可能的安全风险因素，并提出切实可行的安全防控措施；</w:t>
      </w:r>
    </w:p>
    <w:p w14:paraId="466811E1">
      <w:pPr>
        <w:spacing w:line="400" w:lineRule="exact"/>
        <w:ind w:firstLine="420" w:firstLineChars="200"/>
        <w:rPr>
          <w:rFonts w:ascii="宋体" w:hAnsi="宋体"/>
          <w:color w:val="auto"/>
          <w:highlight w:val="none"/>
        </w:rPr>
      </w:pPr>
      <w:r>
        <w:rPr>
          <w:rFonts w:hint="eastAsia" w:ascii="宋体" w:hAnsi="宋体"/>
          <w:color w:val="auto"/>
          <w:highlight w:val="none"/>
        </w:rPr>
        <w:t>2、乙方应该在项目安全风险因素辨识和评估报告的基础上，编制项目安全文明费的投入计划；</w:t>
      </w:r>
    </w:p>
    <w:p w14:paraId="024F39E3">
      <w:pPr>
        <w:spacing w:line="400" w:lineRule="exact"/>
        <w:ind w:firstLine="420" w:firstLineChars="200"/>
        <w:rPr>
          <w:rFonts w:ascii="宋体" w:hAnsi="宋体"/>
          <w:color w:val="auto"/>
          <w:highlight w:val="none"/>
        </w:rPr>
      </w:pPr>
      <w:r>
        <w:rPr>
          <w:rFonts w:hint="eastAsia" w:ascii="宋体" w:hAnsi="宋体"/>
          <w:color w:val="auto"/>
          <w:highlight w:val="none"/>
        </w:rPr>
        <w:t>3、在开工前由甲方组织召开工程安全交底会议，参加人员包括甲方代表、甲方工程安全管理人员，乙方项目管理机构全体成员，乙方安全员、乙方施工班组长和作业人员、监理公司总监理工程师、工程安全监理工程师等；</w:t>
      </w:r>
    </w:p>
    <w:p w14:paraId="367C4FAF">
      <w:pPr>
        <w:spacing w:line="400" w:lineRule="exact"/>
        <w:ind w:firstLine="420" w:firstLineChars="200"/>
        <w:rPr>
          <w:rFonts w:ascii="宋体" w:hAnsi="宋体"/>
          <w:color w:val="auto"/>
          <w:highlight w:val="none"/>
        </w:rPr>
      </w:pPr>
      <w:r>
        <w:rPr>
          <w:rFonts w:hint="eastAsia" w:ascii="宋体" w:hAnsi="宋体"/>
          <w:color w:val="auto"/>
          <w:highlight w:val="none"/>
        </w:rPr>
        <w:t>第九条  安全预报和安全约谈</w:t>
      </w:r>
    </w:p>
    <w:p w14:paraId="045DC02F">
      <w:pPr>
        <w:spacing w:line="400" w:lineRule="exact"/>
        <w:ind w:firstLine="420" w:firstLineChars="200"/>
        <w:rPr>
          <w:rFonts w:ascii="宋体" w:hAnsi="宋体"/>
          <w:color w:val="auto"/>
          <w:highlight w:val="none"/>
        </w:rPr>
      </w:pPr>
      <w:r>
        <w:rPr>
          <w:rFonts w:hint="eastAsia" w:ascii="宋体" w:hAnsi="宋体"/>
          <w:color w:val="auto"/>
          <w:highlight w:val="none"/>
        </w:rPr>
        <w:t>1、在施工过程中，甲方现场安全负责人、安全员应该根据工程的进度，及时进行动态跟踪，并根据现场实际情况及时进行安全预报，在每次的工程例会上，乙方现场安全负责人必须就具体工点进行安全风险分析和预报并形成会议纪要送监理工程师和甲方备案；</w:t>
      </w:r>
    </w:p>
    <w:p w14:paraId="7839DD15">
      <w:pPr>
        <w:spacing w:line="400" w:lineRule="exact"/>
        <w:ind w:firstLine="420" w:firstLineChars="200"/>
        <w:rPr>
          <w:rFonts w:ascii="宋体" w:hAnsi="宋体"/>
          <w:color w:val="auto"/>
          <w:highlight w:val="none"/>
        </w:rPr>
      </w:pPr>
      <w:r>
        <w:rPr>
          <w:rFonts w:hint="eastAsia" w:ascii="宋体" w:hAnsi="宋体"/>
          <w:color w:val="auto"/>
          <w:highlight w:val="none"/>
        </w:rPr>
        <w:t>2、除了开工前的安全交底外，在项目实施过程中，甲方在认为必要时，有权约集乙方及监理单位有关人员进行安全约谈，范围包括并不限于乙方本部安全责任人、现场安全负责人、安全员、施工班组长及监理单位有关人员等。乙方在接到约谈通知后，应根据甲方要求安排有关人员至指定的地点参加。</w:t>
      </w:r>
    </w:p>
    <w:p w14:paraId="5268F93A">
      <w:pPr>
        <w:spacing w:line="400" w:lineRule="exact"/>
        <w:ind w:firstLine="420" w:firstLineChars="200"/>
        <w:rPr>
          <w:rFonts w:ascii="宋体" w:hAnsi="宋体"/>
          <w:color w:val="auto"/>
          <w:highlight w:val="none"/>
        </w:rPr>
      </w:pPr>
      <w:r>
        <w:rPr>
          <w:rFonts w:hint="eastAsia" w:ascii="宋体" w:hAnsi="宋体"/>
          <w:color w:val="auto"/>
          <w:highlight w:val="none"/>
        </w:rPr>
        <w:t>第十条  事故处理</w:t>
      </w:r>
    </w:p>
    <w:p w14:paraId="1820E263">
      <w:pPr>
        <w:spacing w:line="400" w:lineRule="exact"/>
        <w:ind w:firstLine="420" w:firstLineChars="200"/>
        <w:rPr>
          <w:rFonts w:ascii="宋体" w:hAnsi="宋体"/>
          <w:color w:val="auto"/>
          <w:highlight w:val="none"/>
        </w:rPr>
      </w:pPr>
      <w:r>
        <w:rPr>
          <w:rFonts w:hint="eastAsia" w:ascii="宋体" w:hAnsi="宋体"/>
          <w:color w:val="auto"/>
          <w:highlight w:val="none"/>
        </w:rPr>
        <w:t>1、发生重伤或死亡或直接经济损失100万元以上的安全生产事故，乙方施工项目部负责人应立即按规定向事故所在地安监部门、行业主管部门和广州市规定的相关政府部门报告，并同时统计上报甲方代表。</w:t>
      </w:r>
    </w:p>
    <w:p w14:paraId="54EC867E">
      <w:pPr>
        <w:spacing w:line="400" w:lineRule="exact"/>
        <w:ind w:firstLine="420" w:firstLineChars="200"/>
        <w:rPr>
          <w:rFonts w:ascii="宋体" w:hAnsi="宋体"/>
          <w:color w:val="auto"/>
          <w:highlight w:val="none"/>
        </w:rPr>
      </w:pPr>
      <w:r>
        <w:rPr>
          <w:rFonts w:hint="eastAsia" w:ascii="宋体" w:hAnsi="宋体"/>
          <w:color w:val="auto"/>
          <w:highlight w:val="none"/>
        </w:rPr>
        <w:t>2、发生生产安全事故的，事故发生单位负责人接到事故报告后，应当立即启动事故相应应急预案，或者采取有效措施，组织抢救，防止事故扩大，减少人员伤亡和财产损失。</w:t>
      </w:r>
    </w:p>
    <w:p w14:paraId="79BF8931">
      <w:pPr>
        <w:spacing w:line="400" w:lineRule="exact"/>
        <w:ind w:firstLine="420" w:firstLineChars="200"/>
        <w:rPr>
          <w:rFonts w:ascii="宋体" w:hAnsi="宋体"/>
          <w:color w:val="auto"/>
          <w:highlight w:val="none"/>
        </w:rPr>
      </w:pPr>
      <w:r>
        <w:rPr>
          <w:rFonts w:hint="eastAsia" w:ascii="宋体" w:hAnsi="宋体"/>
          <w:color w:val="auto"/>
          <w:highlight w:val="none"/>
        </w:rPr>
        <w:t>3、乙方由于没有尽到自身安全责任，被认定为安全生产责任事故的，应承担违约责任。</w:t>
      </w:r>
    </w:p>
    <w:p w14:paraId="09662289">
      <w:pPr>
        <w:spacing w:line="400" w:lineRule="exact"/>
        <w:ind w:firstLine="420" w:firstLineChars="200"/>
        <w:rPr>
          <w:rFonts w:ascii="宋体" w:hAnsi="宋体"/>
          <w:color w:val="auto"/>
          <w:highlight w:val="none"/>
        </w:rPr>
      </w:pPr>
      <w:r>
        <w:rPr>
          <w:rFonts w:hint="eastAsia" w:ascii="宋体" w:hAnsi="宋体"/>
          <w:color w:val="auto"/>
          <w:highlight w:val="none"/>
        </w:rPr>
        <w:t>4、对违章作业、冒险进入施工禁区及损坏安全防护设施、不按规定进行安全技术交底及组织施工造成伤亡事故的，应由乙方和事故责任者自己承担罚款及一切经济损失和刑事责任。</w:t>
      </w:r>
    </w:p>
    <w:p w14:paraId="66C0240C">
      <w:pPr>
        <w:spacing w:line="400" w:lineRule="exact"/>
        <w:ind w:firstLine="420" w:firstLineChars="200"/>
        <w:rPr>
          <w:rFonts w:ascii="宋体" w:hAnsi="宋体"/>
          <w:color w:val="auto"/>
          <w:highlight w:val="none"/>
        </w:rPr>
      </w:pPr>
      <w:r>
        <w:rPr>
          <w:rFonts w:hint="eastAsia" w:ascii="宋体" w:hAnsi="宋体"/>
          <w:color w:val="auto"/>
          <w:highlight w:val="none"/>
        </w:rPr>
        <w:t>5、由于乙方原因发生安全生产事故，主管部门对甲方进行经济处罚的，乙方应承担甲方全部经济损失。</w:t>
      </w:r>
    </w:p>
    <w:p w14:paraId="7E5E246E">
      <w:pPr>
        <w:spacing w:line="400" w:lineRule="exact"/>
        <w:ind w:firstLine="420" w:firstLineChars="200"/>
        <w:rPr>
          <w:rFonts w:ascii="宋体" w:hAnsi="宋体"/>
          <w:color w:val="auto"/>
          <w:highlight w:val="none"/>
        </w:rPr>
      </w:pPr>
      <w:r>
        <w:rPr>
          <w:rFonts w:hint="eastAsia" w:ascii="宋体" w:hAnsi="宋体"/>
          <w:color w:val="auto"/>
          <w:highlight w:val="none"/>
        </w:rPr>
        <w:t>第十一条  开工前，乙方应向甲方提供的安全管理网络体系资料包括但不限于：</w:t>
      </w:r>
    </w:p>
    <w:p w14:paraId="307308AF">
      <w:pPr>
        <w:spacing w:line="400" w:lineRule="exact"/>
        <w:ind w:firstLine="420" w:firstLineChars="200"/>
        <w:rPr>
          <w:rFonts w:ascii="宋体" w:hAnsi="宋体"/>
          <w:color w:val="auto"/>
          <w:highlight w:val="none"/>
        </w:rPr>
      </w:pPr>
      <w:r>
        <w:rPr>
          <w:rFonts w:hint="eastAsia" w:ascii="宋体" w:hAnsi="宋体"/>
          <w:color w:val="auto"/>
          <w:highlight w:val="none"/>
        </w:rPr>
        <w:t>1、安全管理网络图;</w:t>
      </w:r>
    </w:p>
    <w:p w14:paraId="15254B1F">
      <w:pPr>
        <w:spacing w:line="400" w:lineRule="exact"/>
        <w:ind w:firstLine="420" w:firstLineChars="200"/>
        <w:rPr>
          <w:rFonts w:ascii="宋体" w:hAnsi="宋体"/>
          <w:color w:val="auto"/>
          <w:highlight w:val="none"/>
        </w:rPr>
      </w:pPr>
      <w:r>
        <w:rPr>
          <w:rFonts w:hint="eastAsia" w:ascii="宋体" w:hAnsi="宋体"/>
          <w:color w:val="auto"/>
          <w:highlight w:val="none"/>
        </w:rPr>
        <w:t>2、人员配备情况;</w:t>
      </w:r>
    </w:p>
    <w:p w14:paraId="1EFDB70C">
      <w:pPr>
        <w:spacing w:line="400" w:lineRule="exact"/>
        <w:ind w:firstLine="420" w:firstLineChars="200"/>
        <w:rPr>
          <w:rFonts w:ascii="宋体" w:hAnsi="宋体"/>
          <w:color w:val="auto"/>
          <w:highlight w:val="none"/>
        </w:rPr>
      </w:pPr>
      <w:r>
        <w:rPr>
          <w:rFonts w:hint="eastAsia" w:ascii="宋体" w:hAnsi="宋体"/>
          <w:color w:val="auto"/>
          <w:highlight w:val="none"/>
        </w:rPr>
        <w:t>3、安全员名单;</w:t>
      </w:r>
    </w:p>
    <w:p w14:paraId="1A02756F">
      <w:pPr>
        <w:spacing w:line="400" w:lineRule="exact"/>
        <w:ind w:firstLine="420" w:firstLineChars="200"/>
        <w:rPr>
          <w:rFonts w:ascii="宋体" w:hAnsi="宋体"/>
          <w:color w:val="auto"/>
          <w:highlight w:val="none"/>
        </w:rPr>
      </w:pPr>
      <w:r>
        <w:rPr>
          <w:rFonts w:hint="eastAsia" w:ascii="宋体" w:hAnsi="宋体"/>
          <w:color w:val="auto"/>
          <w:highlight w:val="none"/>
        </w:rPr>
        <w:t>4、安全管理制度</w:t>
      </w:r>
    </w:p>
    <w:p w14:paraId="5ECC02EF">
      <w:pPr>
        <w:spacing w:line="400" w:lineRule="exact"/>
        <w:ind w:firstLine="420" w:firstLineChars="200"/>
        <w:rPr>
          <w:rFonts w:ascii="宋体" w:hAnsi="宋体"/>
          <w:color w:val="auto"/>
          <w:highlight w:val="none"/>
        </w:rPr>
      </w:pPr>
      <w:r>
        <w:rPr>
          <w:rFonts w:hint="eastAsia" w:ascii="宋体" w:hAnsi="宋体"/>
          <w:color w:val="auto"/>
          <w:highlight w:val="none"/>
        </w:rPr>
        <w:t>5、项目安全风险因素列表</w:t>
      </w:r>
    </w:p>
    <w:p w14:paraId="779AB1C1">
      <w:pPr>
        <w:spacing w:line="400" w:lineRule="exact"/>
        <w:ind w:firstLine="420" w:firstLineChars="200"/>
        <w:rPr>
          <w:rFonts w:ascii="宋体" w:hAnsi="宋体"/>
          <w:color w:val="auto"/>
          <w:highlight w:val="none"/>
        </w:rPr>
      </w:pPr>
      <w:r>
        <w:rPr>
          <w:rFonts w:hint="eastAsia" w:ascii="宋体" w:hAnsi="宋体"/>
          <w:color w:val="auto"/>
          <w:highlight w:val="none"/>
        </w:rPr>
        <w:t>6、甲方要求的其他资料。</w:t>
      </w:r>
    </w:p>
    <w:p w14:paraId="293BFB6D">
      <w:pPr>
        <w:spacing w:line="400" w:lineRule="exact"/>
        <w:ind w:firstLine="420" w:firstLineChars="200"/>
        <w:rPr>
          <w:rFonts w:ascii="宋体" w:hAnsi="宋体"/>
          <w:color w:val="auto"/>
          <w:highlight w:val="none"/>
        </w:rPr>
      </w:pPr>
      <w:r>
        <w:rPr>
          <w:rFonts w:hint="eastAsia" w:ascii="宋体" w:hAnsi="宋体"/>
          <w:color w:val="auto"/>
          <w:highlight w:val="none"/>
        </w:rPr>
        <w:t>第十二条 违约责任</w:t>
      </w:r>
    </w:p>
    <w:p w14:paraId="38A8F3A3">
      <w:pPr>
        <w:spacing w:line="400" w:lineRule="exact"/>
        <w:ind w:firstLine="420" w:firstLineChars="200"/>
        <w:rPr>
          <w:rFonts w:ascii="宋体" w:hAnsi="宋体"/>
          <w:color w:val="auto"/>
          <w:highlight w:val="none"/>
        </w:rPr>
      </w:pPr>
      <w:r>
        <w:rPr>
          <w:rFonts w:hint="eastAsia" w:ascii="宋体" w:hAnsi="宋体"/>
          <w:color w:val="auto"/>
          <w:highlight w:val="none"/>
        </w:rPr>
        <w:t>本协议为主合同附件，与主合同具同等效力，违反本协议的，按违反主合同的约定执行。</w:t>
      </w:r>
    </w:p>
    <w:p w14:paraId="58FB748F">
      <w:pPr>
        <w:spacing w:line="400" w:lineRule="exact"/>
        <w:ind w:firstLine="420" w:firstLineChars="200"/>
        <w:rPr>
          <w:rFonts w:ascii="宋体" w:hAnsi="宋体"/>
          <w:color w:val="auto"/>
          <w:highlight w:val="none"/>
        </w:rPr>
      </w:pPr>
      <w:r>
        <w:rPr>
          <w:rFonts w:hint="eastAsia" w:ascii="宋体" w:hAnsi="宋体"/>
          <w:color w:val="auto"/>
          <w:highlight w:val="none"/>
        </w:rPr>
        <w:t>第十三条  本协议一式陆份，甲乙双方签字生效，工程竣工验收后自动失效。</w:t>
      </w:r>
    </w:p>
    <w:p w14:paraId="58CF6B67">
      <w:pPr>
        <w:spacing w:line="400" w:lineRule="exact"/>
        <w:ind w:firstLine="420" w:firstLineChars="200"/>
        <w:rPr>
          <w:rFonts w:ascii="宋体" w:hAnsi="宋体"/>
          <w:color w:val="auto"/>
          <w:highlight w:val="none"/>
        </w:rPr>
      </w:pPr>
      <w:r>
        <w:rPr>
          <w:rFonts w:hint="eastAsia" w:ascii="宋体" w:hAnsi="宋体"/>
          <w:color w:val="auto"/>
          <w:highlight w:val="none"/>
        </w:rPr>
        <w:t>未尽事宜，双方协商解决。</w:t>
      </w:r>
    </w:p>
    <w:p w14:paraId="5F420799">
      <w:pPr>
        <w:spacing w:line="400" w:lineRule="exact"/>
        <w:ind w:firstLine="420" w:firstLineChars="200"/>
        <w:rPr>
          <w:rFonts w:ascii="宋体" w:hAnsi="宋体"/>
          <w:color w:val="auto"/>
          <w:highlight w:val="none"/>
        </w:rPr>
      </w:pPr>
      <w:r>
        <w:rPr>
          <w:rFonts w:hint="eastAsia" w:ascii="宋体" w:hAnsi="宋体"/>
          <w:color w:val="auto"/>
          <w:highlight w:val="none"/>
        </w:rPr>
        <w:t>附表：文明施工检查评分标准表</w:t>
      </w:r>
    </w:p>
    <w:p w14:paraId="78A29F47">
      <w:pPr>
        <w:spacing w:line="400" w:lineRule="exact"/>
        <w:ind w:firstLine="420" w:firstLineChars="200"/>
        <w:rPr>
          <w:rFonts w:ascii="宋体" w:hAnsi="宋体"/>
          <w:color w:val="auto"/>
          <w:highlight w:val="none"/>
        </w:rPr>
      </w:pPr>
      <w:r>
        <w:rPr>
          <w:rFonts w:hint="eastAsia" w:ascii="宋体" w:hAnsi="宋体"/>
          <w:color w:val="auto"/>
          <w:highlight w:val="none"/>
        </w:rPr>
        <w:t>甲 方：</w:t>
      </w:r>
    </w:p>
    <w:p w14:paraId="77BF8B3C">
      <w:pPr>
        <w:spacing w:line="400" w:lineRule="exact"/>
        <w:ind w:firstLine="420" w:firstLineChars="200"/>
        <w:rPr>
          <w:rFonts w:ascii="宋体" w:hAnsi="宋体"/>
          <w:color w:val="auto"/>
          <w:highlight w:val="none"/>
        </w:rPr>
      </w:pPr>
      <w:r>
        <w:rPr>
          <w:rFonts w:hint="eastAsia" w:ascii="宋体" w:hAnsi="宋体"/>
          <w:color w:val="auto"/>
          <w:highlight w:val="none"/>
        </w:rPr>
        <w:t xml:space="preserve">法定代表人（签章）：             日期： </w:t>
      </w:r>
    </w:p>
    <w:p w14:paraId="64F07372">
      <w:pPr>
        <w:spacing w:line="400" w:lineRule="exact"/>
        <w:ind w:firstLine="420" w:firstLineChars="200"/>
        <w:rPr>
          <w:rFonts w:ascii="宋体" w:hAnsi="宋体"/>
          <w:color w:val="auto"/>
          <w:highlight w:val="none"/>
        </w:rPr>
      </w:pPr>
      <w:r>
        <w:rPr>
          <w:rFonts w:hint="eastAsia" w:ascii="宋体" w:hAnsi="宋体"/>
          <w:color w:val="auto"/>
          <w:highlight w:val="none"/>
        </w:rPr>
        <w:t>乙 方：</w:t>
      </w:r>
    </w:p>
    <w:p w14:paraId="6D4478B9">
      <w:pPr>
        <w:spacing w:line="400" w:lineRule="exact"/>
        <w:ind w:firstLine="420" w:firstLineChars="200"/>
        <w:rPr>
          <w:rFonts w:ascii="宋体" w:hAnsi="宋体"/>
          <w:color w:val="auto"/>
          <w:highlight w:val="none"/>
        </w:rPr>
      </w:pPr>
      <w:r>
        <w:rPr>
          <w:rFonts w:hint="eastAsia" w:ascii="宋体" w:hAnsi="宋体"/>
          <w:color w:val="auto"/>
          <w:highlight w:val="none"/>
        </w:rPr>
        <w:t>法定代表人（签章）：             日期：</w:t>
      </w:r>
    </w:p>
    <w:p w14:paraId="12FD7014">
      <w:pPr>
        <w:spacing w:line="400" w:lineRule="exact"/>
        <w:ind w:firstLine="420" w:firstLineChars="200"/>
        <w:rPr>
          <w:rFonts w:ascii="宋体" w:hAnsi="宋体"/>
          <w:color w:val="auto"/>
          <w:highlight w:val="none"/>
        </w:rPr>
      </w:pPr>
    </w:p>
    <w:p w14:paraId="0B03CFD8">
      <w:pPr>
        <w:spacing w:line="400" w:lineRule="exact"/>
        <w:ind w:firstLine="420" w:firstLineChars="200"/>
        <w:rPr>
          <w:rFonts w:ascii="宋体" w:hAnsi="宋体"/>
          <w:color w:val="auto"/>
          <w:highlight w:val="none"/>
        </w:rPr>
      </w:pPr>
    </w:p>
    <w:p w14:paraId="04F19C82">
      <w:pPr>
        <w:spacing w:line="400" w:lineRule="exact"/>
        <w:ind w:firstLine="420" w:firstLineChars="200"/>
        <w:rPr>
          <w:rFonts w:ascii="宋体" w:hAnsi="宋体"/>
          <w:color w:val="auto"/>
          <w:highlight w:val="none"/>
        </w:rPr>
      </w:pPr>
    </w:p>
    <w:p w14:paraId="763F5BB4">
      <w:pPr>
        <w:spacing w:line="400" w:lineRule="exact"/>
        <w:ind w:firstLine="420" w:firstLineChars="200"/>
        <w:rPr>
          <w:rFonts w:ascii="宋体" w:hAnsi="宋体"/>
          <w:color w:val="auto"/>
          <w:highlight w:val="none"/>
        </w:rPr>
      </w:pPr>
    </w:p>
    <w:p w14:paraId="11F9E31D">
      <w:pPr>
        <w:spacing w:line="400" w:lineRule="exact"/>
        <w:ind w:firstLine="420" w:firstLineChars="200"/>
        <w:rPr>
          <w:rFonts w:ascii="宋体" w:hAnsi="宋体"/>
          <w:color w:val="auto"/>
          <w:highlight w:val="none"/>
        </w:rPr>
      </w:pPr>
    </w:p>
    <w:p w14:paraId="42FD8F8C">
      <w:pPr>
        <w:spacing w:line="400" w:lineRule="exact"/>
        <w:rPr>
          <w:rFonts w:ascii="宋体" w:hAnsi="宋体"/>
          <w:color w:val="auto"/>
          <w:highlight w:val="none"/>
        </w:rPr>
      </w:pPr>
      <w:r>
        <w:rPr>
          <w:rFonts w:ascii="宋体" w:hAnsi="宋体"/>
          <w:color w:val="auto"/>
          <w:highlight w:val="none"/>
        </w:rPr>
        <w:br w:type="page"/>
      </w:r>
    </w:p>
    <w:p w14:paraId="49C4EA6C">
      <w:pPr>
        <w:keepNext/>
        <w:keepLines/>
        <w:spacing w:line="400" w:lineRule="exact"/>
        <w:jc w:val="left"/>
        <w:outlineLvl w:val="2"/>
        <w:rPr>
          <w:rFonts w:ascii="宋体" w:hAnsi="宋体" w:cs="宋体"/>
          <w:color w:val="auto"/>
          <w:kern w:val="0"/>
          <w:sz w:val="24"/>
          <w:szCs w:val="20"/>
          <w:highlight w:val="none"/>
        </w:rPr>
      </w:pPr>
      <w:bookmarkStart w:id="1006" w:name="_Toc367280804"/>
      <w:bookmarkStart w:id="1007" w:name="_Toc115180048"/>
      <w:bookmarkStart w:id="1008" w:name="_Toc354050795"/>
      <w:bookmarkStart w:id="1009" w:name="_Toc354042318"/>
      <w:r>
        <w:rPr>
          <w:rFonts w:hint="eastAsia" w:ascii="宋体" w:hAnsi="宋体" w:cs="宋体"/>
          <w:color w:val="auto"/>
          <w:kern w:val="0"/>
          <w:sz w:val="24"/>
          <w:szCs w:val="20"/>
          <w:highlight w:val="none"/>
        </w:rPr>
        <w:t>附件五：工程变更报审表格式</w:t>
      </w:r>
      <w:bookmarkEnd w:id="1006"/>
      <w:bookmarkEnd w:id="1007"/>
      <w:bookmarkEnd w:id="1008"/>
      <w:bookmarkEnd w:id="1009"/>
    </w:p>
    <w:p w14:paraId="19A41D49">
      <w:pPr>
        <w:spacing w:line="400" w:lineRule="exact"/>
        <w:jc w:val="center"/>
        <w:rPr>
          <w:rFonts w:ascii="宋体" w:hAnsi="宋体"/>
          <w:color w:val="auto"/>
          <w:sz w:val="27"/>
          <w:szCs w:val="27"/>
          <w:highlight w:val="none"/>
        </w:rPr>
      </w:pPr>
      <w:r>
        <w:rPr>
          <w:rFonts w:hint="eastAsia" w:ascii="宋体" w:hAnsi="宋体"/>
          <w:color w:val="auto"/>
          <w:sz w:val="27"/>
          <w:szCs w:val="27"/>
          <w:highlight w:val="none"/>
        </w:rPr>
        <w:t>工程变更报审表</w:t>
      </w:r>
    </w:p>
    <w:p w14:paraId="77A02F32">
      <w:pPr>
        <w:spacing w:before="312" w:beforeLines="100" w:line="360" w:lineRule="auto"/>
        <w:rPr>
          <w:rFonts w:ascii="宋体" w:hAnsi="宋体"/>
          <w:color w:val="auto"/>
          <w:szCs w:val="21"/>
          <w:highlight w:val="none"/>
        </w:rPr>
      </w:pPr>
      <w:r>
        <w:rPr>
          <w:rFonts w:hint="eastAsia" w:ascii="宋体" w:hAnsi="宋体"/>
          <w:color w:val="auto"/>
          <w:szCs w:val="21"/>
          <w:highlight w:val="none"/>
        </w:rPr>
        <w:t>工程名称：</w:t>
      </w:r>
      <w:r>
        <w:rPr>
          <w:rFonts w:hint="eastAsia" w:ascii="宋体" w:hAnsi="宋体"/>
          <w:color w:val="auto"/>
          <w:szCs w:val="21"/>
          <w:highlight w:val="none"/>
          <w:u w:val="single"/>
        </w:rPr>
        <w:t>　　　　　　　　　　　　　　　　　　　　　　　　</w:t>
      </w:r>
      <w:r>
        <w:rPr>
          <w:rFonts w:hint="eastAsia" w:ascii="宋体" w:hAnsi="宋体"/>
          <w:color w:val="auto"/>
          <w:szCs w:val="21"/>
          <w:highlight w:val="none"/>
        </w:rPr>
        <w:t xml:space="preserve"> 编号：</w:t>
      </w:r>
      <w:r>
        <w:rPr>
          <w:rFonts w:hint="eastAsia" w:ascii="宋体" w:hAnsi="宋体"/>
          <w:color w:val="auto"/>
          <w:szCs w:val="21"/>
          <w:highlight w:val="none"/>
          <w:u w:val="single"/>
        </w:rPr>
        <w:t xml:space="preserve">                  </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1710"/>
        <w:gridCol w:w="1530"/>
        <w:gridCol w:w="2880"/>
      </w:tblGrid>
      <w:tr w14:paraId="5FC3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1" w:hRule="atLeast"/>
          <w:jc w:val="center"/>
        </w:trPr>
        <w:tc>
          <w:tcPr>
            <w:tcW w:w="9360" w:type="dxa"/>
            <w:gridSpan w:val="4"/>
            <w:noWrap w:val="0"/>
            <w:vAlign w:val="top"/>
          </w:tcPr>
          <w:p w14:paraId="4330C33E">
            <w:pPr>
              <w:spacing w:before="62" w:beforeLines="20" w:line="400" w:lineRule="exact"/>
              <w:rPr>
                <w:rFonts w:ascii="宋体" w:hAnsi="宋体"/>
                <w:color w:val="auto"/>
                <w:szCs w:val="21"/>
                <w:highlight w:val="none"/>
              </w:rPr>
            </w:pPr>
            <w:r>
              <w:rPr>
                <w:rFonts w:ascii="宋体" w:hAnsi="宋体"/>
                <w:color w:val="auto"/>
                <w:szCs w:val="21"/>
                <w:highlight w:val="none"/>
              </w:rPr>
              <w:t>致：</w:t>
            </w:r>
            <w:r>
              <w:rPr>
                <w:rFonts w:ascii="宋体" w:hAnsi="宋体"/>
                <w:color w:val="auto"/>
                <w:szCs w:val="21"/>
                <w:highlight w:val="none"/>
                <w:u w:val="single"/>
              </w:rPr>
              <w:t>　　　　　　　　　　　　　　　　　　　　　　（监理单位全称）</w:t>
            </w:r>
          </w:p>
          <w:p w14:paraId="432E2F63">
            <w:pPr>
              <w:spacing w:before="62" w:beforeLines="20" w:line="400" w:lineRule="exact"/>
              <w:ind w:firstLine="480"/>
              <w:rPr>
                <w:rFonts w:ascii="宋体" w:hAnsi="宋体"/>
                <w:color w:val="auto"/>
                <w:szCs w:val="21"/>
                <w:highlight w:val="none"/>
              </w:rPr>
            </w:pPr>
            <w:r>
              <w:rPr>
                <w:rFonts w:ascii="宋体" w:hAnsi="宋体"/>
                <w:color w:val="auto"/>
                <w:szCs w:val="21"/>
                <w:highlight w:val="none"/>
              </w:rPr>
              <w:t>由于</w:t>
            </w:r>
            <w:r>
              <w:rPr>
                <w:rFonts w:ascii="宋体" w:hAnsi="宋体"/>
                <w:color w:val="auto"/>
                <w:szCs w:val="21"/>
                <w:highlight w:val="none"/>
                <w:u w:val="single"/>
              </w:rPr>
              <w:t>　　　　　　　　　　　　　　　　　　　　　　　　　　　　　　　　　</w:t>
            </w:r>
            <w:r>
              <w:rPr>
                <w:rFonts w:ascii="宋体" w:hAnsi="宋体"/>
                <w:color w:val="auto"/>
                <w:szCs w:val="21"/>
                <w:highlight w:val="none"/>
              </w:rPr>
              <w:t>原因，现提出</w:t>
            </w:r>
          </w:p>
          <w:p w14:paraId="3DA1149F">
            <w:pPr>
              <w:spacing w:before="62" w:beforeLines="20" w:line="400" w:lineRule="exact"/>
              <w:rPr>
                <w:rFonts w:ascii="宋体" w:hAnsi="宋体"/>
                <w:color w:val="auto"/>
                <w:szCs w:val="21"/>
                <w:highlight w:val="none"/>
                <w:u w:val="single"/>
              </w:rPr>
            </w:pPr>
            <w:r>
              <w:rPr>
                <w:rFonts w:ascii="宋体" w:hAnsi="宋体"/>
                <w:color w:val="auto"/>
                <w:szCs w:val="21"/>
                <w:highlight w:val="none"/>
                <w:u w:val="single"/>
              </w:rPr>
              <w:t>　　　　　　　　　　　　　　　　　　　　　　　　　　　　　　　　　　　　　　　　　　　</w:t>
            </w:r>
          </w:p>
          <w:p w14:paraId="6380F58B">
            <w:pPr>
              <w:spacing w:before="62" w:beforeLines="20" w:line="400" w:lineRule="exact"/>
              <w:rPr>
                <w:rFonts w:ascii="宋体" w:hAnsi="宋体"/>
                <w:color w:val="auto"/>
                <w:szCs w:val="21"/>
                <w:highlight w:val="none"/>
              </w:rPr>
            </w:pPr>
            <w:r>
              <w:rPr>
                <w:rFonts w:ascii="宋体" w:hAnsi="宋体"/>
                <w:color w:val="auto"/>
                <w:szCs w:val="21"/>
                <w:highlight w:val="none"/>
                <w:u w:val="single"/>
              </w:rPr>
              <w:t>　　　　　　　　　</w:t>
            </w:r>
            <w:r>
              <w:rPr>
                <w:rFonts w:ascii="宋体" w:hAnsi="宋体"/>
                <w:color w:val="auto"/>
                <w:szCs w:val="21"/>
                <w:highlight w:val="none"/>
              </w:rPr>
              <w:t>工程变更（内容见附件），请予以审批。</w:t>
            </w:r>
          </w:p>
          <w:p w14:paraId="3C8B471A">
            <w:pPr>
              <w:spacing w:before="62" w:beforeLines="20" w:line="400" w:lineRule="exact"/>
              <w:rPr>
                <w:rFonts w:ascii="宋体" w:hAnsi="宋体"/>
                <w:color w:val="auto"/>
                <w:szCs w:val="21"/>
                <w:highlight w:val="none"/>
              </w:rPr>
            </w:pPr>
            <w:r>
              <w:rPr>
                <w:rFonts w:ascii="宋体" w:hAnsi="宋体"/>
                <w:color w:val="auto"/>
                <w:szCs w:val="21"/>
                <w:highlight w:val="none"/>
              </w:rPr>
              <w:t>附件：１.提出变更原因（必要时附图）；</w:t>
            </w:r>
          </w:p>
          <w:p w14:paraId="50AC2414">
            <w:pPr>
              <w:spacing w:before="62" w:beforeLines="20" w:line="400" w:lineRule="exact"/>
              <w:rPr>
                <w:rFonts w:ascii="宋体" w:hAnsi="宋体"/>
                <w:color w:val="auto"/>
                <w:szCs w:val="21"/>
                <w:highlight w:val="none"/>
              </w:rPr>
            </w:pPr>
            <w:r>
              <w:rPr>
                <w:rFonts w:ascii="宋体" w:hAnsi="宋体"/>
                <w:color w:val="auto"/>
                <w:szCs w:val="21"/>
                <w:highlight w:val="none"/>
              </w:rPr>
              <w:t>　　　２.工程量增减计算书；</w:t>
            </w:r>
          </w:p>
          <w:p w14:paraId="712BBA19">
            <w:pPr>
              <w:spacing w:before="62" w:beforeLines="20" w:line="400" w:lineRule="exact"/>
              <w:rPr>
                <w:rFonts w:ascii="宋体" w:hAnsi="宋体"/>
                <w:color w:val="auto"/>
                <w:szCs w:val="21"/>
                <w:highlight w:val="none"/>
              </w:rPr>
            </w:pPr>
            <w:r>
              <w:rPr>
                <w:rFonts w:ascii="宋体" w:hAnsi="宋体"/>
                <w:color w:val="auto"/>
                <w:szCs w:val="21"/>
                <w:highlight w:val="none"/>
              </w:rPr>
              <w:t>　　　３.工程变更价款报价单。</w:t>
            </w:r>
          </w:p>
          <w:p w14:paraId="7DC6280B">
            <w:pPr>
              <w:spacing w:before="62" w:beforeLines="20" w:line="400" w:lineRule="exact"/>
              <w:rPr>
                <w:rFonts w:ascii="宋体" w:hAnsi="宋体"/>
                <w:color w:val="auto"/>
                <w:szCs w:val="21"/>
                <w:highlight w:val="none"/>
              </w:rPr>
            </w:pPr>
          </w:p>
          <w:p w14:paraId="450C8D23">
            <w:pPr>
              <w:spacing w:before="62" w:beforeLines="20" w:line="400" w:lineRule="exact"/>
              <w:rPr>
                <w:rFonts w:ascii="宋体" w:hAnsi="宋体"/>
                <w:color w:val="auto"/>
                <w:szCs w:val="21"/>
                <w:highlight w:val="none"/>
              </w:rPr>
            </w:pPr>
            <w:r>
              <w:rPr>
                <w:rFonts w:ascii="宋体" w:hAnsi="宋体"/>
                <w:color w:val="auto"/>
                <w:szCs w:val="21"/>
                <w:highlight w:val="none"/>
              </w:rPr>
              <w:t>　　　　　　　　　　　　　　　　　　　　　　　　　　　　　承包人（章）</w:t>
            </w:r>
          </w:p>
          <w:p w14:paraId="2EA97124">
            <w:pPr>
              <w:spacing w:before="62" w:beforeLines="20" w:line="400" w:lineRule="exact"/>
              <w:rPr>
                <w:rFonts w:ascii="宋体" w:hAnsi="宋体"/>
                <w:color w:val="auto"/>
                <w:szCs w:val="21"/>
                <w:highlight w:val="none"/>
              </w:rPr>
            </w:pPr>
            <w:r>
              <w:rPr>
                <w:rFonts w:ascii="宋体" w:hAnsi="宋体"/>
                <w:color w:val="auto"/>
                <w:szCs w:val="21"/>
                <w:highlight w:val="none"/>
              </w:rPr>
              <w:t>　　　　　　　　　　　　　　　　　　　　　　　　　　　　　承包代表人　　　　　　　　</w:t>
            </w:r>
          </w:p>
          <w:p w14:paraId="06C09187">
            <w:pPr>
              <w:spacing w:before="62" w:beforeLines="20" w:line="400" w:lineRule="exact"/>
              <w:rPr>
                <w:rFonts w:ascii="宋体" w:hAnsi="宋体"/>
                <w:color w:val="auto"/>
                <w:szCs w:val="21"/>
                <w:highlight w:val="none"/>
              </w:rPr>
            </w:pPr>
            <w:r>
              <w:rPr>
                <w:rFonts w:ascii="宋体" w:hAnsi="宋体"/>
                <w:color w:val="auto"/>
                <w:szCs w:val="21"/>
                <w:highlight w:val="none"/>
              </w:rPr>
              <w:t>　　　　　　　　　　　　　　　　　　　　　　　　　　　　　日　　　期　　　　　　　　</w:t>
            </w:r>
          </w:p>
        </w:tc>
      </w:tr>
      <w:tr w14:paraId="3CD9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atLeast"/>
          <w:jc w:val="center"/>
        </w:trPr>
        <w:tc>
          <w:tcPr>
            <w:tcW w:w="3240" w:type="dxa"/>
            <w:noWrap w:val="0"/>
            <w:vAlign w:val="top"/>
          </w:tcPr>
          <w:p w14:paraId="0123D0CD">
            <w:pPr>
              <w:spacing w:line="400" w:lineRule="exact"/>
              <w:rPr>
                <w:rFonts w:ascii="宋体" w:hAnsi="宋体"/>
                <w:color w:val="auto"/>
                <w:szCs w:val="21"/>
                <w:highlight w:val="none"/>
              </w:rPr>
            </w:pPr>
            <w:r>
              <w:rPr>
                <w:rFonts w:ascii="宋体" w:hAnsi="宋体"/>
                <w:color w:val="auto"/>
                <w:szCs w:val="21"/>
                <w:highlight w:val="none"/>
              </w:rPr>
              <w:t>复核意见：</w:t>
            </w:r>
          </w:p>
          <w:p w14:paraId="14A4EC68">
            <w:pPr>
              <w:spacing w:line="400" w:lineRule="exact"/>
              <w:rPr>
                <w:rFonts w:ascii="宋体" w:hAnsi="宋体"/>
                <w:color w:val="auto"/>
                <w:szCs w:val="21"/>
                <w:highlight w:val="none"/>
              </w:rPr>
            </w:pPr>
          </w:p>
          <w:p w14:paraId="794AE04A">
            <w:pPr>
              <w:spacing w:line="400" w:lineRule="exact"/>
              <w:rPr>
                <w:rFonts w:ascii="宋体" w:hAnsi="宋体"/>
                <w:color w:val="auto"/>
                <w:szCs w:val="21"/>
                <w:highlight w:val="none"/>
              </w:rPr>
            </w:pPr>
          </w:p>
          <w:p w14:paraId="797ADE16">
            <w:pPr>
              <w:spacing w:line="400" w:lineRule="exact"/>
              <w:rPr>
                <w:rFonts w:ascii="宋体" w:hAnsi="宋体"/>
                <w:color w:val="auto"/>
                <w:szCs w:val="21"/>
                <w:highlight w:val="none"/>
              </w:rPr>
            </w:pPr>
          </w:p>
          <w:p w14:paraId="5A6C5CDE">
            <w:pPr>
              <w:spacing w:before="62" w:beforeLines="20" w:line="400" w:lineRule="exact"/>
              <w:rPr>
                <w:rFonts w:ascii="宋体" w:hAnsi="宋体"/>
                <w:color w:val="auto"/>
                <w:szCs w:val="21"/>
                <w:highlight w:val="none"/>
              </w:rPr>
            </w:pPr>
            <w:r>
              <w:rPr>
                <w:rFonts w:ascii="宋体" w:hAnsi="宋体"/>
                <w:color w:val="auto"/>
                <w:szCs w:val="21"/>
                <w:highlight w:val="none"/>
              </w:rPr>
              <w:t>设计单位（章）</w:t>
            </w:r>
          </w:p>
          <w:p w14:paraId="29F9F6F2">
            <w:pPr>
              <w:spacing w:before="62" w:beforeLines="20" w:line="400" w:lineRule="exact"/>
              <w:rPr>
                <w:rFonts w:ascii="宋体" w:hAnsi="宋体"/>
                <w:color w:val="auto"/>
                <w:szCs w:val="21"/>
                <w:highlight w:val="none"/>
              </w:rPr>
            </w:pPr>
            <w:r>
              <w:rPr>
                <w:rFonts w:ascii="宋体" w:hAnsi="宋体"/>
                <w:color w:val="auto"/>
                <w:szCs w:val="21"/>
                <w:highlight w:val="none"/>
              </w:rPr>
              <w:t>建筑师／结构师　　　　　　</w:t>
            </w:r>
          </w:p>
          <w:p w14:paraId="7DF0B60D">
            <w:pPr>
              <w:spacing w:before="62" w:beforeLines="20" w:line="400" w:lineRule="exact"/>
              <w:rPr>
                <w:rFonts w:ascii="宋体" w:hAnsi="宋体"/>
                <w:color w:val="auto"/>
                <w:szCs w:val="21"/>
                <w:highlight w:val="none"/>
              </w:rPr>
            </w:pPr>
            <w:r>
              <w:rPr>
                <w:rFonts w:ascii="宋体" w:hAnsi="宋体"/>
                <w:color w:val="auto"/>
                <w:szCs w:val="21"/>
                <w:highlight w:val="none"/>
              </w:rPr>
              <w:t>日　期　　　　　　　　　　</w:t>
            </w:r>
          </w:p>
        </w:tc>
        <w:tc>
          <w:tcPr>
            <w:tcW w:w="3240" w:type="dxa"/>
            <w:gridSpan w:val="2"/>
            <w:noWrap w:val="0"/>
            <w:vAlign w:val="top"/>
          </w:tcPr>
          <w:p w14:paraId="32838BE4">
            <w:pPr>
              <w:spacing w:line="400" w:lineRule="exact"/>
              <w:rPr>
                <w:rFonts w:ascii="宋体" w:hAnsi="宋体"/>
                <w:color w:val="auto"/>
                <w:szCs w:val="21"/>
                <w:highlight w:val="none"/>
              </w:rPr>
            </w:pPr>
            <w:r>
              <w:rPr>
                <w:rFonts w:ascii="宋体" w:hAnsi="宋体"/>
                <w:color w:val="auto"/>
                <w:szCs w:val="21"/>
                <w:highlight w:val="none"/>
              </w:rPr>
              <w:t>复核意见：</w:t>
            </w:r>
          </w:p>
          <w:p w14:paraId="57056A78">
            <w:pPr>
              <w:spacing w:line="400" w:lineRule="exact"/>
              <w:rPr>
                <w:rFonts w:ascii="宋体" w:hAnsi="宋体"/>
                <w:color w:val="auto"/>
                <w:szCs w:val="21"/>
                <w:highlight w:val="none"/>
              </w:rPr>
            </w:pPr>
          </w:p>
          <w:p w14:paraId="69B7CF86">
            <w:pPr>
              <w:spacing w:line="400" w:lineRule="exact"/>
              <w:rPr>
                <w:rFonts w:ascii="宋体" w:hAnsi="宋体"/>
                <w:color w:val="auto"/>
                <w:szCs w:val="21"/>
                <w:highlight w:val="none"/>
              </w:rPr>
            </w:pPr>
          </w:p>
          <w:p w14:paraId="3CF04CD0">
            <w:pPr>
              <w:spacing w:line="400" w:lineRule="exact"/>
              <w:rPr>
                <w:rFonts w:ascii="宋体" w:hAnsi="宋体"/>
                <w:color w:val="auto"/>
                <w:szCs w:val="21"/>
                <w:highlight w:val="none"/>
              </w:rPr>
            </w:pPr>
          </w:p>
          <w:p w14:paraId="455934D2">
            <w:pPr>
              <w:spacing w:before="62" w:beforeLines="20" w:line="400" w:lineRule="exact"/>
              <w:rPr>
                <w:rFonts w:ascii="宋体" w:hAnsi="宋体"/>
                <w:color w:val="auto"/>
                <w:szCs w:val="21"/>
                <w:highlight w:val="none"/>
              </w:rPr>
            </w:pPr>
            <w:r>
              <w:rPr>
                <w:rFonts w:ascii="宋体" w:hAnsi="宋体"/>
                <w:color w:val="auto"/>
                <w:szCs w:val="21"/>
                <w:highlight w:val="none"/>
              </w:rPr>
              <w:t>监理单位（章）</w:t>
            </w:r>
          </w:p>
          <w:p w14:paraId="7E6584FF">
            <w:pPr>
              <w:spacing w:before="62" w:beforeLines="20" w:line="400" w:lineRule="exact"/>
              <w:rPr>
                <w:rFonts w:ascii="宋体" w:hAnsi="宋体"/>
                <w:color w:val="auto"/>
                <w:szCs w:val="21"/>
                <w:highlight w:val="none"/>
              </w:rPr>
            </w:pPr>
            <w:r>
              <w:rPr>
                <w:rFonts w:ascii="宋体" w:hAnsi="宋体"/>
                <w:color w:val="auto"/>
                <w:szCs w:val="21"/>
                <w:highlight w:val="none"/>
              </w:rPr>
              <w:t>监理工程师　　　　　　　</w:t>
            </w:r>
          </w:p>
          <w:p w14:paraId="1C4D5A65">
            <w:pPr>
              <w:widowControl/>
              <w:spacing w:before="62" w:beforeLines="20"/>
              <w:jc w:val="left"/>
              <w:rPr>
                <w:rFonts w:ascii="宋体" w:hAnsi="宋体"/>
                <w:color w:val="auto"/>
                <w:szCs w:val="21"/>
                <w:highlight w:val="none"/>
              </w:rPr>
            </w:pPr>
            <w:r>
              <w:rPr>
                <w:rFonts w:ascii="宋体" w:hAnsi="宋体"/>
                <w:color w:val="auto"/>
                <w:szCs w:val="21"/>
                <w:highlight w:val="none"/>
              </w:rPr>
              <w:t>日　期　　　　　　　　　</w:t>
            </w:r>
          </w:p>
        </w:tc>
        <w:tc>
          <w:tcPr>
            <w:tcW w:w="2880" w:type="dxa"/>
            <w:noWrap w:val="0"/>
            <w:vAlign w:val="top"/>
          </w:tcPr>
          <w:p w14:paraId="26D31E3C">
            <w:pPr>
              <w:spacing w:line="400" w:lineRule="exact"/>
              <w:rPr>
                <w:rFonts w:ascii="宋体" w:hAnsi="宋体"/>
                <w:color w:val="auto"/>
                <w:szCs w:val="21"/>
                <w:highlight w:val="none"/>
              </w:rPr>
            </w:pPr>
            <w:r>
              <w:rPr>
                <w:rFonts w:ascii="宋体" w:hAnsi="宋体"/>
                <w:color w:val="auto"/>
                <w:szCs w:val="21"/>
                <w:highlight w:val="none"/>
              </w:rPr>
              <w:t>复核意见：</w:t>
            </w:r>
          </w:p>
          <w:p w14:paraId="5B643DCE">
            <w:pPr>
              <w:spacing w:line="400" w:lineRule="exact"/>
              <w:rPr>
                <w:rFonts w:ascii="宋体" w:hAnsi="宋体"/>
                <w:color w:val="auto"/>
                <w:szCs w:val="21"/>
                <w:highlight w:val="none"/>
              </w:rPr>
            </w:pPr>
          </w:p>
          <w:p w14:paraId="7A5B9D3A">
            <w:pPr>
              <w:spacing w:line="400" w:lineRule="exact"/>
              <w:rPr>
                <w:rFonts w:ascii="宋体" w:hAnsi="宋体"/>
                <w:color w:val="auto"/>
                <w:szCs w:val="21"/>
                <w:highlight w:val="none"/>
              </w:rPr>
            </w:pPr>
          </w:p>
          <w:p w14:paraId="49EF5C25">
            <w:pPr>
              <w:spacing w:line="400" w:lineRule="exact"/>
              <w:rPr>
                <w:rFonts w:ascii="宋体" w:hAnsi="宋体"/>
                <w:color w:val="auto"/>
                <w:szCs w:val="21"/>
                <w:highlight w:val="none"/>
              </w:rPr>
            </w:pPr>
          </w:p>
          <w:p w14:paraId="03014118">
            <w:pPr>
              <w:spacing w:before="62" w:beforeLines="20" w:line="400" w:lineRule="exact"/>
              <w:rPr>
                <w:rFonts w:ascii="宋体" w:hAnsi="宋体"/>
                <w:color w:val="auto"/>
                <w:szCs w:val="21"/>
                <w:highlight w:val="none"/>
              </w:rPr>
            </w:pPr>
            <w:r>
              <w:rPr>
                <w:rFonts w:ascii="宋体" w:hAnsi="宋体"/>
                <w:color w:val="auto"/>
                <w:szCs w:val="21"/>
                <w:highlight w:val="none"/>
              </w:rPr>
              <w:t>造价咨询单位（章）</w:t>
            </w:r>
          </w:p>
          <w:p w14:paraId="31404CC7">
            <w:pPr>
              <w:spacing w:before="62" w:beforeLines="20" w:line="400" w:lineRule="exact"/>
              <w:rPr>
                <w:rFonts w:ascii="宋体" w:hAnsi="宋体"/>
                <w:color w:val="auto"/>
                <w:szCs w:val="21"/>
                <w:highlight w:val="none"/>
              </w:rPr>
            </w:pPr>
            <w:r>
              <w:rPr>
                <w:rFonts w:ascii="宋体" w:hAnsi="宋体"/>
                <w:color w:val="auto"/>
                <w:szCs w:val="21"/>
                <w:highlight w:val="none"/>
              </w:rPr>
              <w:t>造价工程师　　　　　　　</w:t>
            </w:r>
          </w:p>
          <w:p w14:paraId="64E4B790">
            <w:pPr>
              <w:widowControl/>
              <w:spacing w:before="62" w:beforeLines="20"/>
              <w:jc w:val="left"/>
              <w:rPr>
                <w:rFonts w:ascii="宋体" w:hAnsi="宋体"/>
                <w:color w:val="auto"/>
                <w:szCs w:val="21"/>
                <w:highlight w:val="none"/>
              </w:rPr>
            </w:pPr>
            <w:r>
              <w:rPr>
                <w:rFonts w:ascii="宋体" w:hAnsi="宋体"/>
                <w:color w:val="auto"/>
                <w:szCs w:val="21"/>
                <w:highlight w:val="none"/>
              </w:rPr>
              <w:t>日　期　　　　　　　　　</w:t>
            </w:r>
          </w:p>
        </w:tc>
      </w:tr>
      <w:tr w14:paraId="356B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4950" w:type="dxa"/>
            <w:gridSpan w:val="2"/>
            <w:noWrap w:val="0"/>
            <w:vAlign w:val="top"/>
          </w:tcPr>
          <w:p w14:paraId="6E6EE713">
            <w:pPr>
              <w:spacing w:line="400" w:lineRule="exact"/>
              <w:rPr>
                <w:rFonts w:ascii="宋体" w:hAnsi="宋体"/>
                <w:color w:val="auto"/>
                <w:szCs w:val="21"/>
                <w:highlight w:val="none"/>
              </w:rPr>
            </w:pPr>
            <w:r>
              <w:rPr>
                <w:rFonts w:ascii="宋体" w:hAnsi="宋体"/>
                <w:color w:val="auto"/>
                <w:szCs w:val="21"/>
                <w:highlight w:val="none"/>
              </w:rPr>
              <w:t>审批意见：</w:t>
            </w:r>
          </w:p>
          <w:p w14:paraId="53C3768D">
            <w:pPr>
              <w:spacing w:line="400" w:lineRule="exact"/>
              <w:rPr>
                <w:rFonts w:ascii="宋体" w:hAnsi="宋体"/>
                <w:color w:val="auto"/>
                <w:szCs w:val="21"/>
                <w:highlight w:val="none"/>
              </w:rPr>
            </w:pPr>
          </w:p>
          <w:p w14:paraId="14AC7B9D">
            <w:pPr>
              <w:spacing w:line="400" w:lineRule="exact"/>
              <w:ind w:firstLine="2310" w:firstLineChars="1100"/>
              <w:rPr>
                <w:rFonts w:ascii="宋体" w:hAnsi="宋体"/>
                <w:color w:val="auto"/>
                <w:szCs w:val="21"/>
                <w:highlight w:val="none"/>
              </w:rPr>
            </w:pPr>
            <w:r>
              <w:rPr>
                <w:rFonts w:ascii="宋体" w:hAnsi="宋体"/>
                <w:color w:val="auto"/>
                <w:szCs w:val="21"/>
                <w:highlight w:val="none"/>
              </w:rPr>
              <w:t>发包人（章）</w:t>
            </w:r>
          </w:p>
          <w:p w14:paraId="69438D8B">
            <w:pPr>
              <w:spacing w:line="400" w:lineRule="exact"/>
              <w:ind w:left="2205" w:hanging="2205" w:hangingChars="1050"/>
              <w:rPr>
                <w:rFonts w:ascii="宋体" w:hAnsi="宋体"/>
                <w:color w:val="auto"/>
                <w:szCs w:val="21"/>
                <w:highlight w:val="none"/>
              </w:rPr>
            </w:pPr>
            <w:r>
              <w:rPr>
                <w:rFonts w:ascii="宋体" w:hAnsi="宋体"/>
                <w:color w:val="auto"/>
                <w:szCs w:val="21"/>
                <w:highlight w:val="none"/>
              </w:rPr>
              <w:t>　　　　　　　　　　　　　　　　　　　　　　　　　　　　　发包人代表　　　　　　　</w:t>
            </w:r>
          </w:p>
          <w:p w14:paraId="297DFDB0">
            <w:pPr>
              <w:spacing w:line="400" w:lineRule="exact"/>
              <w:ind w:left="2205" w:hanging="2205" w:hangingChars="1050"/>
              <w:rPr>
                <w:rFonts w:ascii="宋体" w:hAnsi="宋体"/>
                <w:color w:val="auto"/>
                <w:szCs w:val="21"/>
                <w:highlight w:val="none"/>
              </w:rPr>
            </w:pPr>
            <w:r>
              <w:rPr>
                <w:rFonts w:ascii="宋体" w:hAnsi="宋体"/>
                <w:color w:val="auto"/>
                <w:szCs w:val="21"/>
                <w:highlight w:val="none"/>
              </w:rPr>
              <w:t>　　　　　　　　　　　　　　　　　　　　　　　　　　　　　日　　　期　　　　　　　</w:t>
            </w:r>
          </w:p>
        </w:tc>
        <w:tc>
          <w:tcPr>
            <w:tcW w:w="4410" w:type="dxa"/>
            <w:gridSpan w:val="2"/>
            <w:noWrap w:val="0"/>
            <w:vAlign w:val="top"/>
          </w:tcPr>
          <w:p w14:paraId="48E87EE2">
            <w:pPr>
              <w:spacing w:line="400" w:lineRule="exact"/>
              <w:rPr>
                <w:rFonts w:ascii="宋体" w:hAnsi="宋体"/>
                <w:color w:val="auto"/>
                <w:szCs w:val="21"/>
                <w:highlight w:val="none"/>
              </w:rPr>
            </w:pPr>
            <w:r>
              <w:rPr>
                <w:rFonts w:ascii="宋体" w:hAnsi="宋体"/>
                <w:color w:val="auto"/>
                <w:szCs w:val="21"/>
                <w:highlight w:val="none"/>
              </w:rPr>
              <w:t>审批意见：</w:t>
            </w:r>
          </w:p>
          <w:p w14:paraId="6BB305FE">
            <w:pPr>
              <w:spacing w:line="400" w:lineRule="exact"/>
              <w:rPr>
                <w:rFonts w:ascii="宋体" w:hAnsi="宋体"/>
                <w:color w:val="auto"/>
                <w:szCs w:val="21"/>
                <w:highlight w:val="none"/>
              </w:rPr>
            </w:pPr>
            <w:r>
              <w:rPr>
                <w:rFonts w:ascii="宋体" w:hAnsi="宋体"/>
                <w:color w:val="auto"/>
                <w:szCs w:val="21"/>
                <w:highlight w:val="none"/>
              </w:rPr>
              <w:t>　</w:t>
            </w:r>
          </w:p>
          <w:p w14:paraId="7272D5F5">
            <w:pPr>
              <w:spacing w:line="400" w:lineRule="exact"/>
              <w:rPr>
                <w:rFonts w:ascii="宋体" w:hAnsi="宋体"/>
                <w:color w:val="auto"/>
                <w:szCs w:val="21"/>
                <w:highlight w:val="none"/>
              </w:rPr>
            </w:pPr>
          </w:p>
          <w:p w14:paraId="393E044B">
            <w:pPr>
              <w:spacing w:line="400" w:lineRule="exact"/>
              <w:rPr>
                <w:rFonts w:ascii="宋体" w:hAnsi="宋体"/>
                <w:color w:val="auto"/>
                <w:szCs w:val="21"/>
                <w:highlight w:val="none"/>
              </w:rPr>
            </w:pPr>
          </w:p>
          <w:p w14:paraId="4F0A2304">
            <w:pPr>
              <w:spacing w:line="400" w:lineRule="exact"/>
              <w:rPr>
                <w:rFonts w:ascii="宋体" w:hAnsi="宋体"/>
                <w:color w:val="auto"/>
                <w:szCs w:val="21"/>
                <w:highlight w:val="none"/>
              </w:rPr>
            </w:pPr>
            <w:r>
              <w:rPr>
                <w:rFonts w:ascii="宋体" w:hAnsi="宋体"/>
                <w:color w:val="auto"/>
                <w:szCs w:val="21"/>
                <w:highlight w:val="none"/>
              </w:rPr>
              <w:t>主管部门（章）</w:t>
            </w:r>
          </w:p>
          <w:p w14:paraId="519E0EDD">
            <w:pPr>
              <w:spacing w:line="400" w:lineRule="exact"/>
              <w:rPr>
                <w:rFonts w:ascii="宋体" w:hAnsi="宋体"/>
                <w:color w:val="auto"/>
                <w:szCs w:val="21"/>
                <w:highlight w:val="none"/>
              </w:rPr>
            </w:pPr>
            <w:r>
              <w:rPr>
                <w:rFonts w:ascii="宋体" w:hAnsi="宋体"/>
                <w:color w:val="auto"/>
                <w:szCs w:val="21"/>
                <w:highlight w:val="none"/>
              </w:rPr>
              <w:t>　　　　　　　　　　　　　　　　　　　　　　　　　　　　　　　　　　　　　　　　　　　　　　　　　　　　　　日　　　期　　　　　　　　　　　　　　　　　　　　　　　　　　　　　　　　</w:t>
            </w:r>
          </w:p>
        </w:tc>
      </w:tr>
    </w:tbl>
    <w:p w14:paraId="43A230EF">
      <w:pPr>
        <w:spacing w:line="400" w:lineRule="exact"/>
        <w:rPr>
          <w:rFonts w:ascii="宋体" w:hAnsi="宋体"/>
          <w:color w:val="auto"/>
          <w:sz w:val="20"/>
          <w:szCs w:val="20"/>
          <w:highlight w:val="none"/>
        </w:rPr>
      </w:pPr>
      <w:r>
        <w:rPr>
          <w:rFonts w:hint="eastAsia" w:ascii="宋体" w:hAnsi="宋体"/>
          <w:b/>
          <w:color w:val="auto"/>
          <w:szCs w:val="21"/>
          <w:highlight w:val="none"/>
        </w:rPr>
        <w:t>说明：</w:t>
      </w:r>
      <w:r>
        <w:rPr>
          <w:rFonts w:hint="eastAsia" w:ascii="宋体" w:hAnsi="宋体"/>
          <w:color w:val="auto"/>
          <w:szCs w:val="21"/>
          <w:highlight w:val="none"/>
        </w:rPr>
        <w:t>本表一式六份，由承包人、设计单位、监理单位、造价咨询单位、发包人按合同规定程序填制，并按照规定报主管部门各存一份。</w:t>
      </w:r>
    </w:p>
    <w:p w14:paraId="6966FB42">
      <w:pPr>
        <w:spacing w:line="400" w:lineRule="exact"/>
        <w:rPr>
          <w:rFonts w:ascii="宋体" w:hAnsi="宋体"/>
          <w:color w:val="auto"/>
          <w:sz w:val="20"/>
          <w:szCs w:val="20"/>
          <w:highlight w:val="none"/>
        </w:rPr>
      </w:pPr>
    </w:p>
    <w:p w14:paraId="3B05C562">
      <w:pPr>
        <w:keepNext/>
        <w:keepLines/>
        <w:spacing w:line="400" w:lineRule="exact"/>
        <w:jc w:val="left"/>
        <w:outlineLvl w:val="2"/>
        <w:rPr>
          <w:rFonts w:ascii="宋体" w:hAnsi="宋体" w:cs="宋体"/>
          <w:color w:val="auto"/>
          <w:kern w:val="0"/>
          <w:sz w:val="24"/>
          <w:szCs w:val="20"/>
          <w:highlight w:val="none"/>
        </w:rPr>
      </w:pPr>
      <w:bookmarkStart w:id="1010" w:name="_Toc115180049"/>
      <w:r>
        <w:rPr>
          <w:rFonts w:hint="eastAsia" w:ascii="宋体" w:hAnsi="宋体" w:cs="宋体"/>
          <w:color w:val="auto"/>
          <w:kern w:val="0"/>
          <w:sz w:val="24"/>
          <w:szCs w:val="20"/>
          <w:highlight w:val="none"/>
        </w:rPr>
        <w:t>附件六：履约担保（格式）</w:t>
      </w:r>
      <w:bookmarkEnd w:id="1010"/>
    </w:p>
    <w:p w14:paraId="4B8B5F1B">
      <w:pPr>
        <w:spacing w:line="400" w:lineRule="exact"/>
        <w:rPr>
          <w:rFonts w:ascii="宋体" w:hAnsi="宋体"/>
          <w:color w:val="auto"/>
          <w:sz w:val="20"/>
          <w:szCs w:val="20"/>
          <w:highlight w:val="none"/>
        </w:rPr>
      </w:pPr>
    </w:p>
    <w:p w14:paraId="57784CE9">
      <w:pPr>
        <w:spacing w:line="400" w:lineRule="exact"/>
        <w:jc w:val="center"/>
        <w:rPr>
          <w:rFonts w:ascii="宋体" w:hAnsi="宋体"/>
          <w:color w:val="auto"/>
          <w:sz w:val="27"/>
          <w:szCs w:val="27"/>
          <w:highlight w:val="none"/>
        </w:rPr>
      </w:pPr>
      <w:r>
        <w:rPr>
          <w:rFonts w:hint="eastAsia" w:ascii="宋体" w:hAnsi="宋体"/>
          <w:color w:val="auto"/>
          <w:sz w:val="27"/>
          <w:szCs w:val="27"/>
          <w:highlight w:val="none"/>
        </w:rPr>
        <w:t>履约担保（格式）</w:t>
      </w:r>
    </w:p>
    <w:p w14:paraId="00392249">
      <w:pPr>
        <w:spacing w:line="400" w:lineRule="exact"/>
        <w:rPr>
          <w:rFonts w:ascii="宋体" w:hAnsi="宋体"/>
          <w:color w:val="auto"/>
          <w:sz w:val="19"/>
          <w:szCs w:val="19"/>
          <w:highlight w:val="none"/>
        </w:rPr>
      </w:pPr>
    </w:p>
    <w:p w14:paraId="08F1761D">
      <w:pPr>
        <w:spacing w:line="400" w:lineRule="exact"/>
        <w:rPr>
          <w:rFonts w:ascii="宋体" w:hAnsi="宋体"/>
          <w:color w:val="auto"/>
          <w:szCs w:val="21"/>
          <w:highlight w:val="none"/>
          <w:u w:val="single"/>
        </w:rPr>
      </w:pPr>
      <w:r>
        <w:rPr>
          <w:rFonts w:ascii="宋体" w:hAnsi="宋体"/>
          <w:color w:val="auto"/>
          <w:szCs w:val="21"/>
          <w:highlight w:val="none"/>
          <w:u w:val="single"/>
        </w:rPr>
        <w:t xml:space="preserve">            </w:t>
      </w:r>
      <w:r>
        <w:rPr>
          <w:rFonts w:ascii="宋体" w:hAnsi="宋体"/>
          <w:color w:val="auto"/>
          <w:szCs w:val="21"/>
          <w:highlight w:val="none"/>
          <w:u w:val="single"/>
        </w:rPr>
        <w:tab/>
      </w:r>
      <w:r>
        <w:rPr>
          <w:rFonts w:ascii="宋体" w:hAnsi="宋体"/>
          <w:color w:val="auto"/>
          <w:szCs w:val="21"/>
          <w:highlight w:val="none"/>
          <w:u w:val="single"/>
        </w:rPr>
        <w:tab/>
      </w:r>
      <w:r>
        <w:rPr>
          <w:rFonts w:ascii="宋体" w:hAnsi="宋体"/>
          <w:color w:val="auto"/>
          <w:szCs w:val="21"/>
          <w:highlight w:val="none"/>
          <w:u w:val="single"/>
        </w:rPr>
        <w:t xml:space="preserve">  （发包人名称）：</w:t>
      </w:r>
    </w:p>
    <w:p w14:paraId="4B36D89C">
      <w:pPr>
        <w:spacing w:line="400" w:lineRule="exact"/>
        <w:rPr>
          <w:rFonts w:ascii="宋体" w:hAnsi="宋体"/>
          <w:color w:val="auto"/>
          <w:szCs w:val="21"/>
          <w:highlight w:val="none"/>
        </w:rPr>
      </w:pPr>
    </w:p>
    <w:p w14:paraId="75452569">
      <w:pPr>
        <w:spacing w:line="400" w:lineRule="exact"/>
        <w:ind w:firstLine="525" w:firstLineChars="250"/>
        <w:rPr>
          <w:rFonts w:ascii="宋体" w:hAnsi="宋体"/>
          <w:color w:val="auto"/>
          <w:szCs w:val="21"/>
          <w:highlight w:val="none"/>
        </w:rPr>
      </w:pPr>
      <w:r>
        <w:rPr>
          <w:rFonts w:ascii="宋体" w:hAnsi="宋体"/>
          <w:color w:val="auto"/>
          <w:szCs w:val="21"/>
          <w:highlight w:val="none"/>
        </w:rPr>
        <w:t>鉴于</w:t>
      </w:r>
      <w:r>
        <w:rPr>
          <w:rFonts w:ascii="宋体" w:hAnsi="宋体"/>
          <w:color w:val="auto"/>
          <w:szCs w:val="21"/>
          <w:highlight w:val="none"/>
          <w:u w:val="single"/>
        </w:rPr>
        <w:t xml:space="preserve">                （发包人名称</w:t>
      </w:r>
      <w:r>
        <w:rPr>
          <w:rFonts w:hint="eastAsia" w:ascii="宋体" w:hAnsi="宋体"/>
          <w:color w:val="auto"/>
          <w:szCs w:val="21"/>
          <w:highlight w:val="none"/>
          <w:u w:val="single"/>
        </w:rPr>
        <w:t>，</w:t>
      </w:r>
      <w:r>
        <w:rPr>
          <w:rFonts w:ascii="宋体" w:hAnsi="宋体"/>
          <w:color w:val="auto"/>
          <w:szCs w:val="21"/>
          <w:highlight w:val="none"/>
          <w:u w:val="single"/>
        </w:rPr>
        <w:t>以下简称“发包人”）</w:t>
      </w:r>
      <w:r>
        <w:rPr>
          <w:rFonts w:hint="eastAsia" w:ascii="宋体" w:hAnsi="宋体"/>
          <w:color w:val="auto"/>
          <w:szCs w:val="21"/>
          <w:highlight w:val="none"/>
        </w:rPr>
        <w:t>已</w:t>
      </w:r>
      <w:r>
        <w:rPr>
          <w:rFonts w:ascii="宋体" w:hAnsi="宋体"/>
          <w:color w:val="auto"/>
          <w:szCs w:val="21"/>
          <w:highlight w:val="none"/>
        </w:rPr>
        <w:t>接受</w:t>
      </w:r>
      <w:r>
        <w:rPr>
          <w:rFonts w:ascii="宋体" w:hAnsi="宋体"/>
          <w:color w:val="auto"/>
          <w:szCs w:val="21"/>
          <w:highlight w:val="none"/>
          <w:u w:val="single"/>
        </w:rPr>
        <w:t xml:space="preserve">       （承包人名称</w:t>
      </w:r>
      <w:r>
        <w:rPr>
          <w:rFonts w:hint="eastAsia" w:ascii="宋体" w:hAnsi="宋体"/>
          <w:color w:val="auto"/>
          <w:szCs w:val="21"/>
          <w:highlight w:val="none"/>
          <w:u w:val="single"/>
        </w:rPr>
        <w:t>，</w:t>
      </w:r>
      <w:r>
        <w:rPr>
          <w:rFonts w:ascii="宋体" w:hAnsi="宋体"/>
          <w:color w:val="auto"/>
          <w:szCs w:val="21"/>
          <w:highlight w:val="none"/>
          <w:u w:val="single"/>
        </w:rPr>
        <w:t>以下称“承包人”）</w:t>
      </w:r>
      <w:r>
        <w:rPr>
          <w:rFonts w:ascii="宋体" w:hAnsi="宋体"/>
          <w:color w:val="auto"/>
          <w:szCs w:val="21"/>
          <w:highlight w:val="none"/>
        </w:rPr>
        <w:t>于</w:t>
      </w:r>
      <w:r>
        <w:rPr>
          <w:rFonts w:ascii="宋体" w:hAnsi="宋体"/>
          <w:color w:val="auto"/>
          <w:szCs w:val="21"/>
          <w:highlight w:val="none"/>
          <w:u w:val="single"/>
        </w:rPr>
        <w:t xml:space="preserve">    年   月   日</w:t>
      </w:r>
      <w:r>
        <w:rPr>
          <w:rFonts w:ascii="宋体" w:hAnsi="宋体"/>
          <w:color w:val="auto"/>
          <w:szCs w:val="21"/>
          <w:highlight w:val="none"/>
        </w:rPr>
        <w:t>参加</w:t>
      </w:r>
      <w:r>
        <w:rPr>
          <w:rFonts w:ascii="宋体" w:hAnsi="宋体"/>
          <w:color w:val="auto"/>
          <w:szCs w:val="21"/>
          <w:highlight w:val="none"/>
          <w:u w:val="single"/>
        </w:rPr>
        <w:t xml:space="preserve">         （项目名称）          </w:t>
      </w:r>
      <w:r>
        <w:rPr>
          <w:rFonts w:hint="eastAsia" w:ascii="宋体" w:hAnsi="宋体"/>
          <w:color w:val="auto"/>
          <w:szCs w:val="21"/>
          <w:highlight w:val="none"/>
          <w:u w:val="single"/>
        </w:rPr>
        <w:t>（标段名称）</w:t>
      </w:r>
      <w:r>
        <w:rPr>
          <w:rFonts w:ascii="宋体" w:hAnsi="宋体"/>
          <w:color w:val="auto"/>
          <w:szCs w:val="21"/>
          <w:highlight w:val="none"/>
        </w:rPr>
        <w:t>的投标</w:t>
      </w:r>
      <w:r>
        <w:rPr>
          <w:rFonts w:hint="eastAsia" w:ascii="宋体" w:hAnsi="宋体"/>
          <w:color w:val="auto"/>
          <w:szCs w:val="21"/>
          <w:highlight w:val="none"/>
        </w:rPr>
        <w:t>文件</w:t>
      </w:r>
      <w:r>
        <w:rPr>
          <w:rFonts w:ascii="宋体" w:hAnsi="宋体"/>
          <w:color w:val="auto"/>
          <w:szCs w:val="21"/>
          <w:highlight w:val="none"/>
        </w:rPr>
        <w:t>。我</w:t>
      </w:r>
      <w:r>
        <w:rPr>
          <w:rFonts w:hint="eastAsia" w:ascii="宋体" w:hAnsi="宋体"/>
          <w:color w:val="auto"/>
          <w:szCs w:val="21"/>
          <w:highlight w:val="none"/>
        </w:rPr>
        <w:t>方</w:t>
      </w:r>
      <w:r>
        <w:rPr>
          <w:rFonts w:ascii="宋体" w:hAnsi="宋体"/>
          <w:color w:val="auto"/>
          <w:szCs w:val="21"/>
          <w:highlight w:val="none"/>
        </w:rPr>
        <w:t>愿意无条件地、不可撤销地就承包人履行与你方订立的合同，向你方提供担保。</w:t>
      </w:r>
    </w:p>
    <w:p w14:paraId="023885CB">
      <w:pPr>
        <w:spacing w:line="400" w:lineRule="exact"/>
        <w:ind w:firstLine="420" w:firstLineChars="200"/>
        <w:rPr>
          <w:rFonts w:ascii="宋体" w:hAnsi="宋体"/>
          <w:color w:val="auto"/>
          <w:szCs w:val="21"/>
          <w:highlight w:val="none"/>
        </w:rPr>
      </w:pPr>
      <w:r>
        <w:rPr>
          <w:rFonts w:ascii="宋体" w:hAnsi="宋体"/>
          <w:color w:val="auto"/>
          <w:szCs w:val="21"/>
          <w:highlight w:val="none"/>
        </w:rPr>
        <w:t>1. 担保金额人民币（大写）</w:t>
      </w:r>
      <w:r>
        <w:rPr>
          <w:rFonts w:ascii="宋体" w:hAnsi="宋体"/>
          <w:color w:val="auto"/>
          <w:szCs w:val="21"/>
          <w:highlight w:val="none"/>
          <w:u w:val="single"/>
        </w:rPr>
        <w:t xml:space="preserve">                 元（¥             </w:t>
      </w:r>
      <w:r>
        <w:rPr>
          <w:rFonts w:hint="eastAsia" w:ascii="宋体" w:hAnsi="宋体"/>
          <w:color w:val="auto"/>
          <w:szCs w:val="21"/>
          <w:highlight w:val="none"/>
          <w:u w:val="single"/>
        </w:rPr>
        <w:t>元</w:t>
      </w:r>
      <w:r>
        <w:rPr>
          <w:rFonts w:ascii="宋体" w:hAnsi="宋体"/>
          <w:color w:val="auto"/>
          <w:szCs w:val="21"/>
          <w:highlight w:val="none"/>
          <w:u w:val="single"/>
        </w:rPr>
        <w:t>）</w:t>
      </w:r>
      <w:r>
        <w:rPr>
          <w:rFonts w:ascii="宋体" w:hAnsi="宋体"/>
          <w:color w:val="auto"/>
          <w:szCs w:val="21"/>
          <w:highlight w:val="none"/>
        </w:rPr>
        <w:t>。</w:t>
      </w:r>
    </w:p>
    <w:p w14:paraId="27292456">
      <w:pPr>
        <w:spacing w:line="400" w:lineRule="exact"/>
        <w:ind w:firstLine="420" w:firstLineChars="200"/>
        <w:rPr>
          <w:rFonts w:ascii="宋体" w:hAnsi="宋体"/>
          <w:color w:val="auto"/>
          <w:szCs w:val="21"/>
          <w:highlight w:val="none"/>
        </w:rPr>
      </w:pPr>
      <w:r>
        <w:rPr>
          <w:rFonts w:ascii="宋体" w:hAnsi="宋体"/>
          <w:color w:val="auto"/>
          <w:szCs w:val="21"/>
          <w:highlight w:val="none"/>
        </w:rPr>
        <w:t>2. 担保有效期自发包人与承包人签订的合同生效之日起至发包人签发</w:t>
      </w:r>
      <w:r>
        <w:rPr>
          <w:rFonts w:hint="eastAsia" w:ascii="宋体" w:hAnsi="宋体"/>
          <w:color w:val="auto"/>
          <w:szCs w:val="21"/>
          <w:highlight w:val="none"/>
        </w:rPr>
        <w:t>合同工程完工</w:t>
      </w:r>
      <w:r>
        <w:rPr>
          <w:rFonts w:ascii="宋体" w:hAnsi="宋体"/>
          <w:color w:val="auto"/>
          <w:szCs w:val="21"/>
          <w:highlight w:val="none"/>
        </w:rPr>
        <w:t>证书</w:t>
      </w:r>
      <w:r>
        <w:rPr>
          <w:rFonts w:hint="eastAsia" w:ascii="宋体" w:hAnsi="宋体"/>
          <w:color w:val="auto"/>
          <w:szCs w:val="21"/>
          <w:highlight w:val="none"/>
        </w:rPr>
        <w:t>之日</w:t>
      </w:r>
      <w:r>
        <w:rPr>
          <w:rFonts w:ascii="宋体" w:hAnsi="宋体"/>
          <w:color w:val="auto"/>
          <w:szCs w:val="21"/>
          <w:highlight w:val="none"/>
        </w:rPr>
        <w:t>止。</w:t>
      </w:r>
    </w:p>
    <w:p w14:paraId="2746F590">
      <w:pPr>
        <w:spacing w:line="400" w:lineRule="exact"/>
        <w:ind w:firstLine="420" w:firstLineChars="200"/>
        <w:rPr>
          <w:rFonts w:ascii="宋体" w:hAnsi="宋体"/>
          <w:color w:val="auto"/>
          <w:szCs w:val="21"/>
          <w:highlight w:val="none"/>
        </w:rPr>
      </w:pPr>
      <w:r>
        <w:rPr>
          <w:rFonts w:ascii="宋体" w:hAnsi="宋体"/>
          <w:color w:val="auto"/>
          <w:szCs w:val="21"/>
          <w:highlight w:val="none"/>
        </w:rPr>
        <w:t>3. 在本</w:t>
      </w:r>
      <w:r>
        <w:rPr>
          <w:rFonts w:hint="eastAsia" w:ascii="宋体" w:hAnsi="宋体"/>
          <w:color w:val="auto"/>
          <w:szCs w:val="21"/>
          <w:highlight w:val="none"/>
        </w:rPr>
        <w:t>担保</w:t>
      </w:r>
      <w:r>
        <w:rPr>
          <w:rFonts w:ascii="宋体" w:hAnsi="宋体"/>
          <w:color w:val="auto"/>
          <w:szCs w:val="21"/>
          <w:highlight w:val="none"/>
        </w:rPr>
        <w:t>有效期内，因承包人违反合同约定的义务给你方造成经济损失时，我</w:t>
      </w:r>
      <w:r>
        <w:rPr>
          <w:rFonts w:hint="eastAsia" w:ascii="宋体" w:hAnsi="宋体"/>
          <w:color w:val="auto"/>
          <w:szCs w:val="21"/>
          <w:highlight w:val="none"/>
        </w:rPr>
        <w:t>方</w:t>
      </w:r>
      <w:r>
        <w:rPr>
          <w:rFonts w:ascii="宋体" w:hAnsi="宋体"/>
          <w:color w:val="auto"/>
          <w:szCs w:val="21"/>
          <w:highlight w:val="none"/>
        </w:rPr>
        <w:t>在收到你方以书面形式提出的在担保金额内的赔偿要求后，无条件地在７天内予以支付。</w:t>
      </w:r>
    </w:p>
    <w:p w14:paraId="243D4345">
      <w:pPr>
        <w:spacing w:line="400" w:lineRule="exact"/>
        <w:ind w:firstLine="420" w:firstLineChars="200"/>
        <w:rPr>
          <w:rFonts w:ascii="宋体" w:hAnsi="宋体"/>
          <w:color w:val="auto"/>
          <w:szCs w:val="21"/>
          <w:highlight w:val="none"/>
        </w:rPr>
      </w:pPr>
      <w:r>
        <w:rPr>
          <w:rFonts w:ascii="宋体" w:hAnsi="宋体"/>
          <w:color w:val="auto"/>
          <w:szCs w:val="21"/>
          <w:highlight w:val="none"/>
        </w:rPr>
        <w:t>4. 发包人和承包人按《通用合同条款》第15条变更合同时，我</w:t>
      </w:r>
      <w:r>
        <w:rPr>
          <w:rFonts w:hint="eastAsia" w:ascii="宋体" w:hAnsi="宋体"/>
          <w:color w:val="auto"/>
          <w:szCs w:val="21"/>
          <w:highlight w:val="none"/>
        </w:rPr>
        <w:t>方</w:t>
      </w:r>
      <w:r>
        <w:rPr>
          <w:rFonts w:ascii="宋体" w:hAnsi="宋体"/>
          <w:color w:val="auto"/>
          <w:szCs w:val="21"/>
          <w:highlight w:val="none"/>
        </w:rPr>
        <w:t>承担本</w:t>
      </w:r>
      <w:r>
        <w:rPr>
          <w:rFonts w:hint="eastAsia" w:ascii="宋体" w:hAnsi="宋体"/>
          <w:color w:val="auto"/>
          <w:szCs w:val="21"/>
          <w:highlight w:val="none"/>
        </w:rPr>
        <w:t>担保</w:t>
      </w:r>
      <w:r>
        <w:rPr>
          <w:rFonts w:ascii="宋体" w:hAnsi="宋体"/>
          <w:color w:val="auto"/>
          <w:szCs w:val="21"/>
          <w:highlight w:val="none"/>
        </w:rPr>
        <w:t>规定的义务不变。</w:t>
      </w:r>
    </w:p>
    <w:p w14:paraId="768D1462">
      <w:pPr>
        <w:spacing w:line="400" w:lineRule="exact"/>
        <w:rPr>
          <w:rFonts w:ascii="宋体" w:hAnsi="宋体"/>
          <w:color w:val="auto"/>
          <w:szCs w:val="21"/>
          <w:highlight w:val="none"/>
        </w:rPr>
      </w:pPr>
    </w:p>
    <w:p w14:paraId="1120BB66">
      <w:pPr>
        <w:spacing w:line="400" w:lineRule="exact"/>
        <w:rPr>
          <w:rFonts w:ascii="宋体" w:hAnsi="宋体"/>
          <w:color w:val="auto"/>
          <w:szCs w:val="21"/>
          <w:highlight w:val="none"/>
        </w:rPr>
      </w:pPr>
    </w:p>
    <w:p w14:paraId="0E477C07">
      <w:pPr>
        <w:spacing w:line="400" w:lineRule="exact"/>
        <w:ind w:firstLine="3059" w:firstLineChars="1457"/>
        <w:rPr>
          <w:rFonts w:ascii="宋体" w:hAnsi="宋体"/>
          <w:color w:val="auto"/>
          <w:szCs w:val="21"/>
          <w:highlight w:val="none"/>
        </w:rPr>
      </w:pPr>
      <w:r>
        <w:rPr>
          <w:rFonts w:hint="eastAsia" w:ascii="宋体" w:hAnsi="宋体"/>
          <w:color w:val="auto"/>
          <w:szCs w:val="21"/>
          <w:highlight w:val="none"/>
        </w:rPr>
        <w:t>担 保 人</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（盖单位章）</w:t>
      </w:r>
    </w:p>
    <w:p w14:paraId="61669849">
      <w:pPr>
        <w:spacing w:line="400" w:lineRule="exact"/>
        <w:ind w:firstLine="3059" w:firstLineChars="1457"/>
        <w:rPr>
          <w:rFonts w:ascii="宋体" w:hAnsi="宋体"/>
          <w:color w:val="auto"/>
          <w:szCs w:val="21"/>
          <w:highlight w:val="none"/>
        </w:rPr>
      </w:pPr>
      <w:r>
        <w:rPr>
          <w:rFonts w:ascii="宋体" w:hAnsi="宋体"/>
          <w:color w:val="auto"/>
          <w:szCs w:val="21"/>
          <w:highlight w:val="none"/>
        </w:rPr>
        <w:t>法定代表人或</w:t>
      </w:r>
      <w:r>
        <w:rPr>
          <w:rFonts w:hint="eastAsia" w:ascii="宋体" w:hAnsi="宋体"/>
          <w:color w:val="auto"/>
          <w:szCs w:val="21"/>
          <w:highlight w:val="none"/>
        </w:rPr>
        <w:t>委托代理</w:t>
      </w:r>
      <w:r>
        <w:rPr>
          <w:rFonts w:ascii="宋体" w:hAnsi="宋体"/>
          <w:color w:val="auto"/>
          <w:szCs w:val="21"/>
          <w:highlight w:val="none"/>
        </w:rPr>
        <w:t>人：       （签字）</w:t>
      </w:r>
    </w:p>
    <w:p w14:paraId="1C4628A9">
      <w:pPr>
        <w:spacing w:line="400" w:lineRule="exact"/>
        <w:ind w:firstLine="3059" w:firstLineChars="1457"/>
        <w:rPr>
          <w:rFonts w:ascii="宋体" w:hAnsi="宋体"/>
          <w:color w:val="auto"/>
          <w:szCs w:val="21"/>
          <w:highlight w:val="none"/>
        </w:rPr>
      </w:pPr>
      <w:r>
        <w:rPr>
          <w:rFonts w:ascii="宋体" w:hAnsi="宋体"/>
          <w:color w:val="auto"/>
          <w:szCs w:val="21"/>
          <w:highlight w:val="none"/>
        </w:rPr>
        <w:t>地    址：</w:t>
      </w:r>
      <w:r>
        <w:rPr>
          <w:rFonts w:ascii="宋体" w:hAnsi="宋体"/>
          <w:color w:val="auto"/>
          <w:szCs w:val="21"/>
          <w:highlight w:val="none"/>
        </w:rPr>
        <w:tab/>
      </w:r>
      <w:r>
        <w:rPr>
          <w:rFonts w:ascii="宋体" w:hAnsi="宋体"/>
          <w:color w:val="auto"/>
          <w:szCs w:val="21"/>
          <w:highlight w:val="none"/>
        </w:rPr>
        <w:tab/>
      </w:r>
      <w:r>
        <w:rPr>
          <w:rFonts w:ascii="宋体" w:hAnsi="宋体"/>
          <w:color w:val="auto"/>
          <w:szCs w:val="21"/>
          <w:highlight w:val="none"/>
        </w:rPr>
        <w:tab/>
      </w:r>
      <w:r>
        <w:rPr>
          <w:rFonts w:ascii="宋体" w:hAnsi="宋体"/>
          <w:color w:val="auto"/>
          <w:szCs w:val="21"/>
          <w:highlight w:val="none"/>
        </w:rPr>
        <w:t xml:space="preserve">    </w:t>
      </w:r>
      <w:r>
        <w:rPr>
          <w:rFonts w:ascii="宋体" w:hAnsi="宋体"/>
          <w:color w:val="auto"/>
          <w:szCs w:val="21"/>
          <w:highlight w:val="none"/>
        </w:rPr>
        <w:tab/>
      </w:r>
      <w:r>
        <w:rPr>
          <w:rFonts w:ascii="宋体" w:hAnsi="宋体"/>
          <w:color w:val="auto"/>
          <w:szCs w:val="21"/>
          <w:highlight w:val="none"/>
        </w:rPr>
        <w:tab/>
      </w:r>
      <w:r>
        <w:rPr>
          <w:rFonts w:hint="eastAsia" w:ascii="宋体" w:hAnsi="宋体"/>
          <w:color w:val="auto"/>
          <w:szCs w:val="21"/>
          <w:highlight w:val="none"/>
        </w:rPr>
        <w:t xml:space="preserve">      </w:t>
      </w:r>
      <w:r>
        <w:rPr>
          <w:rFonts w:ascii="宋体" w:hAnsi="宋体"/>
          <w:color w:val="auto"/>
          <w:szCs w:val="21"/>
          <w:highlight w:val="none"/>
        </w:rPr>
        <w:tab/>
      </w:r>
    </w:p>
    <w:p w14:paraId="5A11A82A">
      <w:pPr>
        <w:spacing w:line="400" w:lineRule="exact"/>
        <w:ind w:firstLine="3059" w:firstLineChars="1457"/>
        <w:rPr>
          <w:rFonts w:ascii="宋体" w:hAnsi="宋体"/>
          <w:color w:val="auto"/>
          <w:szCs w:val="21"/>
          <w:highlight w:val="none"/>
        </w:rPr>
      </w:pPr>
      <w:r>
        <w:rPr>
          <w:rFonts w:ascii="宋体" w:hAnsi="宋体"/>
          <w:color w:val="auto"/>
          <w:szCs w:val="21"/>
          <w:highlight w:val="none"/>
        </w:rPr>
        <w:t>邮政编码：</w:t>
      </w:r>
      <w:r>
        <w:rPr>
          <w:rFonts w:ascii="宋体" w:hAnsi="宋体"/>
          <w:color w:val="auto"/>
          <w:szCs w:val="21"/>
          <w:highlight w:val="none"/>
        </w:rPr>
        <w:tab/>
      </w:r>
      <w:r>
        <w:rPr>
          <w:rFonts w:ascii="宋体" w:hAnsi="宋体"/>
          <w:color w:val="auto"/>
          <w:szCs w:val="21"/>
          <w:highlight w:val="none"/>
        </w:rPr>
        <w:tab/>
      </w:r>
      <w:r>
        <w:rPr>
          <w:rFonts w:ascii="宋体" w:hAnsi="宋体"/>
          <w:color w:val="auto"/>
          <w:szCs w:val="21"/>
          <w:highlight w:val="none"/>
        </w:rPr>
        <w:tab/>
      </w:r>
      <w:r>
        <w:rPr>
          <w:rFonts w:ascii="宋体" w:hAnsi="宋体"/>
          <w:color w:val="auto"/>
          <w:szCs w:val="21"/>
          <w:highlight w:val="none"/>
        </w:rPr>
        <w:tab/>
      </w:r>
      <w:r>
        <w:rPr>
          <w:rFonts w:ascii="宋体" w:hAnsi="宋体"/>
          <w:color w:val="auto"/>
          <w:szCs w:val="21"/>
          <w:highlight w:val="none"/>
        </w:rPr>
        <w:tab/>
      </w:r>
      <w:r>
        <w:rPr>
          <w:rFonts w:hint="eastAsia" w:ascii="宋体" w:hAnsi="宋体"/>
          <w:color w:val="auto"/>
          <w:szCs w:val="21"/>
          <w:highlight w:val="none"/>
        </w:rPr>
        <w:t xml:space="preserve">    </w:t>
      </w:r>
      <w:r>
        <w:rPr>
          <w:rFonts w:ascii="宋体" w:hAnsi="宋体"/>
          <w:color w:val="auto"/>
          <w:szCs w:val="21"/>
          <w:highlight w:val="none"/>
        </w:rPr>
        <w:tab/>
      </w:r>
      <w:r>
        <w:rPr>
          <w:rFonts w:ascii="宋体" w:hAnsi="宋体"/>
          <w:color w:val="auto"/>
          <w:szCs w:val="21"/>
          <w:highlight w:val="none"/>
        </w:rPr>
        <w:tab/>
      </w:r>
    </w:p>
    <w:p w14:paraId="41957EE9">
      <w:pPr>
        <w:spacing w:line="400" w:lineRule="exact"/>
        <w:ind w:firstLine="3059" w:firstLineChars="1457"/>
        <w:rPr>
          <w:rFonts w:ascii="宋体" w:hAnsi="宋体"/>
          <w:color w:val="auto"/>
          <w:szCs w:val="21"/>
          <w:highlight w:val="none"/>
        </w:rPr>
      </w:pPr>
      <w:r>
        <w:rPr>
          <w:rFonts w:ascii="宋体" w:hAnsi="宋体"/>
          <w:color w:val="auto"/>
          <w:szCs w:val="21"/>
          <w:highlight w:val="none"/>
        </w:rPr>
        <w:t xml:space="preserve">电    话：                    </w:t>
      </w:r>
      <w:r>
        <w:rPr>
          <w:rFonts w:hint="eastAsia" w:ascii="宋体" w:hAnsi="宋体"/>
          <w:color w:val="auto"/>
          <w:szCs w:val="21"/>
          <w:highlight w:val="none"/>
        </w:rPr>
        <w:t xml:space="preserve">    </w:t>
      </w:r>
      <w:r>
        <w:rPr>
          <w:rFonts w:ascii="宋体" w:hAnsi="宋体"/>
          <w:color w:val="auto"/>
          <w:szCs w:val="21"/>
          <w:highlight w:val="none"/>
        </w:rPr>
        <w:t xml:space="preserve">     </w:t>
      </w:r>
    </w:p>
    <w:p w14:paraId="6FEDF306">
      <w:pPr>
        <w:spacing w:line="400" w:lineRule="exact"/>
        <w:ind w:firstLine="3059" w:firstLineChars="1457"/>
        <w:rPr>
          <w:rFonts w:ascii="宋体" w:hAnsi="宋体"/>
          <w:color w:val="auto"/>
          <w:szCs w:val="21"/>
          <w:highlight w:val="none"/>
        </w:rPr>
      </w:pPr>
      <w:r>
        <w:rPr>
          <w:rFonts w:hint="eastAsia" w:ascii="宋体" w:hAnsi="宋体"/>
          <w:color w:val="auto"/>
          <w:szCs w:val="21"/>
          <w:highlight w:val="none"/>
        </w:rPr>
        <w:t>传    真</w:t>
      </w:r>
      <w:r>
        <w:rPr>
          <w:rFonts w:ascii="宋体" w:hAnsi="宋体"/>
          <w:color w:val="auto"/>
          <w:szCs w:val="21"/>
          <w:highlight w:val="none"/>
        </w:rPr>
        <w:t xml:space="preserve"> </w:t>
      </w:r>
      <w:r>
        <w:rPr>
          <w:rFonts w:hint="eastAsia" w:ascii="宋体" w:hAnsi="宋体"/>
          <w:color w:val="auto"/>
          <w:szCs w:val="21"/>
          <w:highlight w:val="none"/>
        </w:rPr>
        <w:t xml:space="preserve">：                           </w:t>
      </w:r>
    </w:p>
    <w:p w14:paraId="4EFB65F9">
      <w:pPr>
        <w:spacing w:line="400" w:lineRule="exact"/>
        <w:ind w:firstLine="3689" w:firstLineChars="1757"/>
        <w:rPr>
          <w:rFonts w:ascii="宋体" w:hAnsi="宋体"/>
          <w:color w:val="auto"/>
          <w:szCs w:val="21"/>
          <w:highlight w:val="none"/>
        </w:rPr>
      </w:pPr>
      <w:r>
        <w:rPr>
          <w:rFonts w:ascii="宋体" w:hAnsi="宋体"/>
          <w:color w:val="auto"/>
          <w:szCs w:val="21"/>
          <w:highlight w:val="none"/>
        </w:rPr>
        <w:t xml:space="preserve">        年      月      日</w:t>
      </w:r>
    </w:p>
    <w:p w14:paraId="77263337">
      <w:pPr>
        <w:spacing w:line="400" w:lineRule="exact"/>
        <w:rPr>
          <w:rFonts w:ascii="宋体" w:hAnsi="宋体"/>
          <w:color w:val="auto"/>
          <w:sz w:val="20"/>
          <w:szCs w:val="20"/>
          <w:highlight w:val="none"/>
        </w:rPr>
      </w:pPr>
    </w:p>
    <w:p w14:paraId="57F8B285">
      <w:pPr>
        <w:spacing w:line="400" w:lineRule="exact"/>
        <w:rPr>
          <w:rFonts w:ascii="宋体" w:hAnsi="宋体"/>
          <w:color w:val="auto"/>
          <w:sz w:val="20"/>
          <w:szCs w:val="20"/>
          <w:highlight w:val="none"/>
        </w:rPr>
      </w:pPr>
    </w:p>
    <w:p w14:paraId="0F92353D">
      <w:pPr>
        <w:spacing w:line="400" w:lineRule="exact"/>
        <w:rPr>
          <w:rFonts w:ascii="宋体" w:hAnsi="宋体"/>
          <w:color w:val="auto"/>
          <w:sz w:val="20"/>
          <w:szCs w:val="20"/>
          <w:highlight w:val="none"/>
        </w:rPr>
      </w:pPr>
    </w:p>
    <w:p w14:paraId="619CEC5C">
      <w:pPr>
        <w:spacing w:line="400" w:lineRule="exact"/>
        <w:rPr>
          <w:rFonts w:ascii="宋体" w:hAnsi="宋体"/>
          <w:color w:val="auto"/>
          <w:sz w:val="20"/>
          <w:szCs w:val="20"/>
          <w:highlight w:val="none"/>
        </w:rPr>
      </w:pPr>
    </w:p>
    <w:p w14:paraId="7FC07291">
      <w:pPr>
        <w:spacing w:line="400" w:lineRule="exact"/>
        <w:rPr>
          <w:rFonts w:ascii="宋体" w:hAnsi="宋体"/>
          <w:color w:val="auto"/>
          <w:sz w:val="20"/>
          <w:szCs w:val="20"/>
          <w:highlight w:val="none"/>
        </w:rPr>
      </w:pPr>
      <w:r>
        <w:rPr>
          <w:rFonts w:hint="eastAsia" w:ascii="宋体" w:hAnsi="宋体"/>
          <w:color w:val="auto"/>
          <w:sz w:val="20"/>
          <w:szCs w:val="20"/>
          <w:highlight w:val="none"/>
        </w:rPr>
        <w:t>注： 委托代理人应附授权委托书。</w:t>
      </w:r>
    </w:p>
    <w:p w14:paraId="29803CAD">
      <w:pPr>
        <w:spacing w:line="400" w:lineRule="exact"/>
        <w:rPr>
          <w:rFonts w:ascii="宋体" w:hAnsi="宋体"/>
          <w:color w:val="auto"/>
          <w:sz w:val="20"/>
          <w:szCs w:val="20"/>
          <w:highlight w:val="none"/>
        </w:rPr>
      </w:pPr>
    </w:p>
    <w:p w14:paraId="443F6414">
      <w:pPr>
        <w:spacing w:line="400" w:lineRule="exact"/>
        <w:rPr>
          <w:rFonts w:ascii="宋体" w:hAnsi="宋体"/>
          <w:color w:val="auto"/>
          <w:sz w:val="20"/>
          <w:szCs w:val="20"/>
          <w:highlight w:val="none"/>
        </w:rPr>
      </w:pPr>
    </w:p>
    <w:p w14:paraId="476A5435">
      <w:pPr>
        <w:spacing w:line="400" w:lineRule="exact"/>
        <w:rPr>
          <w:rFonts w:ascii="宋体" w:hAnsi="宋体"/>
          <w:color w:val="auto"/>
          <w:sz w:val="20"/>
          <w:szCs w:val="20"/>
          <w:highlight w:val="none"/>
        </w:rPr>
      </w:pPr>
    </w:p>
    <w:p w14:paraId="01209034">
      <w:pPr>
        <w:keepNext/>
        <w:keepLines/>
        <w:spacing w:line="400" w:lineRule="exact"/>
        <w:jc w:val="left"/>
        <w:outlineLvl w:val="2"/>
        <w:rPr>
          <w:rFonts w:ascii="宋体" w:hAnsi="宋体" w:cs="宋体"/>
          <w:strike/>
          <w:color w:val="auto"/>
          <w:kern w:val="0"/>
          <w:sz w:val="24"/>
          <w:szCs w:val="20"/>
          <w:highlight w:val="none"/>
        </w:rPr>
      </w:pPr>
      <w:bookmarkStart w:id="1011" w:name="_Toc115180050"/>
      <w:r>
        <w:rPr>
          <w:rFonts w:hint="eastAsia" w:ascii="宋体" w:hAnsi="宋体" w:cs="宋体"/>
          <w:strike/>
          <w:color w:val="auto"/>
          <w:kern w:val="0"/>
          <w:sz w:val="24"/>
          <w:szCs w:val="20"/>
          <w:highlight w:val="none"/>
        </w:rPr>
        <w:t>附件七：预付款担保（格式）</w:t>
      </w:r>
      <w:bookmarkEnd w:id="1011"/>
    </w:p>
    <w:p w14:paraId="12CDA7E9">
      <w:pPr>
        <w:spacing w:line="400" w:lineRule="exact"/>
        <w:rPr>
          <w:rFonts w:ascii="宋体" w:hAnsi="宋体"/>
          <w:strike/>
          <w:color w:val="auto"/>
          <w:sz w:val="20"/>
          <w:szCs w:val="20"/>
          <w:highlight w:val="none"/>
        </w:rPr>
      </w:pPr>
    </w:p>
    <w:p w14:paraId="26E53234">
      <w:pPr>
        <w:spacing w:line="400" w:lineRule="exact"/>
        <w:jc w:val="center"/>
        <w:rPr>
          <w:rFonts w:ascii="宋体" w:hAnsi="宋体"/>
          <w:strike/>
          <w:color w:val="auto"/>
          <w:sz w:val="27"/>
          <w:szCs w:val="27"/>
          <w:highlight w:val="none"/>
        </w:rPr>
      </w:pPr>
      <w:r>
        <w:rPr>
          <w:rFonts w:ascii="宋体" w:hAnsi="宋体"/>
          <w:strike/>
          <w:color w:val="auto"/>
          <w:sz w:val="27"/>
          <w:szCs w:val="27"/>
          <w:highlight w:val="none"/>
        </w:rPr>
        <w:t>预付款银行保函</w:t>
      </w:r>
      <w:r>
        <w:rPr>
          <w:rFonts w:hint="eastAsia" w:ascii="宋体" w:hAnsi="宋体"/>
          <w:strike/>
          <w:color w:val="auto"/>
          <w:sz w:val="27"/>
          <w:szCs w:val="27"/>
          <w:highlight w:val="none"/>
        </w:rPr>
        <w:t>（格式）</w:t>
      </w:r>
    </w:p>
    <w:p w14:paraId="74AAC9F2">
      <w:pPr>
        <w:spacing w:line="400" w:lineRule="exact"/>
        <w:rPr>
          <w:rFonts w:ascii="宋体" w:hAnsi="宋体"/>
          <w:strike/>
          <w:color w:val="auto"/>
          <w:sz w:val="19"/>
          <w:szCs w:val="19"/>
          <w:highlight w:val="none"/>
        </w:rPr>
      </w:pPr>
    </w:p>
    <w:p w14:paraId="6AF951EA">
      <w:pPr>
        <w:spacing w:line="400" w:lineRule="exact"/>
        <w:rPr>
          <w:rFonts w:ascii="宋体" w:hAnsi="宋体"/>
          <w:strike/>
          <w:color w:val="auto"/>
          <w:szCs w:val="21"/>
          <w:highlight w:val="none"/>
          <w:u w:val="single"/>
        </w:rPr>
      </w:pP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 xml:space="preserve">  （发包人名称）：</w:t>
      </w:r>
    </w:p>
    <w:p w14:paraId="46E4737E">
      <w:pPr>
        <w:spacing w:line="400" w:lineRule="exact"/>
        <w:rPr>
          <w:rFonts w:ascii="宋体" w:hAnsi="宋体"/>
          <w:strike/>
          <w:color w:val="auto"/>
          <w:szCs w:val="21"/>
          <w:highlight w:val="none"/>
        </w:rPr>
      </w:pPr>
    </w:p>
    <w:p w14:paraId="716EB9C6">
      <w:pPr>
        <w:spacing w:line="400" w:lineRule="exact"/>
        <w:ind w:firstLine="420" w:firstLineChars="200"/>
        <w:rPr>
          <w:rFonts w:ascii="宋体" w:hAnsi="宋体"/>
          <w:strike/>
          <w:color w:val="auto"/>
          <w:szCs w:val="21"/>
          <w:highlight w:val="none"/>
        </w:rPr>
      </w:pPr>
      <w:r>
        <w:rPr>
          <w:rFonts w:ascii="宋体" w:hAnsi="宋体"/>
          <w:strike/>
          <w:color w:val="auto"/>
          <w:szCs w:val="21"/>
          <w:highlight w:val="none"/>
        </w:rPr>
        <w:t xml:space="preserve">根据 </w:t>
      </w:r>
      <w:r>
        <w:rPr>
          <w:rFonts w:ascii="宋体" w:hAnsi="宋体"/>
          <w:strike/>
          <w:color w:val="auto"/>
          <w:szCs w:val="21"/>
          <w:highlight w:val="none"/>
          <w:u w:val="single"/>
        </w:rPr>
        <w:t xml:space="preserve">        （承包人名称</w:t>
      </w:r>
      <w:r>
        <w:rPr>
          <w:rFonts w:hint="eastAsia" w:ascii="宋体" w:hAnsi="宋体"/>
          <w:strike/>
          <w:color w:val="auto"/>
          <w:szCs w:val="21"/>
          <w:highlight w:val="none"/>
          <w:u w:val="single"/>
        </w:rPr>
        <w:t>，</w:t>
      </w:r>
      <w:r>
        <w:rPr>
          <w:rFonts w:ascii="宋体" w:hAnsi="宋体"/>
          <w:strike/>
          <w:color w:val="auto"/>
          <w:szCs w:val="21"/>
          <w:highlight w:val="none"/>
          <w:u w:val="single"/>
        </w:rPr>
        <w:t>以下称“承包人”）</w:t>
      </w:r>
      <w:r>
        <w:rPr>
          <w:rFonts w:ascii="宋体" w:hAnsi="宋体"/>
          <w:strike/>
          <w:color w:val="auto"/>
          <w:szCs w:val="21"/>
          <w:highlight w:val="none"/>
        </w:rPr>
        <w:t>与</w:t>
      </w:r>
      <w:r>
        <w:rPr>
          <w:rFonts w:ascii="宋体" w:hAnsi="宋体"/>
          <w:strike/>
          <w:color w:val="auto"/>
          <w:szCs w:val="21"/>
          <w:highlight w:val="none"/>
          <w:u w:val="single"/>
        </w:rPr>
        <w:t xml:space="preserve">                （发包人名称</w:t>
      </w:r>
      <w:r>
        <w:rPr>
          <w:rFonts w:hint="eastAsia" w:ascii="宋体" w:hAnsi="宋体"/>
          <w:strike/>
          <w:color w:val="auto"/>
          <w:szCs w:val="21"/>
          <w:highlight w:val="none"/>
          <w:u w:val="single"/>
        </w:rPr>
        <w:t>，</w:t>
      </w:r>
      <w:r>
        <w:rPr>
          <w:rFonts w:ascii="宋体" w:hAnsi="宋体"/>
          <w:strike/>
          <w:color w:val="auto"/>
          <w:szCs w:val="21"/>
          <w:highlight w:val="none"/>
          <w:u w:val="single"/>
        </w:rPr>
        <w:t>以下简称“发包人”）</w:t>
      </w:r>
      <w:r>
        <w:rPr>
          <w:rFonts w:ascii="宋体" w:hAnsi="宋体"/>
          <w:strike/>
          <w:color w:val="auto"/>
          <w:szCs w:val="21"/>
          <w:highlight w:val="none"/>
        </w:rPr>
        <w:t>于</w:t>
      </w:r>
      <w:r>
        <w:rPr>
          <w:rFonts w:ascii="宋体" w:hAnsi="宋体"/>
          <w:strike/>
          <w:color w:val="auto"/>
          <w:szCs w:val="21"/>
          <w:highlight w:val="none"/>
          <w:u w:val="single"/>
        </w:rPr>
        <w:t xml:space="preserve">      年    月    日</w:t>
      </w:r>
      <w:r>
        <w:rPr>
          <w:rFonts w:ascii="宋体" w:hAnsi="宋体"/>
          <w:strike/>
          <w:color w:val="auto"/>
          <w:szCs w:val="21"/>
          <w:highlight w:val="none"/>
        </w:rPr>
        <w:t>签订的</w:t>
      </w:r>
      <w:r>
        <w:rPr>
          <w:rFonts w:ascii="宋体" w:hAnsi="宋体"/>
          <w:strike/>
          <w:color w:val="auto"/>
          <w:szCs w:val="21"/>
          <w:highlight w:val="none"/>
          <w:u w:val="single"/>
        </w:rPr>
        <w:t xml:space="preserve">         （项目名称）          </w:t>
      </w:r>
      <w:r>
        <w:rPr>
          <w:rFonts w:hint="eastAsia" w:ascii="宋体" w:hAnsi="宋体"/>
          <w:strike/>
          <w:color w:val="auto"/>
          <w:szCs w:val="21"/>
          <w:highlight w:val="none"/>
          <w:u w:val="single"/>
        </w:rPr>
        <w:t>（标段名称）</w:t>
      </w:r>
      <w:r>
        <w:rPr>
          <w:rFonts w:ascii="宋体" w:hAnsi="宋体"/>
          <w:strike/>
          <w:color w:val="auto"/>
          <w:szCs w:val="21"/>
          <w:highlight w:val="none"/>
        </w:rPr>
        <w:t>合同</w:t>
      </w:r>
      <w:r>
        <w:rPr>
          <w:rFonts w:hint="eastAsia" w:ascii="宋体" w:hAnsi="宋体"/>
          <w:strike/>
          <w:color w:val="auto"/>
          <w:szCs w:val="21"/>
          <w:highlight w:val="none"/>
        </w:rPr>
        <w:t>协议书</w:t>
      </w:r>
      <w:r>
        <w:rPr>
          <w:rFonts w:ascii="宋体" w:hAnsi="宋体"/>
          <w:strike/>
          <w:color w:val="auto"/>
          <w:szCs w:val="21"/>
          <w:highlight w:val="none"/>
        </w:rPr>
        <w:t>，承包人按约定的金额向发包人提交一份预付款担保，即有权得到发包人支付相等金额的预付款。我</w:t>
      </w:r>
      <w:r>
        <w:rPr>
          <w:rFonts w:hint="eastAsia" w:ascii="宋体" w:hAnsi="宋体"/>
          <w:strike/>
          <w:color w:val="auto"/>
          <w:szCs w:val="21"/>
          <w:highlight w:val="none"/>
        </w:rPr>
        <w:t>方</w:t>
      </w:r>
      <w:r>
        <w:rPr>
          <w:rFonts w:ascii="宋体" w:hAnsi="宋体"/>
          <w:strike/>
          <w:color w:val="auto"/>
          <w:szCs w:val="21"/>
          <w:highlight w:val="none"/>
        </w:rPr>
        <w:t>愿意就</w:t>
      </w:r>
      <w:r>
        <w:rPr>
          <w:rFonts w:hint="eastAsia" w:ascii="宋体" w:hAnsi="宋体"/>
          <w:strike/>
          <w:color w:val="auto"/>
          <w:szCs w:val="21"/>
          <w:highlight w:val="none"/>
        </w:rPr>
        <w:t>你方提供给承包人的预付款提供担保。</w:t>
      </w:r>
    </w:p>
    <w:p w14:paraId="2DBE8B99">
      <w:pPr>
        <w:spacing w:line="400" w:lineRule="exact"/>
        <w:ind w:firstLine="420" w:firstLineChars="200"/>
        <w:rPr>
          <w:rFonts w:ascii="宋体" w:hAnsi="宋体"/>
          <w:strike/>
          <w:color w:val="auto"/>
          <w:szCs w:val="21"/>
          <w:highlight w:val="none"/>
        </w:rPr>
      </w:pPr>
      <w:r>
        <w:rPr>
          <w:rFonts w:ascii="宋体" w:hAnsi="宋体"/>
          <w:strike/>
          <w:color w:val="auto"/>
          <w:szCs w:val="21"/>
          <w:highlight w:val="none"/>
        </w:rPr>
        <w:t>1. 担保金额人民币（大写）</w:t>
      </w:r>
      <w:r>
        <w:rPr>
          <w:rFonts w:ascii="宋体" w:hAnsi="宋体"/>
          <w:strike/>
          <w:color w:val="auto"/>
          <w:szCs w:val="21"/>
          <w:highlight w:val="none"/>
          <w:u w:val="single"/>
        </w:rPr>
        <w:t xml:space="preserve">                 元（¥             </w:t>
      </w:r>
      <w:r>
        <w:rPr>
          <w:rFonts w:hint="eastAsia" w:ascii="宋体" w:hAnsi="宋体"/>
          <w:strike/>
          <w:color w:val="auto"/>
          <w:szCs w:val="21"/>
          <w:highlight w:val="none"/>
          <w:u w:val="single"/>
        </w:rPr>
        <w:t>元</w:t>
      </w:r>
      <w:r>
        <w:rPr>
          <w:rFonts w:ascii="宋体" w:hAnsi="宋体"/>
          <w:strike/>
          <w:color w:val="auto"/>
          <w:szCs w:val="21"/>
          <w:highlight w:val="none"/>
          <w:u w:val="single"/>
        </w:rPr>
        <w:t>）</w:t>
      </w:r>
      <w:r>
        <w:rPr>
          <w:rFonts w:ascii="宋体" w:hAnsi="宋体"/>
          <w:strike/>
          <w:color w:val="auto"/>
          <w:szCs w:val="21"/>
          <w:highlight w:val="none"/>
        </w:rPr>
        <w:t>。</w:t>
      </w:r>
    </w:p>
    <w:p w14:paraId="7669ED08">
      <w:pPr>
        <w:spacing w:line="400" w:lineRule="exact"/>
        <w:ind w:firstLine="420" w:firstLineChars="200"/>
        <w:rPr>
          <w:rFonts w:ascii="宋体" w:hAnsi="宋体"/>
          <w:strike/>
          <w:color w:val="auto"/>
          <w:szCs w:val="21"/>
          <w:highlight w:val="none"/>
        </w:rPr>
      </w:pPr>
      <w:r>
        <w:rPr>
          <w:rFonts w:ascii="宋体" w:hAnsi="宋体"/>
          <w:strike/>
          <w:color w:val="auto"/>
          <w:szCs w:val="21"/>
          <w:highlight w:val="none"/>
        </w:rPr>
        <w:t>2. 担保有效期自预付款支付给承包人起生效，至发包人签发的</w:t>
      </w:r>
      <w:r>
        <w:rPr>
          <w:rFonts w:hint="eastAsia" w:ascii="宋体" w:hAnsi="宋体"/>
          <w:strike/>
          <w:color w:val="auto"/>
          <w:szCs w:val="21"/>
          <w:highlight w:val="none"/>
        </w:rPr>
        <w:t>进度付款证书说明预付款已完全扣清止。</w:t>
      </w:r>
    </w:p>
    <w:p w14:paraId="3B710C42">
      <w:pPr>
        <w:spacing w:line="400" w:lineRule="exact"/>
        <w:ind w:firstLine="420" w:firstLineChars="200"/>
        <w:rPr>
          <w:rFonts w:ascii="宋体" w:hAnsi="宋体"/>
          <w:strike/>
          <w:color w:val="auto"/>
          <w:szCs w:val="21"/>
          <w:highlight w:val="none"/>
        </w:rPr>
      </w:pPr>
      <w:r>
        <w:rPr>
          <w:rFonts w:ascii="宋体" w:hAnsi="宋体"/>
          <w:strike/>
          <w:color w:val="auto"/>
          <w:szCs w:val="21"/>
          <w:highlight w:val="none"/>
        </w:rPr>
        <w:t>3. 在本保函有效期内，因承包人违反合同约定的义务而要求收回预付款时，我</w:t>
      </w:r>
      <w:r>
        <w:rPr>
          <w:rFonts w:hint="eastAsia" w:ascii="宋体" w:hAnsi="宋体"/>
          <w:strike/>
          <w:color w:val="auto"/>
          <w:szCs w:val="21"/>
          <w:highlight w:val="none"/>
        </w:rPr>
        <w:t>方</w:t>
      </w:r>
      <w:r>
        <w:rPr>
          <w:rFonts w:ascii="宋体" w:hAnsi="宋体"/>
          <w:strike/>
          <w:color w:val="auto"/>
          <w:szCs w:val="21"/>
          <w:highlight w:val="none"/>
        </w:rPr>
        <w:t>在收到你方的书面通知后，</w:t>
      </w:r>
      <w:r>
        <w:rPr>
          <w:rFonts w:hint="eastAsia" w:ascii="宋体" w:hAnsi="宋体"/>
          <w:strike/>
          <w:color w:val="auto"/>
          <w:szCs w:val="21"/>
          <w:highlight w:val="none"/>
        </w:rPr>
        <w:t>无条件地</w:t>
      </w:r>
      <w:r>
        <w:rPr>
          <w:rFonts w:ascii="宋体" w:hAnsi="宋体"/>
          <w:strike/>
          <w:color w:val="auto"/>
          <w:szCs w:val="21"/>
          <w:highlight w:val="none"/>
        </w:rPr>
        <w:t>在７天内予以支付。但本保函的担保金额，在任何时候不应超过预付款金额减去发包人按合同约定在向承包人签发的进度付款证书中</w:t>
      </w:r>
      <w:r>
        <w:rPr>
          <w:rFonts w:hint="eastAsia" w:ascii="宋体" w:hAnsi="宋体"/>
          <w:strike/>
          <w:color w:val="auto"/>
          <w:szCs w:val="21"/>
          <w:highlight w:val="none"/>
        </w:rPr>
        <w:t>已</w:t>
      </w:r>
      <w:r>
        <w:rPr>
          <w:rFonts w:ascii="宋体" w:hAnsi="宋体"/>
          <w:strike/>
          <w:color w:val="auto"/>
          <w:szCs w:val="21"/>
          <w:highlight w:val="none"/>
        </w:rPr>
        <w:t>扣</w:t>
      </w:r>
      <w:r>
        <w:rPr>
          <w:rFonts w:hint="eastAsia" w:ascii="宋体" w:hAnsi="宋体"/>
          <w:strike/>
          <w:color w:val="auto"/>
          <w:szCs w:val="21"/>
          <w:highlight w:val="none"/>
        </w:rPr>
        <w:t>回</w:t>
      </w:r>
      <w:r>
        <w:rPr>
          <w:rFonts w:ascii="宋体" w:hAnsi="宋体"/>
          <w:strike/>
          <w:color w:val="auto"/>
          <w:szCs w:val="21"/>
          <w:highlight w:val="none"/>
        </w:rPr>
        <w:t>的金额。</w:t>
      </w:r>
    </w:p>
    <w:p w14:paraId="6B95A633">
      <w:pPr>
        <w:spacing w:line="400" w:lineRule="exact"/>
        <w:ind w:firstLine="420" w:firstLineChars="200"/>
        <w:rPr>
          <w:rFonts w:ascii="宋体" w:hAnsi="宋体"/>
          <w:strike/>
          <w:color w:val="auto"/>
          <w:szCs w:val="21"/>
          <w:highlight w:val="none"/>
        </w:rPr>
      </w:pPr>
      <w:r>
        <w:rPr>
          <w:rFonts w:ascii="宋体" w:hAnsi="宋体"/>
          <w:strike/>
          <w:color w:val="auto"/>
          <w:szCs w:val="21"/>
          <w:highlight w:val="none"/>
        </w:rPr>
        <w:t>4. 发包人和承包人按《通用合同条款》第15条变更合同时，我</w:t>
      </w:r>
      <w:r>
        <w:rPr>
          <w:rFonts w:hint="eastAsia" w:ascii="宋体" w:hAnsi="宋体"/>
          <w:strike/>
          <w:color w:val="auto"/>
          <w:szCs w:val="21"/>
          <w:highlight w:val="none"/>
        </w:rPr>
        <w:t>放</w:t>
      </w:r>
      <w:r>
        <w:rPr>
          <w:rFonts w:ascii="宋体" w:hAnsi="宋体"/>
          <w:strike/>
          <w:color w:val="auto"/>
          <w:szCs w:val="21"/>
          <w:highlight w:val="none"/>
        </w:rPr>
        <w:t>承担本保函规定的义务不变。</w:t>
      </w:r>
    </w:p>
    <w:p w14:paraId="17E3E8C5">
      <w:pPr>
        <w:spacing w:line="400" w:lineRule="exact"/>
        <w:rPr>
          <w:rFonts w:ascii="宋体" w:hAnsi="宋体"/>
          <w:strike/>
          <w:color w:val="auto"/>
          <w:szCs w:val="21"/>
          <w:highlight w:val="none"/>
        </w:rPr>
      </w:pPr>
    </w:p>
    <w:p w14:paraId="6EDC00B1">
      <w:pPr>
        <w:spacing w:line="400" w:lineRule="exact"/>
        <w:ind w:firstLine="3599" w:firstLineChars="1714"/>
        <w:rPr>
          <w:rFonts w:ascii="宋体" w:hAnsi="宋体"/>
          <w:strike/>
          <w:color w:val="auto"/>
          <w:szCs w:val="21"/>
          <w:highlight w:val="none"/>
        </w:rPr>
      </w:pPr>
      <w:r>
        <w:rPr>
          <w:rFonts w:hint="eastAsia" w:ascii="宋体" w:hAnsi="宋体"/>
          <w:strike/>
          <w:color w:val="auto"/>
          <w:szCs w:val="21"/>
          <w:highlight w:val="none"/>
        </w:rPr>
        <w:t>担 保 人</w:t>
      </w:r>
      <w:r>
        <w:rPr>
          <w:rFonts w:ascii="宋体" w:hAnsi="宋体"/>
          <w:strike/>
          <w:color w:val="auto"/>
          <w:szCs w:val="21"/>
          <w:highlight w:val="none"/>
        </w:rPr>
        <w:t>：                （盖单位章）</w:t>
      </w:r>
    </w:p>
    <w:p w14:paraId="5892BF15">
      <w:pPr>
        <w:spacing w:line="400" w:lineRule="exact"/>
        <w:ind w:firstLine="3599" w:firstLineChars="1714"/>
        <w:rPr>
          <w:rFonts w:ascii="宋体" w:hAnsi="宋体"/>
          <w:strike/>
          <w:color w:val="auto"/>
          <w:szCs w:val="21"/>
          <w:highlight w:val="none"/>
        </w:rPr>
      </w:pPr>
      <w:r>
        <w:rPr>
          <w:rFonts w:ascii="宋体" w:hAnsi="宋体"/>
          <w:strike/>
          <w:color w:val="auto"/>
          <w:szCs w:val="21"/>
          <w:highlight w:val="none"/>
        </w:rPr>
        <w:t>法定代表人或</w:t>
      </w:r>
      <w:r>
        <w:rPr>
          <w:rFonts w:hint="eastAsia" w:ascii="宋体" w:hAnsi="宋体"/>
          <w:strike/>
          <w:color w:val="auto"/>
          <w:szCs w:val="21"/>
          <w:highlight w:val="none"/>
        </w:rPr>
        <w:t>委托代理</w:t>
      </w:r>
      <w:r>
        <w:rPr>
          <w:rFonts w:ascii="宋体" w:hAnsi="宋体"/>
          <w:strike/>
          <w:color w:val="auto"/>
          <w:szCs w:val="21"/>
          <w:highlight w:val="none"/>
        </w:rPr>
        <w:t>人：      （签字）</w:t>
      </w:r>
    </w:p>
    <w:p w14:paraId="1304B59E">
      <w:pPr>
        <w:spacing w:line="400" w:lineRule="exact"/>
        <w:ind w:firstLine="3599" w:firstLineChars="1714"/>
        <w:rPr>
          <w:rFonts w:ascii="宋体" w:hAnsi="宋体"/>
          <w:strike/>
          <w:color w:val="auto"/>
          <w:szCs w:val="21"/>
          <w:highlight w:val="none"/>
        </w:rPr>
      </w:pPr>
      <w:r>
        <w:rPr>
          <w:rFonts w:ascii="宋体" w:hAnsi="宋体"/>
          <w:strike/>
          <w:color w:val="auto"/>
          <w:szCs w:val="21"/>
          <w:highlight w:val="none"/>
        </w:rPr>
        <w:t>地    址：</w:t>
      </w:r>
      <w:r>
        <w:rPr>
          <w:rFonts w:ascii="宋体" w:hAnsi="宋体"/>
          <w:strike/>
          <w:color w:val="auto"/>
          <w:szCs w:val="21"/>
          <w:highlight w:val="none"/>
        </w:rPr>
        <w:tab/>
      </w:r>
      <w:r>
        <w:rPr>
          <w:rFonts w:ascii="宋体" w:hAnsi="宋体"/>
          <w:strike/>
          <w:color w:val="auto"/>
          <w:szCs w:val="21"/>
          <w:highlight w:val="none"/>
        </w:rPr>
        <w:tab/>
      </w:r>
      <w:r>
        <w:rPr>
          <w:rFonts w:ascii="宋体" w:hAnsi="宋体"/>
          <w:strike/>
          <w:color w:val="auto"/>
          <w:szCs w:val="21"/>
          <w:highlight w:val="none"/>
        </w:rPr>
        <w:tab/>
      </w:r>
      <w:r>
        <w:rPr>
          <w:rFonts w:ascii="宋体" w:hAnsi="宋体"/>
          <w:strike/>
          <w:color w:val="auto"/>
          <w:szCs w:val="21"/>
          <w:highlight w:val="none"/>
        </w:rPr>
        <w:t xml:space="preserve">    </w:t>
      </w:r>
      <w:r>
        <w:rPr>
          <w:rFonts w:ascii="宋体" w:hAnsi="宋体"/>
          <w:strike/>
          <w:color w:val="auto"/>
          <w:szCs w:val="21"/>
          <w:highlight w:val="none"/>
        </w:rPr>
        <w:tab/>
      </w:r>
      <w:r>
        <w:rPr>
          <w:rFonts w:ascii="宋体" w:hAnsi="宋体"/>
          <w:strike/>
          <w:color w:val="auto"/>
          <w:szCs w:val="21"/>
          <w:highlight w:val="none"/>
        </w:rPr>
        <w:t xml:space="preserve">        </w:t>
      </w:r>
    </w:p>
    <w:p w14:paraId="06CD5603">
      <w:pPr>
        <w:spacing w:line="400" w:lineRule="exact"/>
        <w:ind w:firstLine="3599" w:firstLineChars="1714"/>
        <w:rPr>
          <w:rFonts w:ascii="宋体" w:hAnsi="宋体"/>
          <w:strike/>
          <w:color w:val="auto"/>
          <w:szCs w:val="21"/>
          <w:highlight w:val="none"/>
        </w:rPr>
      </w:pPr>
      <w:r>
        <w:rPr>
          <w:rFonts w:ascii="宋体" w:hAnsi="宋体"/>
          <w:strike/>
          <w:color w:val="auto"/>
          <w:szCs w:val="21"/>
          <w:highlight w:val="none"/>
        </w:rPr>
        <w:t>邮政编码：</w:t>
      </w:r>
      <w:r>
        <w:rPr>
          <w:rFonts w:ascii="宋体" w:hAnsi="宋体"/>
          <w:strike/>
          <w:color w:val="auto"/>
          <w:szCs w:val="21"/>
          <w:highlight w:val="none"/>
        </w:rPr>
        <w:tab/>
      </w:r>
      <w:r>
        <w:rPr>
          <w:rFonts w:ascii="宋体" w:hAnsi="宋体"/>
          <w:strike/>
          <w:color w:val="auto"/>
          <w:szCs w:val="21"/>
          <w:highlight w:val="none"/>
        </w:rPr>
        <w:tab/>
      </w:r>
      <w:r>
        <w:rPr>
          <w:rFonts w:ascii="宋体" w:hAnsi="宋体"/>
          <w:strike/>
          <w:color w:val="auto"/>
          <w:szCs w:val="21"/>
          <w:highlight w:val="none"/>
        </w:rPr>
        <w:tab/>
      </w:r>
      <w:r>
        <w:rPr>
          <w:rFonts w:ascii="宋体" w:hAnsi="宋体"/>
          <w:strike/>
          <w:color w:val="auto"/>
          <w:szCs w:val="21"/>
          <w:highlight w:val="none"/>
        </w:rPr>
        <w:tab/>
      </w:r>
      <w:r>
        <w:rPr>
          <w:rFonts w:ascii="宋体" w:hAnsi="宋体"/>
          <w:strike/>
          <w:color w:val="auto"/>
          <w:szCs w:val="21"/>
          <w:highlight w:val="none"/>
        </w:rPr>
        <w:tab/>
      </w:r>
      <w:r>
        <w:rPr>
          <w:rFonts w:ascii="宋体" w:hAnsi="宋体"/>
          <w:strike/>
          <w:color w:val="auto"/>
          <w:szCs w:val="21"/>
          <w:highlight w:val="none"/>
        </w:rPr>
        <w:tab/>
      </w:r>
      <w:r>
        <w:rPr>
          <w:rFonts w:ascii="宋体" w:hAnsi="宋体"/>
          <w:strike/>
          <w:color w:val="auto"/>
          <w:szCs w:val="21"/>
          <w:highlight w:val="none"/>
        </w:rPr>
        <w:tab/>
      </w:r>
    </w:p>
    <w:p w14:paraId="5DB1CF88">
      <w:pPr>
        <w:spacing w:line="400" w:lineRule="exact"/>
        <w:ind w:firstLine="3599" w:firstLineChars="1714"/>
        <w:rPr>
          <w:rFonts w:ascii="宋体" w:hAnsi="宋体"/>
          <w:strike/>
          <w:color w:val="auto"/>
          <w:szCs w:val="21"/>
          <w:highlight w:val="none"/>
        </w:rPr>
      </w:pPr>
      <w:r>
        <w:rPr>
          <w:rFonts w:ascii="宋体" w:hAnsi="宋体"/>
          <w:strike/>
          <w:color w:val="auto"/>
          <w:szCs w:val="21"/>
          <w:highlight w:val="none"/>
        </w:rPr>
        <w:t xml:space="preserve">电    话：                          </w:t>
      </w:r>
      <w:r>
        <w:rPr>
          <w:rFonts w:hint="eastAsia" w:ascii="宋体" w:hAnsi="宋体"/>
          <w:strike/>
          <w:color w:val="auto"/>
          <w:szCs w:val="21"/>
          <w:highlight w:val="none"/>
        </w:rPr>
        <w:t xml:space="preserve">  </w:t>
      </w:r>
    </w:p>
    <w:p w14:paraId="1DBB7F62">
      <w:pPr>
        <w:spacing w:line="400" w:lineRule="exact"/>
        <w:ind w:firstLine="3599" w:firstLineChars="1714"/>
        <w:rPr>
          <w:rFonts w:ascii="宋体" w:hAnsi="宋体"/>
          <w:strike/>
          <w:color w:val="auto"/>
          <w:szCs w:val="21"/>
          <w:highlight w:val="none"/>
        </w:rPr>
      </w:pPr>
      <w:r>
        <w:rPr>
          <w:rFonts w:hint="eastAsia" w:ascii="宋体" w:hAnsi="宋体"/>
          <w:strike/>
          <w:color w:val="auto"/>
          <w:szCs w:val="21"/>
          <w:highlight w:val="none"/>
        </w:rPr>
        <w:t xml:space="preserve">传    真：                             </w:t>
      </w:r>
    </w:p>
    <w:p w14:paraId="7C5403E2">
      <w:pPr>
        <w:spacing w:line="400" w:lineRule="exact"/>
        <w:ind w:firstLine="4326" w:firstLineChars="2060"/>
        <w:rPr>
          <w:rFonts w:ascii="宋体" w:hAnsi="宋体"/>
          <w:strike/>
          <w:color w:val="auto"/>
          <w:szCs w:val="21"/>
          <w:highlight w:val="none"/>
        </w:rPr>
      </w:pPr>
      <w:r>
        <w:rPr>
          <w:rFonts w:ascii="宋体" w:hAnsi="宋体"/>
          <w:strike/>
          <w:color w:val="auto"/>
          <w:szCs w:val="21"/>
          <w:highlight w:val="none"/>
        </w:rPr>
        <w:t xml:space="preserve">        年      月      日</w:t>
      </w:r>
    </w:p>
    <w:bookmarkEnd w:id="789"/>
    <w:p w14:paraId="609E128D">
      <w:pPr>
        <w:pStyle w:val="2"/>
        <w:jc w:val="center"/>
        <w:rPr>
          <w:color w:val="auto"/>
          <w:sz w:val="24"/>
          <w:highlight w:val="none"/>
        </w:rPr>
      </w:pPr>
      <w:r>
        <w:rPr>
          <w:rFonts w:ascii="宋体" w:hAnsi="宋体"/>
          <w:color w:val="auto"/>
          <w:sz w:val="20"/>
          <w:szCs w:val="20"/>
          <w:highlight w:val="none"/>
        </w:rPr>
        <w:br w:type="page"/>
      </w:r>
      <w:bookmarkStart w:id="1012" w:name="_Toc21787751"/>
      <w:bookmarkStart w:id="1013" w:name="_Toc25842"/>
      <w:bookmarkStart w:id="1014" w:name="_Toc180758578"/>
      <w:r>
        <w:rPr>
          <w:rFonts w:hint="eastAsia"/>
          <w:color w:val="auto"/>
          <w:highlight w:val="none"/>
        </w:rPr>
        <w:t>第五章 工程量清单（综合单价承包）</w:t>
      </w:r>
      <w:bookmarkEnd w:id="1012"/>
      <w:bookmarkEnd w:id="1013"/>
      <w:bookmarkEnd w:id="1014"/>
    </w:p>
    <w:p w14:paraId="16110923">
      <w:pPr>
        <w:pStyle w:val="3"/>
        <w:numPr>
          <w:ilvl w:val="0"/>
          <w:numId w:val="28"/>
        </w:numPr>
        <w:rPr>
          <w:color w:val="auto"/>
          <w:highlight w:val="none"/>
        </w:rPr>
      </w:pPr>
      <w:bookmarkStart w:id="1015" w:name="_Toc21787752"/>
      <w:bookmarkStart w:id="1016" w:name="_Toc180758579"/>
      <w:bookmarkStart w:id="1017" w:name="_Toc803"/>
      <w:r>
        <w:rPr>
          <w:rFonts w:hint="eastAsia"/>
          <w:color w:val="auto"/>
          <w:highlight w:val="none"/>
        </w:rPr>
        <w:t>工程量清单说明</w:t>
      </w:r>
      <w:bookmarkEnd w:id="1015"/>
      <w:bookmarkEnd w:id="1016"/>
      <w:bookmarkEnd w:id="1017"/>
    </w:p>
    <w:p w14:paraId="18D4721C">
      <w:pPr>
        <w:spacing w:line="360" w:lineRule="auto"/>
        <w:jc w:val="left"/>
        <w:rPr>
          <w:color w:val="auto"/>
          <w:sz w:val="24"/>
          <w:highlight w:val="none"/>
        </w:rPr>
      </w:pPr>
      <w:r>
        <w:rPr>
          <w:rFonts w:hint="eastAsia"/>
          <w:color w:val="auto"/>
          <w:sz w:val="24"/>
          <w:highlight w:val="none"/>
        </w:rPr>
        <w:t>1.1 本工程量清单是根据招标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4AA2E21D">
      <w:pPr>
        <w:spacing w:line="360" w:lineRule="auto"/>
        <w:jc w:val="left"/>
        <w:rPr>
          <w:color w:val="auto"/>
          <w:sz w:val="24"/>
          <w:highlight w:val="none"/>
        </w:rPr>
      </w:pPr>
      <w:r>
        <w:rPr>
          <w:rFonts w:hint="eastAsia"/>
          <w:color w:val="auto"/>
          <w:sz w:val="24"/>
          <w:highlight w:val="none"/>
        </w:rPr>
        <w:t>1.2 本工程量清单应与招标文件中的投标人须知、通用合同条款、专用合同条款、技术标准和要求及图纸等一起阅读和理解。</w:t>
      </w:r>
    </w:p>
    <w:p w14:paraId="188486A0">
      <w:pPr>
        <w:spacing w:line="360" w:lineRule="auto"/>
        <w:jc w:val="left"/>
        <w:rPr>
          <w:color w:val="auto"/>
          <w:sz w:val="24"/>
          <w:highlight w:val="none"/>
        </w:rPr>
      </w:pPr>
      <w:r>
        <w:rPr>
          <w:rFonts w:hint="eastAsia"/>
          <w:color w:val="auto"/>
          <w:sz w:val="24"/>
          <w:highlight w:val="none"/>
        </w:rPr>
        <w:t>1.3 本工程量清单仅是投标报价的共同基础，实际工程计量和工程价款的支付应遵循合同条款的约定和第七章“技术标准和要求”的有关规定。</w:t>
      </w:r>
    </w:p>
    <w:p w14:paraId="465BDE7C">
      <w:pPr>
        <w:spacing w:line="360" w:lineRule="auto"/>
        <w:jc w:val="left"/>
        <w:rPr>
          <w:color w:val="auto"/>
          <w:sz w:val="24"/>
          <w:highlight w:val="none"/>
        </w:rPr>
      </w:pPr>
      <w:r>
        <w:rPr>
          <w:rFonts w:hint="eastAsia"/>
          <w:color w:val="auto"/>
          <w:sz w:val="24"/>
          <w:highlight w:val="none"/>
        </w:rPr>
        <w:t>1.4 补充子目工程量计算规则及子目工作内容说明：/。</w:t>
      </w:r>
    </w:p>
    <w:p w14:paraId="796C4BB6">
      <w:pPr>
        <w:pStyle w:val="3"/>
        <w:rPr>
          <w:color w:val="auto"/>
          <w:highlight w:val="none"/>
        </w:rPr>
      </w:pPr>
      <w:bookmarkStart w:id="1018" w:name="_Toc13730"/>
      <w:bookmarkStart w:id="1019" w:name="_Toc180758580"/>
      <w:bookmarkStart w:id="1020" w:name="_Toc21787753"/>
      <w:r>
        <w:rPr>
          <w:rFonts w:hint="eastAsia"/>
          <w:color w:val="auto"/>
          <w:highlight w:val="none"/>
        </w:rPr>
        <w:t>投标报价说明</w:t>
      </w:r>
      <w:bookmarkEnd w:id="1018"/>
      <w:bookmarkEnd w:id="1019"/>
      <w:bookmarkEnd w:id="1020"/>
    </w:p>
    <w:p w14:paraId="59410ECB">
      <w:pPr>
        <w:spacing w:line="360" w:lineRule="auto"/>
        <w:jc w:val="left"/>
        <w:rPr>
          <w:color w:val="auto"/>
          <w:sz w:val="24"/>
          <w:highlight w:val="none"/>
        </w:rPr>
      </w:pPr>
      <w:r>
        <w:rPr>
          <w:rFonts w:hint="eastAsia"/>
          <w:color w:val="auto"/>
          <w:sz w:val="24"/>
          <w:highlight w:val="none"/>
        </w:rPr>
        <w:t>2.1 工程量清单中的每一子目须填入单价或价格，且只允许有一个报价。</w:t>
      </w:r>
    </w:p>
    <w:p w14:paraId="7582070F">
      <w:pPr>
        <w:spacing w:line="360" w:lineRule="auto"/>
        <w:jc w:val="left"/>
        <w:rPr>
          <w:color w:val="auto"/>
          <w:sz w:val="24"/>
          <w:highlight w:val="none"/>
        </w:rPr>
      </w:pPr>
      <w:r>
        <w:rPr>
          <w:rFonts w:hint="eastAsia"/>
          <w:color w:val="auto"/>
          <w:sz w:val="24"/>
          <w:highlight w:val="none"/>
        </w:rPr>
        <w:t>2.2 工程量清单中标价的单价或金额，应包括所需的人工费、材料和施工机具使用费和企业管理费、利润以及一定范围内的风险费用等。</w:t>
      </w:r>
    </w:p>
    <w:p w14:paraId="138F49A7">
      <w:pPr>
        <w:spacing w:line="360" w:lineRule="auto"/>
        <w:jc w:val="left"/>
        <w:rPr>
          <w:color w:val="auto"/>
          <w:sz w:val="24"/>
          <w:highlight w:val="none"/>
        </w:rPr>
      </w:pPr>
      <w:r>
        <w:rPr>
          <w:rFonts w:hint="eastAsia"/>
          <w:color w:val="auto"/>
          <w:sz w:val="24"/>
          <w:highlight w:val="none"/>
        </w:rPr>
        <w:t>2.3 工程量清单中投标人没有填入单价或价格的子目，其费用视为已分摊在工程量清单中其他相关子目的单价或价格之中。</w:t>
      </w:r>
    </w:p>
    <w:p w14:paraId="4F9245A9">
      <w:pPr>
        <w:spacing w:line="360" w:lineRule="auto"/>
        <w:jc w:val="left"/>
        <w:rPr>
          <w:color w:val="auto"/>
          <w:sz w:val="24"/>
          <w:highlight w:val="none"/>
        </w:rPr>
      </w:pPr>
      <w:r>
        <w:rPr>
          <w:rFonts w:hint="eastAsia"/>
          <w:color w:val="auto"/>
          <w:sz w:val="24"/>
          <w:highlight w:val="none"/>
        </w:rPr>
        <w:t>2.4 暂列金额的数量及拟用子目的说明：本项目不设暂列金额。</w:t>
      </w:r>
    </w:p>
    <w:p w14:paraId="6774399C">
      <w:pPr>
        <w:pStyle w:val="3"/>
        <w:rPr>
          <w:color w:val="auto"/>
          <w:highlight w:val="none"/>
        </w:rPr>
      </w:pPr>
      <w:bookmarkStart w:id="1021" w:name="_Toc180758581"/>
      <w:bookmarkStart w:id="1022" w:name="_Toc18784"/>
      <w:bookmarkStart w:id="1023" w:name="_Toc21787754"/>
      <w:r>
        <w:rPr>
          <w:rFonts w:hint="eastAsia"/>
          <w:color w:val="auto"/>
          <w:highlight w:val="none"/>
        </w:rPr>
        <w:t>其他说明</w:t>
      </w:r>
      <w:bookmarkEnd w:id="1021"/>
      <w:bookmarkEnd w:id="1022"/>
      <w:bookmarkEnd w:id="1023"/>
    </w:p>
    <w:p w14:paraId="3E08504E">
      <w:pPr>
        <w:spacing w:line="360" w:lineRule="auto"/>
        <w:jc w:val="left"/>
        <w:rPr>
          <w:rFonts w:ascii="宋体" w:hAnsi="宋体"/>
          <w:color w:val="auto"/>
          <w:sz w:val="24"/>
          <w:highlight w:val="none"/>
        </w:rPr>
      </w:pPr>
      <w:r>
        <w:rPr>
          <w:rFonts w:hint="eastAsia" w:ascii="宋体" w:hAnsi="宋体"/>
          <w:color w:val="auto"/>
          <w:sz w:val="24"/>
          <w:highlight w:val="none"/>
        </w:rPr>
        <w:t>详见《工程量清单》及《施工合同》。</w:t>
      </w:r>
    </w:p>
    <w:p w14:paraId="7E4D54A3">
      <w:pPr>
        <w:pStyle w:val="3"/>
        <w:rPr>
          <w:rFonts w:hint="eastAsia"/>
          <w:color w:val="auto"/>
          <w:highlight w:val="none"/>
        </w:rPr>
      </w:pPr>
      <w:bookmarkStart w:id="1024" w:name="_Toc21799"/>
      <w:bookmarkStart w:id="1025" w:name="_Toc21787755"/>
      <w:bookmarkStart w:id="1026" w:name="_Toc180758582"/>
      <w:r>
        <w:rPr>
          <w:rFonts w:hint="eastAsia"/>
          <w:color w:val="auto"/>
          <w:highlight w:val="none"/>
        </w:rPr>
        <w:t>工程量清单</w:t>
      </w:r>
      <w:bookmarkEnd w:id="1024"/>
      <w:bookmarkEnd w:id="1025"/>
      <w:r>
        <w:rPr>
          <w:rFonts w:hint="eastAsia"/>
          <w:color w:val="auto"/>
          <w:highlight w:val="none"/>
        </w:rPr>
        <w:t>（另册）</w:t>
      </w:r>
      <w:bookmarkEnd w:id="1026"/>
    </w:p>
    <w:p w14:paraId="118843F8">
      <w:pPr>
        <w:spacing w:line="360" w:lineRule="auto"/>
        <w:jc w:val="left"/>
        <w:rPr>
          <w:color w:val="auto"/>
          <w:sz w:val="24"/>
          <w:highlight w:val="none"/>
        </w:rPr>
      </w:pPr>
      <w:r>
        <w:rPr>
          <w:rFonts w:hint="eastAsia" w:ascii="宋体" w:hAnsi="宋体"/>
          <w:color w:val="auto"/>
          <w:sz w:val="24"/>
          <w:highlight w:val="none"/>
        </w:rPr>
        <w:t>详见《工程量清单》</w:t>
      </w:r>
    </w:p>
    <w:p w14:paraId="18988EE7">
      <w:pPr>
        <w:pStyle w:val="2"/>
        <w:jc w:val="center"/>
        <w:rPr>
          <w:color w:val="auto"/>
          <w:sz w:val="24"/>
          <w:highlight w:val="none"/>
        </w:rPr>
      </w:pPr>
      <w:r>
        <w:rPr>
          <w:color w:val="auto"/>
          <w:sz w:val="24"/>
          <w:highlight w:val="none"/>
        </w:rPr>
        <w:br w:type="page"/>
      </w:r>
      <w:bookmarkStart w:id="1027" w:name="_Toc180758583"/>
      <w:bookmarkStart w:id="1028" w:name="_Toc21787756"/>
      <w:r>
        <w:rPr>
          <w:rFonts w:hint="eastAsia"/>
          <w:color w:val="auto"/>
          <w:highlight w:val="none"/>
        </w:rPr>
        <w:t>第六章 图纸及勘察资料</w:t>
      </w:r>
      <w:bookmarkEnd w:id="1027"/>
      <w:bookmarkEnd w:id="1028"/>
    </w:p>
    <w:p w14:paraId="6AF11C60">
      <w:pPr>
        <w:spacing w:line="360" w:lineRule="auto"/>
        <w:jc w:val="left"/>
        <w:rPr>
          <w:color w:val="auto"/>
          <w:sz w:val="24"/>
          <w:highlight w:val="none"/>
        </w:rPr>
      </w:pPr>
      <w:r>
        <w:rPr>
          <w:rFonts w:hint="eastAsia" w:ascii="宋体" w:hAnsi="宋体"/>
          <w:color w:val="auto"/>
          <w:szCs w:val="21"/>
          <w:highlight w:val="none"/>
        </w:rPr>
        <w:t>本章由招标人自行制定，另册。</w:t>
      </w:r>
    </w:p>
    <w:p w14:paraId="1121DC95">
      <w:pPr>
        <w:spacing w:line="360" w:lineRule="auto"/>
        <w:jc w:val="left"/>
        <w:rPr>
          <w:color w:val="auto"/>
          <w:sz w:val="24"/>
          <w:highlight w:val="none"/>
        </w:rPr>
      </w:pPr>
    </w:p>
    <w:p w14:paraId="10BA6ABC">
      <w:pPr>
        <w:pStyle w:val="2"/>
        <w:jc w:val="center"/>
        <w:rPr>
          <w:color w:val="auto"/>
          <w:sz w:val="24"/>
          <w:highlight w:val="none"/>
        </w:rPr>
      </w:pPr>
      <w:r>
        <w:rPr>
          <w:color w:val="auto"/>
          <w:sz w:val="24"/>
          <w:highlight w:val="none"/>
        </w:rPr>
        <w:br w:type="page"/>
      </w:r>
      <w:bookmarkStart w:id="1029" w:name="_Toc180758584"/>
      <w:bookmarkStart w:id="1030" w:name="_Toc21787757"/>
      <w:r>
        <w:rPr>
          <w:rFonts w:hint="eastAsia"/>
          <w:color w:val="auto"/>
          <w:highlight w:val="none"/>
        </w:rPr>
        <w:t>第七章 技术标准和要求</w:t>
      </w:r>
      <w:bookmarkEnd w:id="1029"/>
      <w:bookmarkEnd w:id="1030"/>
    </w:p>
    <w:p w14:paraId="395BD2A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一、按现行的中华人民共和国及有关部委分布的标准、规范、规程。若施工时间建设主管部门分布新的规范、</w:t>
      </w:r>
      <w:r>
        <w:rPr>
          <w:rFonts w:hint="eastAsia" w:ascii="宋体" w:hAnsi="宋体" w:cs="宋体"/>
          <w:color w:val="auto"/>
          <w:sz w:val="24"/>
          <w:szCs w:val="20"/>
          <w:highlight w:val="none"/>
        </w:rPr>
        <w:t>标准</w:t>
      </w:r>
      <w:r>
        <w:rPr>
          <w:rFonts w:hint="eastAsia" w:ascii="宋体" w:hAnsi="宋体" w:cs="宋体"/>
          <w:color w:val="auto"/>
          <w:sz w:val="24"/>
          <w:szCs w:val="24"/>
          <w:highlight w:val="none"/>
        </w:rPr>
        <w:t>等，则按照新的规范、标准执行。</w:t>
      </w:r>
    </w:p>
    <w:p w14:paraId="6C6012DA">
      <w:pPr>
        <w:spacing w:line="360" w:lineRule="auto"/>
        <w:ind w:firstLine="480" w:firstLineChars="200"/>
        <w:rPr>
          <w:rFonts w:ascii="宋体" w:hAnsi="宋体" w:cs="宋体"/>
          <w:color w:val="auto"/>
          <w:sz w:val="24"/>
          <w:highlight w:val="none"/>
        </w:rPr>
      </w:pPr>
    </w:p>
    <w:p w14:paraId="19F2107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水利项目：引用《水利水电工程标准施工招标文件》（技术标准和要求）（合同技术条款）（2009年版）</w:t>
      </w:r>
    </w:p>
    <w:p w14:paraId="66AEFCF2">
      <w:pPr>
        <w:spacing w:line="360" w:lineRule="auto"/>
        <w:ind w:firstLine="588"/>
        <w:rPr>
          <w:rFonts w:ascii="宋体" w:hAnsi="宋体" w:cs="宋体"/>
          <w:color w:val="auto"/>
          <w:kern w:val="0"/>
          <w:sz w:val="24"/>
          <w:szCs w:val="24"/>
          <w:highlight w:val="none"/>
        </w:rPr>
      </w:pPr>
      <w:r>
        <w:rPr>
          <w:rFonts w:hint="eastAsia" w:ascii="宋体" w:hAnsi="宋体" w:cs="宋体"/>
          <w:color w:val="auto"/>
          <w:kern w:val="0"/>
          <w:sz w:val="24"/>
          <w:szCs w:val="24"/>
          <w:highlight w:val="none"/>
        </w:rPr>
        <w:t>依据设计文件的要求，本招标工程项目的材料、设备、施工须达到现行中华人民共和国以及省、自治区、直辖市或行业的工程建设标准、规范的要求，包括但不限于以下标准：</w:t>
      </w:r>
    </w:p>
    <w:p w14:paraId="151385F3">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1.1《堤防工程施工规范》 SL260-98</w:t>
      </w:r>
    </w:p>
    <w:p w14:paraId="5FF704EC">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1.2《水利水电工程施工测量规范》SL52-93</w:t>
      </w:r>
    </w:p>
    <w:p w14:paraId="1CFFD470">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1.3《水利水电工程土工合成材料应用技术规范》SL/T225-98</w:t>
      </w:r>
    </w:p>
    <w:p w14:paraId="7A9AAF38">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1.4《水利水电建设工程验收规程》SD223-1999</w:t>
      </w:r>
    </w:p>
    <w:p w14:paraId="2BB36B78">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1.5《堤防工程施工质量评定与验收规程》SL239-1999</w:t>
      </w:r>
    </w:p>
    <w:p w14:paraId="2F72F47E">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1.6《水利水电工程施工质量评定规程（试行）》SL176-96</w:t>
      </w:r>
    </w:p>
    <w:p w14:paraId="5DADB6D8">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1.7《水利水电基本建设单元工程质量等级评定标准》SDJ249-88</w:t>
      </w:r>
    </w:p>
    <w:p w14:paraId="5A22D4A3">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1.8《土方试验规程》SD128-87</w:t>
      </w:r>
    </w:p>
    <w:p w14:paraId="09F70552">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1.9 工程测量规范(GB50026-2007)</w:t>
      </w:r>
    </w:p>
    <w:p w14:paraId="34C2E468">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1.10 岩土工程勘察规范 (GB50021-2001)（2009年版）</w:t>
      </w:r>
    </w:p>
    <w:p w14:paraId="3F1A5E0A">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1.11建筑地基基础设计规范 (GB50007-2002)</w:t>
      </w:r>
    </w:p>
    <w:p w14:paraId="23042DE9">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1.12建筑结构荷载规范 (GB50009-2001)（2006版）</w:t>
      </w:r>
    </w:p>
    <w:p w14:paraId="0A72599F">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1.13砌体结构设计规范 (GB50003-2001)</w:t>
      </w:r>
    </w:p>
    <w:p w14:paraId="7F244B01">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1.14混凝土结构设计规范 (GB50010-2002)</w:t>
      </w:r>
    </w:p>
    <w:p w14:paraId="22018F64">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1.15建筑地基基础工程施工质量验收规范 (GB50202-2002)</w:t>
      </w:r>
    </w:p>
    <w:p w14:paraId="2BF3A194">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1.16地下防水工程质量验收规范(GB50208-2002)</w:t>
      </w:r>
    </w:p>
    <w:p w14:paraId="48E16A83">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1.17建筑工程施工质量验收统一标准  (GB50300-2001)</w:t>
      </w:r>
    </w:p>
    <w:p w14:paraId="7A06A28E">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1.18 混凝土结构工程施工质量验收规范  (GB50204-2002)</w:t>
      </w:r>
    </w:p>
    <w:p w14:paraId="4C87F7F8">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1.19普通混凝土用碎石或卵石质量标准及检验方法  (JGJ53-92)</w:t>
      </w:r>
    </w:p>
    <w:p w14:paraId="2668F1E2">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1.20 混凝土外加剂应用技术规范  (GB50119-2003)</w:t>
      </w:r>
    </w:p>
    <w:p w14:paraId="7363BCC9">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1.21 砌体工程施工质量验收规范  (GB50203-2002)</w:t>
      </w:r>
    </w:p>
    <w:p w14:paraId="7B64398F">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1.22 钢结构工程施工质量验收规范  (GB50205-2001)</w:t>
      </w:r>
    </w:p>
    <w:p w14:paraId="4501F311">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1.23建筑地面工程施工质量验收规范  (GB50209-2002)</w:t>
      </w:r>
    </w:p>
    <w:p w14:paraId="11E67767">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1.24 屋面工程质量验收规范  (GB50207-2002)</w:t>
      </w:r>
    </w:p>
    <w:p w14:paraId="6F1FBF49">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1.25 建筑装饰装修工程质量验收规范 (GB50210-2001)</w:t>
      </w:r>
    </w:p>
    <w:p w14:paraId="7674CD6D">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1.26 建筑给水排水及采暖工程施工质量验收规范(GB50242-2002)</w:t>
      </w:r>
    </w:p>
    <w:p w14:paraId="241EEF3E">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1.27 建筑电气工程施工质量验收规范 (GB50303-2002)</w:t>
      </w:r>
    </w:p>
    <w:p w14:paraId="3FD7B7BB">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1.28 通风与空调工程施工质量验收规范 (GB50243-2002)</w:t>
      </w:r>
    </w:p>
    <w:p w14:paraId="093E24C1">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1.28 施工现场临时用电安全技术规范  (JGJ46-88)</w:t>
      </w:r>
    </w:p>
    <w:p w14:paraId="25E0A845">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1.30 建筑施工高处作业安全技术规范  (JGJ80-91)</w:t>
      </w:r>
    </w:p>
    <w:p w14:paraId="06355358">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1.31 建筑机械使用安全技术规程  (JGJ33-2001/J119-2001)</w:t>
      </w:r>
    </w:p>
    <w:p w14:paraId="3F0FC5B1">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1.32 混凝土质量控制标准(GB50164-92)</w:t>
      </w:r>
    </w:p>
    <w:p w14:paraId="41386EC2">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1.33 钢筋混凝土用热轧带肋钢筋（GB1499.2-2007）</w:t>
      </w:r>
    </w:p>
    <w:p w14:paraId="7ECFB6C4">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1.34 硅酸盐水泥、普通硅酸盐水泥(GB175-1999)</w:t>
      </w:r>
    </w:p>
    <w:p w14:paraId="732E27EC">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1.35 粉煤灰混凝土应用技术规范(GBJ146-90)</w:t>
      </w:r>
    </w:p>
    <w:p w14:paraId="0FF3B94C">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1.36 混凝土强度检验评定标准(GB/T50107-2010)</w:t>
      </w:r>
    </w:p>
    <w:p w14:paraId="6859D63F">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1.37 钢筋焊接及验收规程(JGJ18-2003/J253-2003)</w:t>
      </w:r>
    </w:p>
    <w:p w14:paraId="1AA39372">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1.38 屋面工程技术规范(GB50345-2004)</w:t>
      </w:r>
    </w:p>
    <w:p w14:paraId="5B662859">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1.39 钢结构工程质量检验评定标准(GB50221-95)</w:t>
      </w:r>
    </w:p>
    <w:p w14:paraId="6B2ED2F8">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1.40 建筑钢结构焊接技术规程(JGJ81-2002)</w:t>
      </w:r>
    </w:p>
    <w:p w14:paraId="05B7C1E1">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1.41 钢结构、管道涂装技术规程(YB/T9256-96)</w:t>
      </w:r>
    </w:p>
    <w:p w14:paraId="21504082">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1.42 网架结构工程质量检验评定标准(JGJ78-91)</w:t>
      </w:r>
    </w:p>
    <w:p w14:paraId="2153FAC7">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1.43《城市绿化工程施工及验收规范》（CJJ/T82-99）</w:t>
      </w:r>
    </w:p>
    <w:p w14:paraId="5FEBF808">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1.44《建筑装饰装修工程质量验收规范》GB50210-2001</w:t>
      </w:r>
    </w:p>
    <w:p w14:paraId="4F19A41C">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1.45《建设工程质量管理条例》（中华人民共和国国务院令第279号）</w:t>
      </w:r>
    </w:p>
    <w:p w14:paraId="0BDBD19C">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1.46《建筑电气工程施工质量验收规范》（GB50303－2002）</w:t>
      </w:r>
    </w:p>
    <w:p w14:paraId="04506052">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1.47《建筑给水排水及采暖工程施工质量验收规范》（GB50242－2002）</w:t>
      </w:r>
    </w:p>
    <w:p w14:paraId="072B1E9E">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1.48《给水排水管道工程施工及验收规范》（GB50268-97）</w:t>
      </w:r>
    </w:p>
    <w:p w14:paraId="33E0A6F0">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1.49《公园设计规范》CJJ48—92</w:t>
      </w:r>
    </w:p>
    <w:p w14:paraId="3C7565B6">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1.50《城市绿地设计规范》GB50420-2007</w:t>
      </w:r>
    </w:p>
    <w:p w14:paraId="07B50A05">
      <w:pPr>
        <w:spacing w:line="360" w:lineRule="auto"/>
        <w:ind w:firstLine="360" w:firstLineChars="15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1.51《城市绿化工程施工及验收规范》CJJ/T82-99</w:t>
      </w:r>
    </w:p>
    <w:p w14:paraId="319AB704">
      <w:pPr>
        <w:spacing w:line="360" w:lineRule="auto"/>
        <w:ind w:firstLine="360" w:firstLineChars="150"/>
        <w:rPr>
          <w:rFonts w:ascii="宋体" w:hAnsi="宋体"/>
          <w:color w:val="auto"/>
          <w:sz w:val="24"/>
          <w:highlight w:val="none"/>
        </w:rPr>
      </w:pPr>
      <w:r>
        <w:rPr>
          <w:rFonts w:hint="eastAsia" w:ascii="宋体" w:hAnsi="宋体" w:cs="宋体"/>
          <w:color w:val="auto"/>
          <w:kern w:val="0"/>
          <w:sz w:val="24"/>
          <w:szCs w:val="24"/>
          <w:highlight w:val="none"/>
        </w:rPr>
        <w:t>注：若施工时期建设主管部门颁布新的规范、标准，则按照新的规范、标准执行。</w:t>
      </w:r>
    </w:p>
    <w:p w14:paraId="57A5DA87">
      <w:pPr>
        <w:spacing w:line="360" w:lineRule="auto"/>
        <w:jc w:val="left"/>
        <w:rPr>
          <w:rFonts w:hint="eastAsia" w:ascii="宋体" w:hAnsi="宋体"/>
          <w:color w:val="auto"/>
          <w:sz w:val="24"/>
          <w:highlight w:val="none"/>
        </w:rPr>
      </w:pPr>
    </w:p>
    <w:p w14:paraId="4D5A021D">
      <w:pPr>
        <w:tabs>
          <w:tab w:val="center" w:pos="4153"/>
          <w:tab w:val="right" w:pos="8306"/>
        </w:tabs>
        <w:snapToGrid w:val="0"/>
        <w:jc w:val="left"/>
        <w:rPr>
          <w:rFonts w:hint="eastAsia" w:ascii="Times New Roman" w:hAnsi="Times New Roman"/>
          <w:color w:val="auto"/>
          <w:kern w:val="0"/>
          <w:sz w:val="18"/>
          <w:szCs w:val="18"/>
          <w:highlight w:val="none"/>
        </w:rPr>
      </w:pPr>
    </w:p>
    <w:p w14:paraId="3B2398E1">
      <w:pPr>
        <w:spacing w:line="360" w:lineRule="auto"/>
        <w:jc w:val="left"/>
        <w:rPr>
          <w:rFonts w:ascii="宋体" w:hAnsi="宋体"/>
          <w:color w:val="auto"/>
          <w:sz w:val="24"/>
          <w:highlight w:val="none"/>
        </w:rPr>
      </w:pPr>
    </w:p>
    <w:p w14:paraId="669B7992">
      <w:pPr>
        <w:pStyle w:val="2"/>
        <w:jc w:val="center"/>
        <w:rPr>
          <w:color w:val="auto"/>
          <w:sz w:val="24"/>
          <w:highlight w:val="none"/>
        </w:rPr>
      </w:pPr>
      <w:r>
        <w:rPr>
          <w:color w:val="auto"/>
          <w:sz w:val="24"/>
          <w:highlight w:val="none"/>
        </w:rPr>
        <w:br w:type="page"/>
      </w:r>
      <w:bookmarkStart w:id="1031" w:name="_Toc21787758"/>
      <w:bookmarkStart w:id="1032" w:name="_Toc180758595"/>
      <w:r>
        <w:rPr>
          <w:rFonts w:hint="eastAsia"/>
          <w:color w:val="auto"/>
          <w:highlight w:val="none"/>
        </w:rPr>
        <w:t>第八章 投标文件格式</w:t>
      </w:r>
      <w:bookmarkEnd w:id="1031"/>
      <w:bookmarkEnd w:id="1032"/>
    </w:p>
    <w:p w14:paraId="73D5D878">
      <w:pPr>
        <w:spacing w:line="360" w:lineRule="auto"/>
        <w:jc w:val="left"/>
        <w:rPr>
          <w:color w:val="auto"/>
          <w:sz w:val="24"/>
          <w:highlight w:val="none"/>
        </w:rPr>
      </w:pPr>
      <w:r>
        <w:rPr>
          <w:rFonts w:hint="eastAsia" w:ascii="宋体" w:hAnsi="宋体"/>
          <w:color w:val="auto"/>
          <w:sz w:val="24"/>
          <w:highlight w:val="none"/>
        </w:rPr>
        <w:t>注：本章《投标函》及《投标函附录》的格式，招标人应不加修改的应用。其他为参考格式，招标人可根据项目情况依法修改。</w:t>
      </w:r>
    </w:p>
    <w:p w14:paraId="36525449">
      <w:pPr>
        <w:spacing w:line="360" w:lineRule="auto"/>
        <w:jc w:val="left"/>
        <w:rPr>
          <w:color w:val="auto"/>
          <w:sz w:val="24"/>
          <w:highlight w:val="none"/>
        </w:rPr>
      </w:pPr>
    </w:p>
    <w:p w14:paraId="0F09A2F8">
      <w:pPr>
        <w:spacing w:line="360" w:lineRule="auto"/>
        <w:jc w:val="left"/>
        <w:rPr>
          <w:color w:val="auto"/>
          <w:sz w:val="24"/>
          <w:highlight w:val="none"/>
        </w:rPr>
      </w:pPr>
      <w:r>
        <w:rPr>
          <w:color w:val="auto"/>
          <w:sz w:val="24"/>
          <w:highlight w:val="none"/>
        </w:rPr>
        <w:br w:type="page"/>
      </w:r>
    </w:p>
    <w:p w14:paraId="2F88BB5C">
      <w:pPr>
        <w:spacing w:line="400" w:lineRule="exact"/>
        <w:rPr>
          <w:color w:val="auto"/>
          <w:sz w:val="35"/>
          <w:szCs w:val="35"/>
          <w:highlight w:val="none"/>
        </w:rPr>
      </w:pPr>
    </w:p>
    <w:p w14:paraId="747A4247">
      <w:pPr>
        <w:spacing w:line="400" w:lineRule="exact"/>
        <w:rPr>
          <w:rFonts w:eastAsia="黑体"/>
          <w:color w:val="auto"/>
          <w:sz w:val="19"/>
          <w:szCs w:val="19"/>
          <w:highlight w:val="none"/>
        </w:rPr>
      </w:pPr>
    </w:p>
    <w:p w14:paraId="016B9CF4">
      <w:pPr>
        <w:spacing w:line="400" w:lineRule="exact"/>
        <w:rPr>
          <w:rFonts w:eastAsia="黑体"/>
          <w:color w:val="auto"/>
          <w:sz w:val="19"/>
          <w:szCs w:val="19"/>
          <w:highlight w:val="none"/>
        </w:rPr>
      </w:pPr>
    </w:p>
    <w:p w14:paraId="7AFB62A0">
      <w:pPr>
        <w:spacing w:line="360" w:lineRule="auto"/>
        <w:jc w:val="center"/>
        <w:rPr>
          <w:rFonts w:hint="eastAsia" w:ascii="宋体" w:hAnsi="宋体" w:cs="宋体"/>
          <w:color w:val="auto"/>
          <w:sz w:val="36"/>
          <w:szCs w:val="36"/>
          <w:highlight w:val="none"/>
          <w:u w:val="single"/>
        </w:rPr>
      </w:pPr>
      <w:r>
        <w:rPr>
          <w:rFonts w:hint="eastAsia" w:ascii="宋体" w:hAnsi="宋体" w:cs="宋体"/>
          <w:color w:val="auto"/>
          <w:sz w:val="36"/>
          <w:szCs w:val="36"/>
          <w:highlight w:val="none"/>
          <w:u w:val="single"/>
        </w:rPr>
        <w:t>（项目名称）            （标段名称）</w:t>
      </w:r>
    </w:p>
    <w:p w14:paraId="171B5799">
      <w:pPr>
        <w:spacing w:line="400" w:lineRule="exact"/>
        <w:rPr>
          <w:rFonts w:hint="eastAsia" w:ascii="宋体" w:hAnsi="宋体" w:cs="宋体"/>
          <w:color w:val="auto"/>
          <w:sz w:val="19"/>
          <w:szCs w:val="19"/>
          <w:highlight w:val="none"/>
        </w:rPr>
      </w:pPr>
    </w:p>
    <w:p w14:paraId="240C2383">
      <w:pPr>
        <w:spacing w:line="400" w:lineRule="exact"/>
        <w:rPr>
          <w:rFonts w:hint="eastAsia" w:ascii="宋体" w:hAnsi="宋体" w:cs="宋体"/>
          <w:color w:val="auto"/>
          <w:sz w:val="19"/>
          <w:szCs w:val="19"/>
          <w:highlight w:val="none"/>
        </w:rPr>
      </w:pPr>
    </w:p>
    <w:p w14:paraId="04F2AF25">
      <w:pPr>
        <w:spacing w:line="400" w:lineRule="exact"/>
        <w:rPr>
          <w:rFonts w:hint="eastAsia" w:ascii="宋体" w:hAnsi="宋体" w:cs="宋体"/>
          <w:color w:val="auto"/>
          <w:sz w:val="19"/>
          <w:szCs w:val="19"/>
          <w:highlight w:val="none"/>
        </w:rPr>
      </w:pPr>
    </w:p>
    <w:p w14:paraId="2F6C1DFB">
      <w:pPr>
        <w:spacing w:line="400" w:lineRule="exact"/>
        <w:rPr>
          <w:rFonts w:hint="eastAsia" w:ascii="宋体" w:hAnsi="宋体" w:cs="宋体"/>
          <w:color w:val="auto"/>
          <w:sz w:val="19"/>
          <w:szCs w:val="19"/>
          <w:highlight w:val="none"/>
        </w:rPr>
      </w:pPr>
    </w:p>
    <w:p w14:paraId="3D4CB70C">
      <w:pPr>
        <w:spacing w:line="360" w:lineRule="auto"/>
        <w:jc w:val="center"/>
        <w:rPr>
          <w:rFonts w:hint="eastAsia" w:ascii="宋体" w:hAnsi="宋体" w:cs="宋体"/>
          <w:color w:val="auto"/>
          <w:sz w:val="84"/>
          <w:szCs w:val="84"/>
          <w:highlight w:val="none"/>
        </w:rPr>
      </w:pPr>
      <w:r>
        <w:rPr>
          <w:rFonts w:hint="eastAsia" w:ascii="宋体" w:hAnsi="宋体" w:cs="宋体"/>
          <w:color w:val="auto"/>
          <w:sz w:val="84"/>
          <w:szCs w:val="84"/>
          <w:highlight w:val="none"/>
        </w:rPr>
        <w:t>投标文件</w:t>
      </w:r>
    </w:p>
    <w:p w14:paraId="5ECE0139">
      <w:pPr>
        <w:spacing w:line="400" w:lineRule="exact"/>
        <w:rPr>
          <w:rFonts w:hint="eastAsia" w:ascii="宋体" w:hAnsi="宋体" w:cs="宋体"/>
          <w:color w:val="auto"/>
          <w:sz w:val="27"/>
          <w:szCs w:val="27"/>
          <w:highlight w:val="none"/>
        </w:rPr>
      </w:pPr>
    </w:p>
    <w:p w14:paraId="39BD08C5">
      <w:pPr>
        <w:spacing w:line="400" w:lineRule="exact"/>
        <w:rPr>
          <w:rFonts w:hint="eastAsia" w:ascii="宋体" w:hAnsi="宋体" w:cs="宋体"/>
          <w:color w:val="auto"/>
          <w:sz w:val="27"/>
          <w:szCs w:val="27"/>
          <w:highlight w:val="none"/>
        </w:rPr>
      </w:pPr>
    </w:p>
    <w:p w14:paraId="32907C5F">
      <w:pPr>
        <w:spacing w:line="400" w:lineRule="exact"/>
        <w:rPr>
          <w:rFonts w:hint="eastAsia" w:ascii="宋体" w:hAnsi="宋体" w:cs="宋体"/>
          <w:color w:val="auto"/>
          <w:sz w:val="27"/>
          <w:szCs w:val="27"/>
          <w:highlight w:val="none"/>
        </w:rPr>
      </w:pPr>
    </w:p>
    <w:p w14:paraId="31DD3D73">
      <w:pPr>
        <w:spacing w:line="400" w:lineRule="exact"/>
        <w:rPr>
          <w:rFonts w:hint="eastAsia" w:ascii="宋体" w:hAnsi="宋体" w:cs="宋体"/>
          <w:color w:val="auto"/>
          <w:sz w:val="27"/>
          <w:szCs w:val="27"/>
          <w:highlight w:val="none"/>
        </w:rPr>
      </w:pPr>
    </w:p>
    <w:p w14:paraId="123D2D47">
      <w:pPr>
        <w:spacing w:line="400" w:lineRule="exact"/>
        <w:rPr>
          <w:rFonts w:hint="eastAsia" w:ascii="宋体" w:hAnsi="宋体" w:cs="宋体"/>
          <w:color w:val="auto"/>
          <w:sz w:val="27"/>
          <w:szCs w:val="27"/>
          <w:highlight w:val="none"/>
        </w:rPr>
      </w:pPr>
    </w:p>
    <w:p w14:paraId="62B8FD54">
      <w:pPr>
        <w:spacing w:line="400" w:lineRule="exact"/>
        <w:rPr>
          <w:rFonts w:hint="eastAsia" w:ascii="宋体" w:hAnsi="宋体" w:cs="宋体"/>
          <w:color w:val="auto"/>
          <w:sz w:val="27"/>
          <w:szCs w:val="27"/>
          <w:highlight w:val="none"/>
        </w:rPr>
      </w:pPr>
    </w:p>
    <w:p w14:paraId="036A090F">
      <w:pPr>
        <w:spacing w:line="400" w:lineRule="exact"/>
        <w:rPr>
          <w:rFonts w:hint="eastAsia" w:ascii="宋体" w:hAnsi="宋体" w:cs="宋体"/>
          <w:color w:val="auto"/>
          <w:sz w:val="27"/>
          <w:szCs w:val="27"/>
          <w:highlight w:val="none"/>
        </w:rPr>
      </w:pPr>
    </w:p>
    <w:p w14:paraId="3BDA9694">
      <w:pPr>
        <w:spacing w:line="400" w:lineRule="exact"/>
        <w:rPr>
          <w:rFonts w:hint="eastAsia" w:ascii="宋体" w:hAnsi="宋体" w:cs="宋体"/>
          <w:color w:val="auto"/>
          <w:sz w:val="27"/>
          <w:szCs w:val="27"/>
          <w:highlight w:val="none"/>
        </w:rPr>
      </w:pPr>
    </w:p>
    <w:p w14:paraId="57268469">
      <w:pPr>
        <w:spacing w:line="400" w:lineRule="exact"/>
        <w:rPr>
          <w:rFonts w:hint="eastAsia" w:ascii="宋体" w:hAnsi="宋体" w:cs="宋体"/>
          <w:color w:val="auto"/>
          <w:sz w:val="27"/>
          <w:szCs w:val="27"/>
          <w:highlight w:val="none"/>
        </w:rPr>
      </w:pPr>
    </w:p>
    <w:p w14:paraId="56DDFA05">
      <w:pPr>
        <w:spacing w:line="400" w:lineRule="exact"/>
        <w:rPr>
          <w:rFonts w:hint="eastAsia" w:ascii="宋体" w:hAnsi="宋体" w:cs="宋体"/>
          <w:color w:val="auto"/>
          <w:sz w:val="27"/>
          <w:szCs w:val="27"/>
          <w:highlight w:val="none"/>
        </w:rPr>
      </w:pPr>
    </w:p>
    <w:p w14:paraId="2136DD41">
      <w:pPr>
        <w:spacing w:line="400" w:lineRule="exact"/>
        <w:rPr>
          <w:rFonts w:hint="eastAsia" w:ascii="宋体" w:hAnsi="宋体" w:cs="宋体"/>
          <w:color w:val="auto"/>
          <w:sz w:val="27"/>
          <w:szCs w:val="27"/>
          <w:highlight w:val="none"/>
        </w:rPr>
      </w:pPr>
    </w:p>
    <w:p w14:paraId="411C687C">
      <w:pPr>
        <w:spacing w:line="400" w:lineRule="exact"/>
        <w:rPr>
          <w:rFonts w:hint="eastAsia" w:ascii="宋体" w:hAnsi="宋体" w:cs="宋体"/>
          <w:color w:val="auto"/>
          <w:sz w:val="27"/>
          <w:szCs w:val="27"/>
          <w:highlight w:val="none"/>
        </w:rPr>
      </w:pPr>
    </w:p>
    <w:p w14:paraId="2C41B7FB">
      <w:pPr>
        <w:spacing w:line="400" w:lineRule="exact"/>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投标人：（盖单位章）</w:t>
      </w:r>
    </w:p>
    <w:p w14:paraId="574AA89F">
      <w:pPr>
        <w:spacing w:line="400" w:lineRule="exact"/>
        <w:jc w:val="center"/>
        <w:rPr>
          <w:rFonts w:hint="eastAsia" w:ascii="宋体" w:hAnsi="宋体" w:cs="宋体"/>
          <w:color w:val="auto"/>
          <w:sz w:val="32"/>
          <w:szCs w:val="32"/>
          <w:highlight w:val="none"/>
          <w:u w:val="single"/>
        </w:rPr>
      </w:pPr>
    </w:p>
    <w:p w14:paraId="790BEF19">
      <w:pPr>
        <w:spacing w:line="360" w:lineRule="auto"/>
        <w:jc w:val="center"/>
        <w:rPr>
          <w:rFonts w:hint="eastAsia" w:ascii="宋体" w:hAnsi="宋体" w:cs="宋体"/>
          <w:color w:val="auto"/>
          <w:sz w:val="32"/>
          <w:szCs w:val="32"/>
          <w:highlight w:val="none"/>
        </w:rPr>
      </w:pPr>
      <w:bookmarkStart w:id="1033" w:name="_Toc359263272"/>
      <w:r>
        <w:rPr>
          <w:rFonts w:hint="eastAsia" w:ascii="宋体" w:hAnsi="宋体" w:cs="宋体"/>
          <w:color w:val="auto"/>
          <w:sz w:val="32"/>
          <w:szCs w:val="32"/>
          <w:highlight w:val="none"/>
        </w:rPr>
        <w:t>年</w:t>
      </w:r>
      <w:bookmarkEnd w:id="1033"/>
      <w:r>
        <w:rPr>
          <w:rFonts w:hint="eastAsia" w:ascii="宋体" w:hAnsi="宋体" w:cs="宋体"/>
          <w:color w:val="auto"/>
          <w:sz w:val="32"/>
          <w:szCs w:val="32"/>
          <w:highlight w:val="none"/>
        </w:rPr>
        <w:t xml:space="preserve">  月  日</w:t>
      </w:r>
    </w:p>
    <w:p w14:paraId="548B0CAD">
      <w:pPr>
        <w:spacing w:line="360" w:lineRule="auto"/>
        <w:jc w:val="center"/>
        <w:rPr>
          <w:rFonts w:eastAsia="黑体"/>
          <w:color w:val="auto"/>
          <w:sz w:val="27"/>
          <w:szCs w:val="27"/>
          <w:highlight w:val="none"/>
        </w:rPr>
      </w:pPr>
    </w:p>
    <w:p w14:paraId="54D20DC4">
      <w:pPr>
        <w:pStyle w:val="3"/>
        <w:numPr>
          <w:ilvl w:val="0"/>
          <w:numId w:val="0"/>
        </w:numPr>
        <w:spacing w:line="400" w:lineRule="exact"/>
        <w:ind w:left="420"/>
        <w:rPr>
          <w:rFonts w:ascii="Times New Roman" w:hAnsi="Times New Roman"/>
          <w:color w:val="auto"/>
          <w:sz w:val="21"/>
          <w:szCs w:val="21"/>
          <w:highlight w:val="none"/>
        </w:rPr>
      </w:pPr>
      <w:r>
        <w:rPr>
          <w:color w:val="auto"/>
          <w:sz w:val="27"/>
          <w:szCs w:val="27"/>
          <w:highlight w:val="none"/>
        </w:rPr>
        <w:br w:type="page"/>
      </w:r>
      <w:bookmarkStart w:id="1034" w:name="_Toc180758596"/>
      <w:bookmarkStart w:id="1035" w:name="_Toc21787759"/>
      <w:bookmarkStart w:id="1036" w:name="_Toc13443"/>
      <w:bookmarkStart w:id="1037" w:name="_Toc229305418"/>
      <w:bookmarkStart w:id="1038" w:name="_Toc477711671"/>
      <w:bookmarkStart w:id="1039" w:name="_Toc174784340"/>
      <w:r>
        <w:rPr>
          <w:rFonts w:ascii="Times New Roman" w:hAnsi="Times New Roman"/>
          <w:color w:val="auto"/>
          <w:sz w:val="28"/>
          <w:szCs w:val="28"/>
          <w:highlight w:val="none"/>
        </w:rPr>
        <w:t>评标要素索引表</w:t>
      </w:r>
      <w:bookmarkEnd w:id="1034"/>
      <w:bookmarkEnd w:id="1035"/>
      <w:bookmarkEnd w:id="1036"/>
      <w:bookmarkEnd w:id="1037"/>
      <w:bookmarkEnd w:id="1038"/>
      <w:bookmarkEnd w:id="1039"/>
    </w:p>
    <w:p w14:paraId="18579C51">
      <w:pPr>
        <w:rPr>
          <w:color w:val="auto"/>
          <w:szCs w:val="21"/>
          <w:highlight w:val="none"/>
        </w:rPr>
      </w:pPr>
    </w:p>
    <w:p w14:paraId="7882C2F1">
      <w:pPr>
        <w:adjustRightInd w:val="0"/>
        <w:snapToGrid w:val="0"/>
        <w:spacing w:after="156" w:afterLines="50" w:line="400" w:lineRule="exact"/>
        <w:jc w:val="center"/>
        <w:rPr>
          <w:b/>
          <w:color w:val="auto"/>
          <w:sz w:val="28"/>
          <w:szCs w:val="28"/>
          <w:highlight w:val="none"/>
        </w:rPr>
      </w:pPr>
      <w:r>
        <w:rPr>
          <w:b/>
          <w:color w:val="auto"/>
          <w:sz w:val="28"/>
          <w:szCs w:val="28"/>
          <w:highlight w:val="none"/>
        </w:rPr>
        <w:t>评标要素索引表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580"/>
        <w:gridCol w:w="2120"/>
      </w:tblGrid>
      <w:tr w14:paraId="0252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noWrap w:val="0"/>
            <w:vAlign w:val="center"/>
          </w:tcPr>
          <w:p w14:paraId="14664C2D">
            <w:pPr>
              <w:adjustRightInd w:val="0"/>
              <w:snapToGrid w:val="0"/>
              <w:spacing w:line="400" w:lineRule="exact"/>
              <w:jc w:val="center"/>
              <w:rPr>
                <w:b/>
                <w:color w:val="auto"/>
                <w:szCs w:val="21"/>
                <w:highlight w:val="none"/>
              </w:rPr>
            </w:pPr>
            <w:r>
              <w:rPr>
                <w:b/>
                <w:color w:val="auto"/>
                <w:szCs w:val="21"/>
                <w:highlight w:val="none"/>
              </w:rPr>
              <w:t>序号</w:t>
            </w:r>
          </w:p>
        </w:tc>
        <w:tc>
          <w:tcPr>
            <w:tcW w:w="5580" w:type="dxa"/>
            <w:noWrap w:val="0"/>
            <w:vAlign w:val="center"/>
          </w:tcPr>
          <w:p w14:paraId="48044434">
            <w:pPr>
              <w:adjustRightInd w:val="0"/>
              <w:snapToGrid w:val="0"/>
              <w:spacing w:line="400" w:lineRule="exact"/>
              <w:jc w:val="center"/>
              <w:rPr>
                <w:b/>
                <w:color w:val="auto"/>
                <w:szCs w:val="21"/>
                <w:highlight w:val="none"/>
              </w:rPr>
            </w:pPr>
            <w:r>
              <w:rPr>
                <w:b/>
                <w:color w:val="auto"/>
                <w:szCs w:val="21"/>
                <w:highlight w:val="none"/>
              </w:rPr>
              <w:t>评审内容</w:t>
            </w:r>
          </w:p>
        </w:tc>
        <w:tc>
          <w:tcPr>
            <w:tcW w:w="2120" w:type="dxa"/>
            <w:noWrap w:val="0"/>
            <w:vAlign w:val="center"/>
          </w:tcPr>
          <w:p w14:paraId="472F42D0">
            <w:pPr>
              <w:adjustRightInd w:val="0"/>
              <w:snapToGrid w:val="0"/>
              <w:spacing w:line="400" w:lineRule="exact"/>
              <w:jc w:val="center"/>
              <w:rPr>
                <w:b/>
                <w:color w:val="auto"/>
                <w:szCs w:val="21"/>
                <w:highlight w:val="none"/>
              </w:rPr>
            </w:pPr>
            <w:r>
              <w:rPr>
                <w:b/>
                <w:color w:val="auto"/>
                <w:szCs w:val="21"/>
                <w:highlight w:val="none"/>
              </w:rPr>
              <w:t>投标文件页码范围</w:t>
            </w:r>
          </w:p>
        </w:tc>
      </w:tr>
      <w:tr w14:paraId="6E52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16DEA4FE">
            <w:pPr>
              <w:adjustRightInd w:val="0"/>
              <w:snapToGrid w:val="0"/>
              <w:spacing w:line="400" w:lineRule="exact"/>
              <w:jc w:val="center"/>
              <w:rPr>
                <w:b/>
                <w:bCs/>
                <w:color w:val="auto"/>
                <w:szCs w:val="21"/>
                <w:highlight w:val="none"/>
              </w:rPr>
            </w:pPr>
          </w:p>
        </w:tc>
        <w:tc>
          <w:tcPr>
            <w:tcW w:w="5580" w:type="dxa"/>
            <w:noWrap w:val="0"/>
            <w:vAlign w:val="center"/>
          </w:tcPr>
          <w:p w14:paraId="12700649">
            <w:pPr>
              <w:adjustRightInd w:val="0"/>
              <w:snapToGrid w:val="0"/>
              <w:spacing w:line="400" w:lineRule="exact"/>
              <w:jc w:val="center"/>
              <w:rPr>
                <w:bCs/>
                <w:color w:val="auto"/>
                <w:szCs w:val="21"/>
                <w:highlight w:val="none"/>
                <w:u w:val="single"/>
              </w:rPr>
            </w:pPr>
          </w:p>
        </w:tc>
        <w:tc>
          <w:tcPr>
            <w:tcW w:w="2120" w:type="dxa"/>
            <w:noWrap w:val="0"/>
            <w:vAlign w:val="center"/>
          </w:tcPr>
          <w:p w14:paraId="4B3BB9EC">
            <w:pPr>
              <w:adjustRightInd w:val="0"/>
              <w:snapToGrid w:val="0"/>
              <w:spacing w:line="400" w:lineRule="exact"/>
              <w:rPr>
                <w:bCs/>
                <w:color w:val="auto"/>
                <w:szCs w:val="21"/>
                <w:highlight w:val="none"/>
                <w:u w:val="single"/>
              </w:rPr>
            </w:pPr>
            <w:r>
              <w:rPr>
                <w:bCs/>
                <w:color w:val="auto"/>
                <w:szCs w:val="21"/>
                <w:highlight w:val="none"/>
              </w:rPr>
              <w:t>P～P</w:t>
            </w:r>
          </w:p>
        </w:tc>
      </w:tr>
      <w:tr w14:paraId="7782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46B60881">
            <w:pPr>
              <w:adjustRightInd w:val="0"/>
              <w:snapToGrid w:val="0"/>
              <w:spacing w:line="400" w:lineRule="exact"/>
              <w:jc w:val="center"/>
              <w:rPr>
                <w:b/>
                <w:bCs/>
                <w:color w:val="auto"/>
                <w:szCs w:val="21"/>
                <w:highlight w:val="none"/>
              </w:rPr>
            </w:pPr>
          </w:p>
        </w:tc>
        <w:tc>
          <w:tcPr>
            <w:tcW w:w="5580" w:type="dxa"/>
            <w:noWrap w:val="0"/>
            <w:vAlign w:val="center"/>
          </w:tcPr>
          <w:p w14:paraId="057C030C">
            <w:pPr>
              <w:adjustRightInd w:val="0"/>
              <w:snapToGrid w:val="0"/>
              <w:spacing w:line="400" w:lineRule="exact"/>
              <w:jc w:val="center"/>
              <w:rPr>
                <w:bCs/>
                <w:color w:val="auto"/>
                <w:szCs w:val="21"/>
                <w:highlight w:val="none"/>
              </w:rPr>
            </w:pPr>
          </w:p>
        </w:tc>
        <w:tc>
          <w:tcPr>
            <w:tcW w:w="2120" w:type="dxa"/>
            <w:noWrap w:val="0"/>
            <w:vAlign w:val="center"/>
          </w:tcPr>
          <w:p w14:paraId="1F570924">
            <w:pPr>
              <w:adjustRightInd w:val="0"/>
              <w:snapToGrid w:val="0"/>
              <w:spacing w:line="400" w:lineRule="exact"/>
              <w:rPr>
                <w:bCs/>
                <w:color w:val="auto"/>
                <w:szCs w:val="21"/>
                <w:highlight w:val="none"/>
              </w:rPr>
            </w:pPr>
            <w:r>
              <w:rPr>
                <w:bCs/>
                <w:color w:val="auto"/>
                <w:szCs w:val="21"/>
                <w:highlight w:val="none"/>
              </w:rPr>
              <w:t>P～P</w:t>
            </w:r>
          </w:p>
        </w:tc>
      </w:tr>
      <w:tr w14:paraId="68B2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3F959878">
            <w:pPr>
              <w:adjustRightInd w:val="0"/>
              <w:snapToGrid w:val="0"/>
              <w:spacing w:line="400" w:lineRule="exact"/>
              <w:jc w:val="center"/>
              <w:rPr>
                <w:b/>
                <w:bCs/>
                <w:color w:val="auto"/>
                <w:szCs w:val="21"/>
                <w:highlight w:val="none"/>
              </w:rPr>
            </w:pPr>
          </w:p>
        </w:tc>
        <w:tc>
          <w:tcPr>
            <w:tcW w:w="5580" w:type="dxa"/>
            <w:noWrap w:val="0"/>
            <w:vAlign w:val="center"/>
          </w:tcPr>
          <w:p w14:paraId="43A0451C">
            <w:pPr>
              <w:adjustRightInd w:val="0"/>
              <w:snapToGrid w:val="0"/>
              <w:spacing w:line="400" w:lineRule="exact"/>
              <w:jc w:val="center"/>
              <w:rPr>
                <w:bCs/>
                <w:color w:val="auto"/>
                <w:szCs w:val="21"/>
                <w:highlight w:val="none"/>
              </w:rPr>
            </w:pPr>
          </w:p>
        </w:tc>
        <w:tc>
          <w:tcPr>
            <w:tcW w:w="2120" w:type="dxa"/>
            <w:noWrap w:val="0"/>
            <w:vAlign w:val="center"/>
          </w:tcPr>
          <w:p w14:paraId="4C4FBC4D">
            <w:pPr>
              <w:adjustRightInd w:val="0"/>
              <w:snapToGrid w:val="0"/>
              <w:spacing w:line="400" w:lineRule="exact"/>
              <w:rPr>
                <w:bCs/>
                <w:color w:val="auto"/>
                <w:szCs w:val="21"/>
                <w:highlight w:val="none"/>
              </w:rPr>
            </w:pPr>
            <w:r>
              <w:rPr>
                <w:bCs/>
                <w:color w:val="auto"/>
                <w:szCs w:val="21"/>
                <w:highlight w:val="none"/>
              </w:rPr>
              <w:t>P～P</w:t>
            </w:r>
          </w:p>
        </w:tc>
      </w:tr>
      <w:tr w14:paraId="1AF7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3ACD0B3C">
            <w:pPr>
              <w:adjustRightInd w:val="0"/>
              <w:snapToGrid w:val="0"/>
              <w:spacing w:line="400" w:lineRule="exact"/>
              <w:jc w:val="center"/>
              <w:rPr>
                <w:b/>
                <w:bCs/>
                <w:color w:val="auto"/>
                <w:szCs w:val="21"/>
                <w:highlight w:val="none"/>
              </w:rPr>
            </w:pPr>
          </w:p>
        </w:tc>
        <w:tc>
          <w:tcPr>
            <w:tcW w:w="5580" w:type="dxa"/>
            <w:noWrap w:val="0"/>
            <w:vAlign w:val="center"/>
          </w:tcPr>
          <w:p w14:paraId="70BB7872">
            <w:pPr>
              <w:adjustRightInd w:val="0"/>
              <w:snapToGrid w:val="0"/>
              <w:spacing w:line="400" w:lineRule="exact"/>
              <w:jc w:val="center"/>
              <w:rPr>
                <w:bCs/>
                <w:color w:val="auto"/>
                <w:szCs w:val="21"/>
                <w:highlight w:val="none"/>
              </w:rPr>
            </w:pPr>
          </w:p>
        </w:tc>
        <w:tc>
          <w:tcPr>
            <w:tcW w:w="2120" w:type="dxa"/>
            <w:noWrap w:val="0"/>
            <w:vAlign w:val="center"/>
          </w:tcPr>
          <w:p w14:paraId="0235C692">
            <w:pPr>
              <w:adjustRightInd w:val="0"/>
              <w:snapToGrid w:val="0"/>
              <w:spacing w:line="400" w:lineRule="exact"/>
              <w:rPr>
                <w:bCs/>
                <w:color w:val="auto"/>
                <w:szCs w:val="21"/>
                <w:highlight w:val="none"/>
              </w:rPr>
            </w:pPr>
            <w:r>
              <w:rPr>
                <w:bCs/>
                <w:color w:val="auto"/>
                <w:szCs w:val="21"/>
                <w:highlight w:val="none"/>
              </w:rPr>
              <w:t>P～P</w:t>
            </w:r>
          </w:p>
        </w:tc>
      </w:tr>
      <w:tr w14:paraId="032A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02EA0CD7">
            <w:pPr>
              <w:adjustRightInd w:val="0"/>
              <w:snapToGrid w:val="0"/>
              <w:spacing w:line="400" w:lineRule="exact"/>
              <w:jc w:val="center"/>
              <w:rPr>
                <w:b/>
                <w:bCs/>
                <w:color w:val="auto"/>
                <w:szCs w:val="21"/>
                <w:highlight w:val="none"/>
              </w:rPr>
            </w:pPr>
          </w:p>
        </w:tc>
        <w:tc>
          <w:tcPr>
            <w:tcW w:w="5580" w:type="dxa"/>
            <w:noWrap w:val="0"/>
            <w:vAlign w:val="center"/>
          </w:tcPr>
          <w:p w14:paraId="5293CDDE">
            <w:pPr>
              <w:adjustRightInd w:val="0"/>
              <w:snapToGrid w:val="0"/>
              <w:spacing w:line="400" w:lineRule="exact"/>
              <w:jc w:val="center"/>
              <w:rPr>
                <w:bCs/>
                <w:color w:val="auto"/>
                <w:szCs w:val="21"/>
                <w:highlight w:val="none"/>
              </w:rPr>
            </w:pPr>
          </w:p>
        </w:tc>
        <w:tc>
          <w:tcPr>
            <w:tcW w:w="2120" w:type="dxa"/>
            <w:noWrap w:val="0"/>
            <w:vAlign w:val="center"/>
          </w:tcPr>
          <w:p w14:paraId="16E9D4B7">
            <w:pPr>
              <w:adjustRightInd w:val="0"/>
              <w:snapToGrid w:val="0"/>
              <w:spacing w:line="400" w:lineRule="exact"/>
              <w:rPr>
                <w:bCs/>
                <w:color w:val="auto"/>
                <w:szCs w:val="21"/>
                <w:highlight w:val="none"/>
              </w:rPr>
            </w:pPr>
            <w:r>
              <w:rPr>
                <w:bCs/>
                <w:color w:val="auto"/>
                <w:szCs w:val="21"/>
                <w:highlight w:val="none"/>
              </w:rPr>
              <w:t>P～P</w:t>
            </w:r>
          </w:p>
        </w:tc>
      </w:tr>
      <w:tr w14:paraId="4CB5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479C1899">
            <w:pPr>
              <w:adjustRightInd w:val="0"/>
              <w:snapToGrid w:val="0"/>
              <w:spacing w:line="400" w:lineRule="exact"/>
              <w:jc w:val="center"/>
              <w:rPr>
                <w:b/>
                <w:bCs/>
                <w:color w:val="auto"/>
                <w:szCs w:val="21"/>
                <w:highlight w:val="none"/>
              </w:rPr>
            </w:pPr>
          </w:p>
        </w:tc>
        <w:tc>
          <w:tcPr>
            <w:tcW w:w="5580" w:type="dxa"/>
            <w:noWrap w:val="0"/>
            <w:vAlign w:val="center"/>
          </w:tcPr>
          <w:p w14:paraId="0B3A134B">
            <w:pPr>
              <w:adjustRightInd w:val="0"/>
              <w:snapToGrid w:val="0"/>
              <w:spacing w:line="400" w:lineRule="exact"/>
              <w:jc w:val="center"/>
              <w:rPr>
                <w:bCs/>
                <w:color w:val="auto"/>
                <w:szCs w:val="21"/>
                <w:highlight w:val="none"/>
              </w:rPr>
            </w:pPr>
          </w:p>
        </w:tc>
        <w:tc>
          <w:tcPr>
            <w:tcW w:w="2120" w:type="dxa"/>
            <w:noWrap w:val="0"/>
            <w:vAlign w:val="center"/>
          </w:tcPr>
          <w:p w14:paraId="30CFF2B9">
            <w:pPr>
              <w:adjustRightInd w:val="0"/>
              <w:snapToGrid w:val="0"/>
              <w:spacing w:line="400" w:lineRule="exact"/>
              <w:rPr>
                <w:bCs/>
                <w:color w:val="auto"/>
                <w:szCs w:val="21"/>
                <w:highlight w:val="none"/>
                <w:u w:val="single"/>
              </w:rPr>
            </w:pPr>
            <w:r>
              <w:rPr>
                <w:bCs/>
                <w:color w:val="auto"/>
                <w:szCs w:val="21"/>
                <w:highlight w:val="none"/>
              </w:rPr>
              <w:t>P～P</w:t>
            </w:r>
          </w:p>
        </w:tc>
      </w:tr>
      <w:tr w14:paraId="6A8D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4BD84045">
            <w:pPr>
              <w:adjustRightInd w:val="0"/>
              <w:snapToGrid w:val="0"/>
              <w:spacing w:line="400" w:lineRule="exact"/>
              <w:jc w:val="center"/>
              <w:rPr>
                <w:b/>
                <w:bCs/>
                <w:color w:val="auto"/>
                <w:szCs w:val="21"/>
                <w:highlight w:val="none"/>
              </w:rPr>
            </w:pPr>
          </w:p>
        </w:tc>
        <w:tc>
          <w:tcPr>
            <w:tcW w:w="5580" w:type="dxa"/>
            <w:noWrap w:val="0"/>
            <w:vAlign w:val="center"/>
          </w:tcPr>
          <w:p w14:paraId="6698E58A">
            <w:pPr>
              <w:adjustRightInd w:val="0"/>
              <w:snapToGrid w:val="0"/>
              <w:spacing w:line="400" w:lineRule="exact"/>
              <w:jc w:val="center"/>
              <w:rPr>
                <w:bCs/>
                <w:color w:val="auto"/>
                <w:szCs w:val="21"/>
                <w:highlight w:val="none"/>
              </w:rPr>
            </w:pPr>
          </w:p>
        </w:tc>
        <w:tc>
          <w:tcPr>
            <w:tcW w:w="2120" w:type="dxa"/>
            <w:noWrap w:val="0"/>
            <w:vAlign w:val="center"/>
          </w:tcPr>
          <w:p w14:paraId="6C8CB9F5">
            <w:pPr>
              <w:adjustRightInd w:val="0"/>
              <w:snapToGrid w:val="0"/>
              <w:spacing w:line="400" w:lineRule="exact"/>
              <w:rPr>
                <w:bCs/>
                <w:color w:val="auto"/>
                <w:szCs w:val="21"/>
                <w:highlight w:val="none"/>
              </w:rPr>
            </w:pPr>
            <w:r>
              <w:rPr>
                <w:bCs/>
                <w:color w:val="auto"/>
                <w:szCs w:val="21"/>
                <w:highlight w:val="none"/>
              </w:rPr>
              <w:t>P～P</w:t>
            </w:r>
          </w:p>
        </w:tc>
      </w:tr>
      <w:tr w14:paraId="3D26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145774D0">
            <w:pPr>
              <w:adjustRightInd w:val="0"/>
              <w:snapToGrid w:val="0"/>
              <w:spacing w:line="400" w:lineRule="exact"/>
              <w:jc w:val="center"/>
              <w:rPr>
                <w:b/>
                <w:bCs/>
                <w:color w:val="auto"/>
                <w:szCs w:val="21"/>
                <w:highlight w:val="none"/>
              </w:rPr>
            </w:pPr>
          </w:p>
        </w:tc>
        <w:tc>
          <w:tcPr>
            <w:tcW w:w="5580" w:type="dxa"/>
            <w:noWrap w:val="0"/>
            <w:vAlign w:val="center"/>
          </w:tcPr>
          <w:p w14:paraId="37A95388">
            <w:pPr>
              <w:adjustRightInd w:val="0"/>
              <w:snapToGrid w:val="0"/>
              <w:spacing w:line="400" w:lineRule="exact"/>
              <w:jc w:val="center"/>
              <w:rPr>
                <w:bCs/>
                <w:color w:val="auto"/>
                <w:szCs w:val="21"/>
                <w:highlight w:val="none"/>
              </w:rPr>
            </w:pPr>
          </w:p>
        </w:tc>
        <w:tc>
          <w:tcPr>
            <w:tcW w:w="2120" w:type="dxa"/>
            <w:noWrap w:val="0"/>
            <w:vAlign w:val="center"/>
          </w:tcPr>
          <w:p w14:paraId="79F6218C">
            <w:pPr>
              <w:adjustRightInd w:val="0"/>
              <w:snapToGrid w:val="0"/>
              <w:spacing w:line="400" w:lineRule="exact"/>
              <w:rPr>
                <w:bCs/>
                <w:color w:val="auto"/>
                <w:szCs w:val="21"/>
                <w:highlight w:val="none"/>
              </w:rPr>
            </w:pPr>
            <w:r>
              <w:rPr>
                <w:bCs/>
                <w:color w:val="auto"/>
                <w:szCs w:val="21"/>
                <w:highlight w:val="none"/>
              </w:rPr>
              <w:t>P～P</w:t>
            </w:r>
          </w:p>
        </w:tc>
      </w:tr>
      <w:tr w14:paraId="7BFD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66AF1B2C">
            <w:pPr>
              <w:adjustRightInd w:val="0"/>
              <w:snapToGrid w:val="0"/>
              <w:spacing w:line="400" w:lineRule="exact"/>
              <w:jc w:val="center"/>
              <w:rPr>
                <w:bCs/>
                <w:color w:val="auto"/>
                <w:szCs w:val="21"/>
                <w:highlight w:val="none"/>
              </w:rPr>
            </w:pPr>
          </w:p>
        </w:tc>
        <w:tc>
          <w:tcPr>
            <w:tcW w:w="5580" w:type="dxa"/>
            <w:noWrap w:val="0"/>
            <w:vAlign w:val="center"/>
          </w:tcPr>
          <w:p w14:paraId="3345C801">
            <w:pPr>
              <w:adjustRightInd w:val="0"/>
              <w:snapToGrid w:val="0"/>
              <w:spacing w:line="400" w:lineRule="exact"/>
              <w:jc w:val="center"/>
              <w:rPr>
                <w:bCs/>
                <w:color w:val="auto"/>
                <w:szCs w:val="21"/>
                <w:highlight w:val="none"/>
              </w:rPr>
            </w:pPr>
          </w:p>
        </w:tc>
        <w:tc>
          <w:tcPr>
            <w:tcW w:w="2120" w:type="dxa"/>
            <w:noWrap w:val="0"/>
            <w:vAlign w:val="center"/>
          </w:tcPr>
          <w:p w14:paraId="18B67815">
            <w:pPr>
              <w:adjustRightInd w:val="0"/>
              <w:snapToGrid w:val="0"/>
              <w:spacing w:line="400" w:lineRule="exact"/>
              <w:rPr>
                <w:bCs/>
                <w:color w:val="auto"/>
                <w:szCs w:val="21"/>
                <w:highlight w:val="none"/>
              </w:rPr>
            </w:pPr>
            <w:r>
              <w:rPr>
                <w:bCs/>
                <w:color w:val="auto"/>
                <w:szCs w:val="21"/>
                <w:highlight w:val="none"/>
              </w:rPr>
              <w:t>P～P</w:t>
            </w:r>
          </w:p>
        </w:tc>
      </w:tr>
      <w:tr w14:paraId="103F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4939DD60">
            <w:pPr>
              <w:adjustRightInd w:val="0"/>
              <w:snapToGrid w:val="0"/>
              <w:spacing w:line="400" w:lineRule="exact"/>
              <w:jc w:val="center"/>
              <w:rPr>
                <w:bCs/>
                <w:color w:val="auto"/>
                <w:szCs w:val="21"/>
                <w:highlight w:val="none"/>
              </w:rPr>
            </w:pPr>
          </w:p>
        </w:tc>
        <w:tc>
          <w:tcPr>
            <w:tcW w:w="5580" w:type="dxa"/>
            <w:noWrap w:val="0"/>
            <w:vAlign w:val="center"/>
          </w:tcPr>
          <w:p w14:paraId="002F3B8C">
            <w:pPr>
              <w:adjustRightInd w:val="0"/>
              <w:snapToGrid w:val="0"/>
              <w:spacing w:line="400" w:lineRule="exact"/>
              <w:jc w:val="center"/>
              <w:rPr>
                <w:bCs/>
                <w:color w:val="auto"/>
                <w:szCs w:val="21"/>
                <w:highlight w:val="none"/>
              </w:rPr>
            </w:pPr>
          </w:p>
        </w:tc>
        <w:tc>
          <w:tcPr>
            <w:tcW w:w="2120" w:type="dxa"/>
            <w:noWrap w:val="0"/>
            <w:vAlign w:val="center"/>
          </w:tcPr>
          <w:p w14:paraId="0C2BCFDC">
            <w:pPr>
              <w:adjustRightInd w:val="0"/>
              <w:snapToGrid w:val="0"/>
              <w:spacing w:line="400" w:lineRule="exact"/>
              <w:rPr>
                <w:bCs/>
                <w:color w:val="auto"/>
                <w:szCs w:val="21"/>
                <w:highlight w:val="none"/>
              </w:rPr>
            </w:pPr>
            <w:r>
              <w:rPr>
                <w:bCs/>
                <w:color w:val="auto"/>
                <w:szCs w:val="21"/>
                <w:highlight w:val="none"/>
              </w:rPr>
              <w:t>P～P</w:t>
            </w:r>
          </w:p>
        </w:tc>
      </w:tr>
      <w:tr w14:paraId="61C8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5EB1A008">
            <w:pPr>
              <w:adjustRightInd w:val="0"/>
              <w:snapToGrid w:val="0"/>
              <w:spacing w:line="400" w:lineRule="exact"/>
              <w:jc w:val="center"/>
              <w:rPr>
                <w:bCs/>
                <w:color w:val="auto"/>
                <w:szCs w:val="21"/>
                <w:highlight w:val="none"/>
              </w:rPr>
            </w:pPr>
          </w:p>
        </w:tc>
        <w:tc>
          <w:tcPr>
            <w:tcW w:w="5580" w:type="dxa"/>
            <w:noWrap w:val="0"/>
            <w:vAlign w:val="center"/>
          </w:tcPr>
          <w:p w14:paraId="193743D9">
            <w:pPr>
              <w:adjustRightInd w:val="0"/>
              <w:snapToGrid w:val="0"/>
              <w:spacing w:line="400" w:lineRule="exact"/>
              <w:jc w:val="center"/>
              <w:rPr>
                <w:bCs/>
                <w:color w:val="auto"/>
                <w:szCs w:val="21"/>
                <w:highlight w:val="none"/>
              </w:rPr>
            </w:pPr>
          </w:p>
        </w:tc>
        <w:tc>
          <w:tcPr>
            <w:tcW w:w="2120" w:type="dxa"/>
            <w:noWrap w:val="0"/>
            <w:vAlign w:val="center"/>
          </w:tcPr>
          <w:p w14:paraId="4A33B589">
            <w:pPr>
              <w:adjustRightInd w:val="0"/>
              <w:snapToGrid w:val="0"/>
              <w:spacing w:line="400" w:lineRule="exact"/>
              <w:rPr>
                <w:bCs/>
                <w:color w:val="auto"/>
                <w:szCs w:val="21"/>
                <w:highlight w:val="none"/>
              </w:rPr>
            </w:pPr>
            <w:r>
              <w:rPr>
                <w:bCs/>
                <w:color w:val="auto"/>
                <w:szCs w:val="21"/>
                <w:highlight w:val="none"/>
              </w:rPr>
              <w:t>P～P</w:t>
            </w:r>
          </w:p>
        </w:tc>
      </w:tr>
    </w:tbl>
    <w:p w14:paraId="603CE60C">
      <w:pPr>
        <w:pStyle w:val="140"/>
        <w:spacing w:line="360" w:lineRule="auto"/>
        <w:ind w:left="960" w:firstLine="0"/>
        <w:rPr>
          <w:color w:val="auto"/>
          <w:sz w:val="27"/>
          <w:szCs w:val="27"/>
          <w:highlight w:val="none"/>
        </w:rPr>
      </w:pPr>
      <w:bookmarkStart w:id="1040" w:name="_Toc22599"/>
      <w:r>
        <w:rPr>
          <w:color w:val="auto"/>
          <w:sz w:val="27"/>
          <w:szCs w:val="27"/>
          <w:highlight w:val="none"/>
        </w:rPr>
        <w:br w:type="column"/>
      </w:r>
      <w:bookmarkEnd w:id="1040"/>
    </w:p>
    <w:p w14:paraId="6CEC3C10">
      <w:pPr>
        <w:spacing w:line="360" w:lineRule="auto"/>
        <w:jc w:val="center"/>
        <w:outlineLvl w:val="2"/>
        <w:rPr>
          <w:rFonts w:ascii="黑体" w:hAnsi="黑体" w:eastAsia="黑体"/>
          <w:color w:val="auto"/>
          <w:sz w:val="28"/>
          <w:szCs w:val="27"/>
          <w:highlight w:val="none"/>
        </w:rPr>
      </w:pPr>
      <w:bookmarkStart w:id="1041" w:name="_Toc19761"/>
      <w:bookmarkStart w:id="1042" w:name="_Toc180758597"/>
      <w:bookmarkStart w:id="1043" w:name="_Toc21787760"/>
      <w:r>
        <w:rPr>
          <w:rFonts w:hint="eastAsia" w:ascii="黑体" w:hAnsi="黑体" w:eastAsia="黑体"/>
          <w:color w:val="auto"/>
          <w:sz w:val="28"/>
          <w:szCs w:val="27"/>
          <w:highlight w:val="none"/>
        </w:rPr>
        <w:t xml:space="preserve">目 </w:t>
      </w:r>
      <w:bookmarkStart w:id="1044" w:name="_Toc359263273"/>
      <w:bookmarkStart w:id="1045" w:name="_Toc296602591"/>
      <w:r>
        <w:rPr>
          <w:rFonts w:hint="eastAsia" w:ascii="黑体" w:hAnsi="黑体" w:eastAsia="黑体"/>
          <w:color w:val="auto"/>
          <w:sz w:val="28"/>
          <w:szCs w:val="27"/>
          <w:highlight w:val="none"/>
        </w:rPr>
        <w:t xml:space="preserve">  录</w:t>
      </w:r>
      <w:r>
        <w:rPr>
          <w:rFonts w:hint="eastAsia" w:ascii="华文宋体" w:hAnsi="华文宋体" w:eastAsia="华文宋体"/>
          <w:color w:val="auto"/>
          <w:szCs w:val="21"/>
          <w:highlight w:val="none"/>
        </w:rPr>
        <w:t>（可加上</w:t>
      </w:r>
      <w:bookmarkEnd w:id="1044"/>
      <w:bookmarkEnd w:id="1045"/>
      <w:r>
        <w:rPr>
          <w:rFonts w:hint="eastAsia" w:ascii="华文宋体" w:hAnsi="华文宋体" w:eastAsia="华文宋体"/>
          <w:color w:val="auto"/>
          <w:szCs w:val="21"/>
          <w:highlight w:val="none"/>
        </w:rPr>
        <w:t>二级目录）</w:t>
      </w:r>
      <w:bookmarkEnd w:id="1041"/>
      <w:bookmarkEnd w:id="1042"/>
      <w:bookmarkEnd w:id="1043"/>
    </w:p>
    <w:p w14:paraId="3E79C9D7">
      <w:pPr>
        <w:spacing w:line="400" w:lineRule="exact"/>
        <w:rPr>
          <w:color w:val="auto"/>
          <w:sz w:val="20"/>
          <w:szCs w:val="20"/>
          <w:highlight w:val="none"/>
        </w:rPr>
      </w:pPr>
    </w:p>
    <w:p w14:paraId="0A4C8B11">
      <w:pPr>
        <w:spacing w:line="276" w:lineRule="auto"/>
        <w:rPr>
          <w:rFonts w:ascii="黑体" w:eastAsia="黑体"/>
          <w:color w:val="auto"/>
          <w:sz w:val="27"/>
          <w:szCs w:val="27"/>
          <w:highlight w:val="none"/>
        </w:rPr>
      </w:pPr>
      <w:r>
        <w:rPr>
          <w:rFonts w:hint="eastAsia" w:ascii="黑体" w:eastAsia="黑体"/>
          <w:color w:val="auto"/>
          <w:sz w:val="27"/>
          <w:szCs w:val="27"/>
          <w:highlight w:val="none"/>
        </w:rPr>
        <w:t>一、投标函及投标函附录</w:t>
      </w:r>
    </w:p>
    <w:p w14:paraId="60E5EA6E">
      <w:pPr>
        <w:spacing w:line="276" w:lineRule="auto"/>
        <w:rPr>
          <w:rFonts w:ascii="黑体" w:eastAsia="黑体"/>
          <w:color w:val="auto"/>
          <w:sz w:val="27"/>
          <w:szCs w:val="27"/>
          <w:highlight w:val="none"/>
        </w:rPr>
      </w:pPr>
      <w:r>
        <w:rPr>
          <w:rFonts w:hint="eastAsia" w:ascii="黑体" w:eastAsia="黑体"/>
          <w:color w:val="auto"/>
          <w:sz w:val="27"/>
          <w:szCs w:val="27"/>
          <w:highlight w:val="none"/>
        </w:rPr>
        <w:t>二</w:t>
      </w:r>
      <w:bookmarkStart w:id="1046" w:name="_Toc359263274"/>
      <w:r>
        <w:rPr>
          <w:rFonts w:hint="eastAsia" w:ascii="黑体" w:eastAsia="黑体"/>
          <w:color w:val="auto"/>
          <w:sz w:val="27"/>
          <w:szCs w:val="27"/>
          <w:highlight w:val="none"/>
        </w:rPr>
        <w:t>、法定代表人身</w:t>
      </w:r>
      <w:bookmarkEnd w:id="1046"/>
      <w:r>
        <w:rPr>
          <w:rFonts w:hint="eastAsia" w:ascii="黑体" w:eastAsia="黑体"/>
          <w:color w:val="auto"/>
          <w:sz w:val="27"/>
          <w:szCs w:val="27"/>
          <w:highlight w:val="none"/>
        </w:rPr>
        <w:t>份证明</w:t>
      </w:r>
    </w:p>
    <w:p w14:paraId="6FEB882B">
      <w:pPr>
        <w:spacing w:line="276" w:lineRule="auto"/>
        <w:rPr>
          <w:rFonts w:ascii="黑体" w:eastAsia="黑体"/>
          <w:color w:val="auto"/>
          <w:sz w:val="27"/>
          <w:szCs w:val="27"/>
          <w:highlight w:val="none"/>
        </w:rPr>
      </w:pPr>
      <w:r>
        <w:rPr>
          <w:rFonts w:hint="eastAsia" w:ascii="黑体" w:eastAsia="黑体"/>
          <w:color w:val="auto"/>
          <w:sz w:val="27"/>
          <w:szCs w:val="27"/>
          <w:highlight w:val="none"/>
        </w:rPr>
        <w:t>三、授权委托书</w:t>
      </w:r>
    </w:p>
    <w:p w14:paraId="038614C5">
      <w:pPr>
        <w:spacing w:line="276" w:lineRule="auto"/>
        <w:rPr>
          <w:rFonts w:ascii="黑体" w:eastAsia="黑体"/>
          <w:strike/>
          <w:color w:val="auto"/>
          <w:sz w:val="27"/>
          <w:szCs w:val="27"/>
          <w:highlight w:val="none"/>
        </w:rPr>
      </w:pPr>
      <w:r>
        <w:rPr>
          <w:rFonts w:hint="eastAsia" w:ascii="黑体" w:eastAsia="黑体"/>
          <w:strike/>
          <w:color w:val="auto"/>
          <w:sz w:val="27"/>
          <w:szCs w:val="27"/>
          <w:highlight w:val="none"/>
        </w:rPr>
        <w:t>四、联合体协议书（若有</w:t>
      </w:r>
      <w:bookmarkStart w:id="1047" w:name="_Toc259524409"/>
      <w:bookmarkStart w:id="1048" w:name="_Toc359263278"/>
      <w:r>
        <w:rPr>
          <w:rFonts w:hint="eastAsia" w:ascii="黑体" w:eastAsia="黑体"/>
          <w:strike/>
          <w:color w:val="auto"/>
          <w:sz w:val="27"/>
          <w:szCs w:val="27"/>
          <w:highlight w:val="none"/>
        </w:rPr>
        <w:t>）</w:t>
      </w:r>
    </w:p>
    <w:p w14:paraId="381D9781">
      <w:pPr>
        <w:spacing w:line="276" w:lineRule="auto"/>
        <w:rPr>
          <w:rFonts w:ascii="黑体" w:eastAsia="黑体"/>
          <w:strike/>
          <w:color w:val="auto"/>
          <w:sz w:val="27"/>
          <w:szCs w:val="27"/>
          <w:highlight w:val="none"/>
        </w:rPr>
      </w:pPr>
      <w:r>
        <w:rPr>
          <w:rFonts w:hint="eastAsia" w:ascii="黑体" w:eastAsia="黑体"/>
          <w:strike/>
          <w:color w:val="auto"/>
          <w:sz w:val="27"/>
          <w:szCs w:val="27"/>
          <w:highlight w:val="none"/>
        </w:rPr>
        <w:t xml:space="preserve">五、投标保证金（若有） </w:t>
      </w:r>
    </w:p>
    <w:bookmarkEnd w:id="1047"/>
    <w:bookmarkEnd w:id="1048"/>
    <w:p w14:paraId="22AFF922">
      <w:pPr>
        <w:spacing w:line="276" w:lineRule="auto"/>
        <w:rPr>
          <w:rFonts w:ascii="黑体" w:eastAsia="黑体"/>
          <w:color w:val="auto"/>
          <w:sz w:val="27"/>
          <w:szCs w:val="27"/>
          <w:highlight w:val="none"/>
        </w:rPr>
      </w:pPr>
      <w:r>
        <w:rPr>
          <w:rFonts w:hint="eastAsia" w:ascii="黑体" w:eastAsia="黑体"/>
          <w:color w:val="auto"/>
          <w:sz w:val="27"/>
          <w:szCs w:val="27"/>
          <w:highlight w:val="none"/>
        </w:rPr>
        <w:t>六、已标价工程量清单</w:t>
      </w:r>
      <w:r>
        <w:rPr>
          <w:rFonts w:eastAsia="华文中宋"/>
          <w:color w:val="auto"/>
          <w:sz w:val="27"/>
          <w:szCs w:val="27"/>
          <w:highlight w:val="none"/>
        </w:rPr>
        <w:t>（填报投标报价下浮率的不需提供）</w:t>
      </w:r>
    </w:p>
    <w:p w14:paraId="5F9C612C">
      <w:pPr>
        <w:spacing w:line="276" w:lineRule="auto"/>
        <w:rPr>
          <w:rFonts w:ascii="黑体" w:eastAsia="黑体"/>
          <w:color w:val="auto"/>
          <w:sz w:val="27"/>
          <w:szCs w:val="27"/>
          <w:highlight w:val="none"/>
        </w:rPr>
      </w:pPr>
      <w:r>
        <w:rPr>
          <w:rFonts w:hint="eastAsia" w:ascii="黑体" w:eastAsia="黑体"/>
          <w:color w:val="auto"/>
          <w:sz w:val="27"/>
          <w:szCs w:val="27"/>
          <w:highlight w:val="none"/>
        </w:rPr>
        <w:t>七、施工组织</w:t>
      </w:r>
      <w:bookmarkStart w:id="1049" w:name="_Toc359263279"/>
      <w:bookmarkStart w:id="1050" w:name="_Toc259524411"/>
      <w:r>
        <w:rPr>
          <w:rFonts w:hint="eastAsia" w:ascii="黑体" w:eastAsia="黑体"/>
          <w:color w:val="auto"/>
          <w:sz w:val="27"/>
          <w:szCs w:val="27"/>
          <w:highlight w:val="none"/>
        </w:rPr>
        <w:t>设计（或施工组织设计</w:t>
      </w:r>
      <w:bookmarkEnd w:id="1049"/>
      <w:bookmarkEnd w:id="1050"/>
      <w:r>
        <w:rPr>
          <w:rFonts w:hint="eastAsia" w:ascii="黑体" w:eastAsia="黑体"/>
          <w:color w:val="auto"/>
          <w:sz w:val="27"/>
          <w:szCs w:val="27"/>
          <w:highlight w:val="none"/>
        </w:rPr>
        <w:t>要点）</w:t>
      </w:r>
    </w:p>
    <w:p w14:paraId="3777DE0B">
      <w:pPr>
        <w:spacing w:line="276" w:lineRule="auto"/>
        <w:rPr>
          <w:rFonts w:ascii="黑体" w:eastAsia="黑体"/>
          <w:color w:val="auto"/>
          <w:sz w:val="27"/>
          <w:szCs w:val="27"/>
          <w:highlight w:val="none"/>
        </w:rPr>
      </w:pPr>
      <w:r>
        <w:rPr>
          <w:rFonts w:hint="eastAsia" w:ascii="黑体" w:eastAsia="黑体"/>
          <w:color w:val="auto"/>
          <w:sz w:val="27"/>
          <w:szCs w:val="27"/>
          <w:highlight w:val="none"/>
        </w:rPr>
        <w:t>八、项目管理机构</w:t>
      </w:r>
    </w:p>
    <w:p w14:paraId="5B5C3853">
      <w:pPr>
        <w:spacing w:line="276" w:lineRule="auto"/>
        <w:rPr>
          <w:rFonts w:ascii="黑体" w:eastAsia="黑体"/>
          <w:strike/>
          <w:color w:val="auto"/>
          <w:sz w:val="27"/>
          <w:szCs w:val="27"/>
          <w:highlight w:val="none"/>
        </w:rPr>
      </w:pPr>
      <w:r>
        <w:rPr>
          <w:rFonts w:hint="eastAsia" w:ascii="黑体" w:eastAsia="黑体"/>
          <w:strike w:val="0"/>
          <w:color w:val="auto"/>
          <w:sz w:val="27"/>
          <w:szCs w:val="27"/>
          <w:highlight w:val="none"/>
        </w:rPr>
        <w:t>九、拟分包项目情况表（若有）</w:t>
      </w:r>
    </w:p>
    <w:p w14:paraId="042466F6">
      <w:pPr>
        <w:spacing w:line="276" w:lineRule="auto"/>
        <w:rPr>
          <w:rFonts w:ascii="黑体" w:eastAsia="黑体"/>
          <w:color w:val="auto"/>
          <w:sz w:val="27"/>
          <w:szCs w:val="27"/>
          <w:highlight w:val="none"/>
        </w:rPr>
      </w:pPr>
      <w:r>
        <w:rPr>
          <w:rFonts w:hint="eastAsia" w:ascii="黑体" w:eastAsia="黑体"/>
          <w:color w:val="auto"/>
          <w:sz w:val="27"/>
          <w:szCs w:val="27"/>
          <w:highlight w:val="none"/>
        </w:rPr>
        <w:t>十、资格审查资料</w:t>
      </w:r>
    </w:p>
    <w:p w14:paraId="219CAF61">
      <w:pPr>
        <w:spacing w:line="360" w:lineRule="auto"/>
        <w:rPr>
          <w:color w:val="auto"/>
          <w:sz w:val="24"/>
          <w:highlight w:val="none"/>
        </w:rPr>
      </w:pPr>
      <w:r>
        <w:rPr>
          <w:rFonts w:hint="eastAsia" w:ascii="黑体" w:eastAsia="黑体"/>
          <w:color w:val="auto"/>
          <w:sz w:val="27"/>
          <w:szCs w:val="27"/>
          <w:highlight w:val="none"/>
        </w:rPr>
        <w:t>十一、投标人须知前附表规定的其他材料</w:t>
      </w:r>
    </w:p>
    <w:p w14:paraId="0BB50689">
      <w:pPr>
        <w:spacing w:line="360" w:lineRule="auto"/>
        <w:jc w:val="center"/>
        <w:outlineLvl w:val="2"/>
        <w:rPr>
          <w:rFonts w:ascii="黑体" w:hAnsi="黑体" w:eastAsia="黑体"/>
          <w:color w:val="auto"/>
          <w:sz w:val="28"/>
          <w:szCs w:val="27"/>
          <w:highlight w:val="none"/>
        </w:rPr>
      </w:pPr>
      <w:r>
        <w:rPr>
          <w:color w:val="auto"/>
          <w:sz w:val="24"/>
          <w:highlight w:val="none"/>
        </w:rPr>
        <w:br w:type="page"/>
      </w:r>
      <w:bookmarkStart w:id="1051" w:name="_Toc180758598"/>
      <w:bookmarkStart w:id="1052" w:name="_Toc5694"/>
      <w:bookmarkStart w:id="1053" w:name="_Toc21787761"/>
      <w:r>
        <w:rPr>
          <w:rFonts w:ascii="黑体" w:hAnsi="黑体" w:eastAsia="黑体"/>
          <w:color w:val="auto"/>
          <w:sz w:val="28"/>
          <w:szCs w:val="27"/>
          <w:highlight w:val="none"/>
        </w:rPr>
        <w:t>一、投标函及投标函</w:t>
      </w:r>
      <w:bookmarkStart w:id="1054" w:name="_Toc221951911"/>
      <w:r>
        <w:rPr>
          <w:rFonts w:ascii="黑体" w:hAnsi="黑体" w:eastAsia="黑体"/>
          <w:color w:val="auto"/>
          <w:sz w:val="28"/>
          <w:szCs w:val="27"/>
          <w:highlight w:val="none"/>
        </w:rPr>
        <w:t>附录</w:t>
      </w:r>
      <w:bookmarkEnd w:id="1051"/>
      <w:bookmarkEnd w:id="1052"/>
      <w:bookmarkEnd w:id="1053"/>
    </w:p>
    <w:p w14:paraId="434800A6">
      <w:pPr>
        <w:spacing w:line="400" w:lineRule="exact"/>
        <w:outlineLvl w:val="3"/>
        <w:rPr>
          <w:rFonts w:ascii="宋体" w:hAnsi="宋体"/>
          <w:b/>
          <w:color w:val="auto"/>
          <w:sz w:val="24"/>
          <w:szCs w:val="31"/>
          <w:highlight w:val="none"/>
        </w:rPr>
      </w:pPr>
      <w:r>
        <w:rPr>
          <w:rFonts w:ascii="宋体" w:hAnsi="宋体"/>
          <w:b/>
          <w:color w:val="auto"/>
          <w:sz w:val="24"/>
          <w:szCs w:val="31"/>
          <w:highlight w:val="none"/>
        </w:rPr>
        <w:t>（一）投标函</w:t>
      </w:r>
    </w:p>
    <w:bookmarkEnd w:id="1054"/>
    <w:p w14:paraId="7BB20143">
      <w:pPr>
        <w:spacing w:line="400" w:lineRule="exact"/>
        <w:rPr>
          <w:color w:val="auto"/>
          <w:sz w:val="19"/>
          <w:szCs w:val="19"/>
          <w:highlight w:val="none"/>
        </w:rPr>
      </w:pPr>
    </w:p>
    <w:p w14:paraId="6F8365DA">
      <w:pPr>
        <w:spacing w:line="400" w:lineRule="exact"/>
        <w:rPr>
          <w:rFonts w:ascii="宋体" w:hAnsi="宋体"/>
          <w:color w:val="auto"/>
          <w:szCs w:val="21"/>
          <w:highlight w:val="none"/>
        </w:rPr>
      </w:pPr>
      <w:bookmarkStart w:id="1055" w:name="_Toc221951912"/>
      <w:r>
        <w:rPr>
          <w:rFonts w:ascii="宋体" w:hAnsi="宋体"/>
          <w:color w:val="auto"/>
          <w:szCs w:val="21"/>
          <w:highlight w:val="none"/>
        </w:rPr>
        <w:t>（</w:t>
      </w:r>
      <w:r>
        <w:rPr>
          <w:rFonts w:hint="eastAsia" w:ascii="宋体" w:hAnsi="宋体"/>
          <w:color w:val="auto"/>
          <w:szCs w:val="21"/>
          <w:highlight w:val="none"/>
        </w:rPr>
        <w:t>招标人名称</w:t>
      </w:r>
      <w:r>
        <w:rPr>
          <w:rFonts w:ascii="宋体" w:hAnsi="宋体"/>
          <w:color w:val="auto"/>
          <w:szCs w:val="21"/>
          <w:highlight w:val="none"/>
        </w:rPr>
        <w:t>）：</w:t>
      </w:r>
    </w:p>
    <w:p w14:paraId="6EF1CB58">
      <w:pPr>
        <w:spacing w:line="400" w:lineRule="exact"/>
        <w:rPr>
          <w:rFonts w:ascii="宋体" w:hAnsi="宋体"/>
          <w:color w:val="auto"/>
          <w:szCs w:val="21"/>
          <w:highlight w:val="none"/>
        </w:rPr>
      </w:pPr>
    </w:p>
    <w:p w14:paraId="20862291">
      <w:pPr>
        <w:spacing w:line="400" w:lineRule="exact"/>
        <w:ind w:firstLine="420" w:firstLineChars="200"/>
        <w:rPr>
          <w:rFonts w:ascii="宋体" w:hAnsi="宋体"/>
          <w:color w:val="auto"/>
          <w:szCs w:val="21"/>
          <w:highlight w:val="none"/>
        </w:rPr>
      </w:pPr>
      <w:r>
        <w:rPr>
          <w:rFonts w:ascii="宋体" w:hAnsi="宋体"/>
          <w:color w:val="auto"/>
          <w:szCs w:val="21"/>
          <w:highlight w:val="none"/>
        </w:rPr>
        <w:t>1．我方已仔细研究了</w:t>
      </w:r>
      <w:bookmarkEnd w:id="1055"/>
      <w:r>
        <w:rPr>
          <w:rFonts w:ascii="宋体" w:hAnsi="宋体"/>
          <w:color w:val="auto"/>
          <w:szCs w:val="21"/>
          <w:highlight w:val="none"/>
          <w:u w:val="single"/>
        </w:rPr>
        <w:t>（</w:t>
      </w:r>
      <w:r>
        <w:rPr>
          <w:rFonts w:hint="eastAsia" w:ascii="宋体" w:hAnsi="宋体"/>
          <w:color w:val="auto"/>
          <w:szCs w:val="21"/>
          <w:highlight w:val="none"/>
          <w:u w:val="single"/>
        </w:rPr>
        <w:t>项目名称）</w:t>
      </w:r>
      <w:bookmarkStart w:id="1056" w:name="_Toc221951914"/>
      <w:r>
        <w:rPr>
          <w:rFonts w:hint="eastAsia" w:ascii="宋体" w:hAnsi="宋体"/>
          <w:color w:val="auto"/>
          <w:szCs w:val="21"/>
          <w:highlight w:val="none"/>
          <w:u w:val="single"/>
        </w:rPr>
        <w:t>（标段名称）</w:t>
      </w:r>
      <w:r>
        <w:rPr>
          <w:rFonts w:ascii="宋体" w:hAnsi="宋体"/>
          <w:color w:val="auto"/>
          <w:szCs w:val="21"/>
          <w:highlight w:val="none"/>
        </w:rPr>
        <w:t>招标文件的全部内容</w:t>
      </w:r>
      <w:bookmarkEnd w:id="1056"/>
      <w:r>
        <w:rPr>
          <w:rFonts w:ascii="宋体" w:hAnsi="宋体"/>
          <w:color w:val="auto"/>
          <w:szCs w:val="21"/>
          <w:highlight w:val="none"/>
        </w:rPr>
        <w:t>，愿意</w:t>
      </w:r>
      <w:bookmarkStart w:id="1057" w:name="_Toc259524413"/>
      <w:bookmarkStart w:id="1058" w:name="_Toc229305419"/>
      <w:bookmarkStart w:id="1059" w:name="_Toc359263280"/>
      <w:r>
        <w:rPr>
          <w:rFonts w:ascii="宋体" w:hAnsi="宋体"/>
          <w:color w:val="auto"/>
          <w:szCs w:val="21"/>
          <w:highlight w:val="none"/>
        </w:rPr>
        <w:t>以人民币（大</w:t>
      </w:r>
      <w:bookmarkEnd w:id="1057"/>
      <w:bookmarkEnd w:id="1058"/>
      <w:bookmarkEnd w:id="1059"/>
      <w:r>
        <w:rPr>
          <w:rFonts w:ascii="宋体" w:hAnsi="宋体"/>
          <w:color w:val="auto"/>
          <w:szCs w:val="21"/>
          <w:highlight w:val="none"/>
        </w:rPr>
        <w:t>写）</w:t>
      </w:r>
      <w:bookmarkStart w:id="1060" w:name="_Toc221951916"/>
      <w:r>
        <w:rPr>
          <w:rFonts w:hint="eastAsia" w:ascii="宋体" w:hAnsi="宋体"/>
          <w:color w:val="auto"/>
          <w:szCs w:val="21"/>
          <w:highlight w:val="none"/>
          <w:u w:val="single"/>
        </w:rPr>
        <w:t xml:space="preserve">           </w:t>
      </w:r>
      <w:r>
        <w:rPr>
          <w:rFonts w:ascii="宋体" w:hAnsi="宋体"/>
          <w:color w:val="auto"/>
          <w:szCs w:val="21"/>
          <w:highlight w:val="none"/>
        </w:rPr>
        <w:t>元（¥</w:t>
      </w:r>
      <w:bookmarkEnd w:id="1060"/>
      <w:bookmarkStart w:id="1061" w:name="_Toc221951917"/>
      <w:r>
        <w:rPr>
          <w:rFonts w:ascii="宋体" w:hAnsi="宋体"/>
          <w:color w:val="auto"/>
          <w:szCs w:val="21"/>
          <w:highlight w:val="none"/>
        </w:rPr>
        <w:t>）的投标总报价，</w:t>
      </w:r>
      <w:r>
        <w:rPr>
          <w:rFonts w:hint="eastAsia" w:ascii="宋体" w:hAnsi="宋体"/>
          <w:color w:val="auto"/>
          <w:szCs w:val="21"/>
          <w:highlight w:val="none"/>
        </w:rPr>
        <w:t>工期</w:t>
      </w:r>
      <w:bookmarkEnd w:id="1061"/>
      <w:bookmarkStart w:id="1062" w:name="_Toc221951918"/>
      <w:r>
        <w:rPr>
          <w:rFonts w:hint="eastAsia" w:ascii="宋体" w:hAnsi="宋体"/>
          <w:color w:val="auto"/>
          <w:szCs w:val="21"/>
          <w:highlight w:val="none"/>
          <w:u w:val="single"/>
        </w:rPr>
        <w:t xml:space="preserve">      </w:t>
      </w:r>
      <w:r>
        <w:rPr>
          <w:rFonts w:hint="eastAsia" w:ascii="宋体" w:hAnsi="宋体"/>
          <w:color w:val="auto"/>
          <w:szCs w:val="21"/>
          <w:highlight w:val="none"/>
        </w:rPr>
        <w:t>日历天，</w:t>
      </w:r>
      <w:r>
        <w:rPr>
          <w:rFonts w:ascii="宋体" w:hAnsi="宋体"/>
          <w:color w:val="auto"/>
          <w:szCs w:val="21"/>
          <w:highlight w:val="none"/>
        </w:rPr>
        <w:t>按合同约定</w:t>
      </w:r>
      <w:bookmarkEnd w:id="1062"/>
      <w:r>
        <w:rPr>
          <w:rFonts w:ascii="宋体" w:hAnsi="宋体"/>
          <w:color w:val="auto"/>
          <w:szCs w:val="21"/>
          <w:highlight w:val="none"/>
        </w:rPr>
        <w:t>实</w:t>
      </w:r>
      <w:bookmarkStart w:id="1063" w:name="_Toc221951919"/>
      <w:r>
        <w:rPr>
          <w:rFonts w:ascii="宋体" w:hAnsi="宋体"/>
          <w:color w:val="auto"/>
          <w:szCs w:val="21"/>
          <w:highlight w:val="none"/>
        </w:rPr>
        <w:t>施和完成承包工</w:t>
      </w:r>
      <w:bookmarkEnd w:id="1063"/>
      <w:r>
        <w:rPr>
          <w:rFonts w:ascii="宋体" w:hAnsi="宋体"/>
          <w:color w:val="auto"/>
          <w:szCs w:val="21"/>
          <w:highlight w:val="none"/>
        </w:rPr>
        <w:t>程，</w:t>
      </w:r>
      <w:bookmarkStart w:id="1064" w:name="_Toc221951920"/>
      <w:r>
        <w:rPr>
          <w:rFonts w:ascii="宋体" w:hAnsi="宋体"/>
          <w:color w:val="auto"/>
          <w:szCs w:val="21"/>
          <w:highlight w:val="none"/>
        </w:rPr>
        <w:t>修补工程中的任何缺陷</w:t>
      </w:r>
      <w:bookmarkEnd w:id="1064"/>
      <w:r>
        <w:rPr>
          <w:rFonts w:ascii="宋体" w:hAnsi="宋体"/>
          <w:color w:val="auto"/>
          <w:szCs w:val="21"/>
          <w:highlight w:val="none"/>
        </w:rPr>
        <w:t>，</w:t>
      </w:r>
      <w:bookmarkStart w:id="1065" w:name="_Toc221951921"/>
      <w:r>
        <w:rPr>
          <w:rFonts w:ascii="宋体" w:hAnsi="宋体"/>
          <w:color w:val="auto"/>
          <w:szCs w:val="21"/>
          <w:highlight w:val="none"/>
        </w:rPr>
        <w:t>工程质量达到</w:t>
      </w:r>
      <w:bookmarkEnd w:id="1065"/>
      <w:r>
        <w:rPr>
          <w:rFonts w:hint="eastAsia" w:ascii="宋体" w:hAnsi="宋体"/>
          <w:color w:val="auto"/>
          <w:szCs w:val="21"/>
          <w:highlight w:val="none"/>
          <w:u w:val="single"/>
        </w:rPr>
        <w:t xml:space="preserve">       </w:t>
      </w:r>
      <w:r>
        <w:rPr>
          <w:rFonts w:ascii="宋体" w:hAnsi="宋体"/>
          <w:color w:val="auto"/>
          <w:szCs w:val="21"/>
          <w:highlight w:val="none"/>
        </w:rPr>
        <w:t>。</w:t>
      </w:r>
    </w:p>
    <w:p w14:paraId="03395B36">
      <w:pPr>
        <w:spacing w:line="400" w:lineRule="exact"/>
        <w:ind w:firstLine="420" w:firstLineChars="200"/>
        <w:jc w:val="left"/>
        <w:rPr>
          <w:rFonts w:ascii="宋体" w:hAnsi="宋体"/>
          <w:color w:val="auto"/>
          <w:szCs w:val="21"/>
          <w:highlight w:val="none"/>
        </w:rPr>
      </w:pPr>
      <w:bookmarkStart w:id="1066" w:name="_Toc221951922"/>
      <w:r>
        <w:rPr>
          <w:rFonts w:ascii="宋体" w:hAnsi="宋体"/>
          <w:color w:val="auto"/>
          <w:szCs w:val="21"/>
          <w:highlight w:val="none"/>
        </w:rPr>
        <w:t>2．我方承诺在投</w:t>
      </w:r>
      <w:bookmarkEnd w:id="1066"/>
      <w:r>
        <w:rPr>
          <w:rFonts w:ascii="宋体" w:hAnsi="宋体"/>
          <w:color w:val="auto"/>
          <w:szCs w:val="21"/>
          <w:highlight w:val="none"/>
        </w:rPr>
        <w:t>标</w:t>
      </w:r>
      <w:bookmarkStart w:id="1067" w:name="_Toc221951924"/>
      <w:r>
        <w:rPr>
          <w:rFonts w:ascii="宋体" w:hAnsi="宋体"/>
          <w:color w:val="auto"/>
          <w:szCs w:val="21"/>
          <w:highlight w:val="none"/>
        </w:rPr>
        <w:t>有效期内不</w:t>
      </w:r>
      <w:r>
        <w:rPr>
          <w:rFonts w:hint="eastAsia" w:ascii="宋体" w:hAnsi="宋体"/>
          <w:color w:val="auto"/>
          <w:szCs w:val="21"/>
          <w:highlight w:val="none"/>
        </w:rPr>
        <w:t>补充、</w:t>
      </w:r>
      <w:bookmarkEnd w:id="1067"/>
      <w:r>
        <w:rPr>
          <w:rFonts w:ascii="宋体" w:hAnsi="宋体"/>
          <w:color w:val="auto"/>
          <w:szCs w:val="21"/>
          <w:highlight w:val="none"/>
        </w:rPr>
        <w:t>修</w:t>
      </w:r>
      <w:bookmarkStart w:id="1068" w:name="_Toc221951925"/>
      <w:r>
        <w:rPr>
          <w:rFonts w:ascii="宋体" w:hAnsi="宋体"/>
          <w:color w:val="auto"/>
          <w:szCs w:val="21"/>
          <w:highlight w:val="none"/>
        </w:rPr>
        <w:t>改、</w:t>
      </w:r>
      <w:bookmarkEnd w:id="1068"/>
      <w:r>
        <w:rPr>
          <w:rFonts w:hint="eastAsia" w:ascii="宋体" w:hAnsi="宋体"/>
          <w:color w:val="auto"/>
          <w:szCs w:val="21"/>
          <w:highlight w:val="none"/>
        </w:rPr>
        <w:t>替代或</w:t>
      </w:r>
      <w:r>
        <w:rPr>
          <w:rFonts w:ascii="宋体" w:hAnsi="宋体"/>
          <w:color w:val="auto"/>
          <w:szCs w:val="21"/>
          <w:highlight w:val="none"/>
        </w:rPr>
        <w:t>撤</w:t>
      </w:r>
      <w:r>
        <w:rPr>
          <w:rFonts w:hint="eastAsia" w:ascii="宋体" w:hAnsi="宋体"/>
          <w:color w:val="auto"/>
          <w:szCs w:val="21"/>
          <w:highlight w:val="none"/>
        </w:rPr>
        <w:t>回本</w:t>
      </w:r>
      <w:r>
        <w:rPr>
          <w:rFonts w:ascii="宋体" w:hAnsi="宋体"/>
          <w:color w:val="auto"/>
          <w:szCs w:val="21"/>
          <w:highlight w:val="none"/>
        </w:rPr>
        <w:t>投标文件。</w:t>
      </w:r>
    </w:p>
    <w:p w14:paraId="4B31BE2A">
      <w:pPr>
        <w:spacing w:line="400" w:lineRule="exact"/>
        <w:ind w:firstLine="420" w:firstLineChars="200"/>
        <w:rPr>
          <w:rFonts w:ascii="宋体" w:hAnsi="宋体"/>
          <w:color w:val="auto"/>
          <w:szCs w:val="21"/>
          <w:highlight w:val="none"/>
        </w:rPr>
      </w:pPr>
      <w:bookmarkStart w:id="1069" w:name="_Toc221951928"/>
      <w:r>
        <w:rPr>
          <w:rFonts w:hint="eastAsia" w:ascii="宋体" w:hAnsi="宋体"/>
          <w:color w:val="auto"/>
          <w:szCs w:val="21"/>
          <w:highlight w:val="none"/>
        </w:rPr>
        <w:t>3</w:t>
      </w:r>
      <w:r>
        <w:rPr>
          <w:rFonts w:ascii="宋体" w:hAnsi="宋体"/>
          <w:color w:val="auto"/>
          <w:szCs w:val="21"/>
          <w:highlight w:val="none"/>
        </w:rPr>
        <w:t>．如我方中标：</w:t>
      </w:r>
      <w:bookmarkEnd w:id="1069"/>
    </w:p>
    <w:p w14:paraId="77F043E1">
      <w:pPr>
        <w:spacing w:line="400" w:lineRule="exact"/>
        <w:ind w:firstLine="718" w:firstLineChars="342"/>
        <w:rPr>
          <w:rFonts w:ascii="宋体" w:hAnsi="宋体"/>
          <w:color w:val="auto"/>
          <w:szCs w:val="21"/>
          <w:highlight w:val="none"/>
        </w:rPr>
      </w:pPr>
      <w:r>
        <w:rPr>
          <w:rFonts w:ascii="宋体" w:hAnsi="宋体"/>
          <w:color w:val="auto"/>
          <w:szCs w:val="21"/>
          <w:highlight w:val="none"/>
        </w:rPr>
        <w:t>（</w:t>
      </w:r>
      <w:bookmarkStart w:id="1070" w:name="_Toc221951929"/>
      <w:r>
        <w:rPr>
          <w:rFonts w:ascii="宋体" w:hAnsi="宋体"/>
          <w:color w:val="auto"/>
          <w:szCs w:val="21"/>
          <w:highlight w:val="none"/>
        </w:rPr>
        <w:t>1）我方承诺在收到中标通知书后，在中标通知书规定的期限内与你方签订合同。</w:t>
      </w:r>
    </w:p>
    <w:p w14:paraId="4DCF8B52">
      <w:pPr>
        <w:spacing w:line="400" w:lineRule="exact"/>
        <w:ind w:firstLine="718" w:firstLineChars="342"/>
        <w:rPr>
          <w:rFonts w:ascii="宋体" w:hAnsi="宋体"/>
          <w:color w:val="auto"/>
          <w:szCs w:val="21"/>
          <w:highlight w:val="none"/>
        </w:rPr>
      </w:pPr>
      <w:r>
        <w:rPr>
          <w:rFonts w:ascii="宋体" w:hAnsi="宋体"/>
          <w:color w:val="auto"/>
          <w:szCs w:val="21"/>
          <w:highlight w:val="none"/>
        </w:rPr>
        <w:t>（2）随同本投标函递交的投标函附录属于合同文件的组成部分。</w:t>
      </w:r>
    </w:p>
    <w:p w14:paraId="11757CA2">
      <w:pPr>
        <w:spacing w:line="400" w:lineRule="exact"/>
        <w:ind w:firstLine="718" w:firstLineChars="342"/>
        <w:rPr>
          <w:rFonts w:ascii="宋体" w:hAnsi="宋体"/>
          <w:color w:val="auto"/>
          <w:szCs w:val="21"/>
          <w:highlight w:val="none"/>
        </w:rPr>
      </w:pPr>
      <w:r>
        <w:rPr>
          <w:rFonts w:ascii="宋体" w:hAnsi="宋体"/>
          <w:color w:val="auto"/>
          <w:szCs w:val="21"/>
          <w:highlight w:val="none"/>
        </w:rPr>
        <w:t>（3）我方承诺按照招标文件规定向你方递交履约担保。</w:t>
      </w:r>
    </w:p>
    <w:p w14:paraId="487DD719">
      <w:pPr>
        <w:spacing w:line="400" w:lineRule="exact"/>
        <w:ind w:firstLine="718" w:firstLineChars="342"/>
        <w:rPr>
          <w:rFonts w:ascii="宋体" w:hAnsi="宋体"/>
          <w:color w:val="auto"/>
          <w:szCs w:val="21"/>
          <w:highlight w:val="none"/>
        </w:rPr>
      </w:pPr>
      <w:r>
        <w:rPr>
          <w:rFonts w:ascii="宋体" w:hAnsi="宋体"/>
          <w:color w:val="auto"/>
          <w:szCs w:val="21"/>
          <w:highlight w:val="none"/>
        </w:rPr>
        <w:t>（4）我方承诺在合同约定的期限内完成并移交全部合同工程。</w:t>
      </w:r>
    </w:p>
    <w:p w14:paraId="433328A6">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4．我方在此声明，所递交的投标文件及有关资料内容完整、真实</w:t>
      </w:r>
      <w:bookmarkEnd w:id="1070"/>
      <w:r>
        <w:rPr>
          <w:rFonts w:hint="eastAsia" w:ascii="宋体" w:hAnsi="宋体"/>
          <w:color w:val="auto"/>
          <w:szCs w:val="21"/>
          <w:highlight w:val="none"/>
        </w:rPr>
        <w:t>和</w:t>
      </w:r>
      <w:bookmarkStart w:id="1071" w:name="_Toc221951930"/>
      <w:r>
        <w:rPr>
          <w:rFonts w:hint="eastAsia" w:ascii="宋体" w:hAnsi="宋体"/>
          <w:color w:val="auto"/>
          <w:szCs w:val="21"/>
          <w:highlight w:val="none"/>
        </w:rPr>
        <w:t>准确，且不存在第二章“投标人须知”第1.4.</w:t>
      </w:r>
      <w:bookmarkEnd w:id="1071"/>
      <w:r>
        <w:rPr>
          <w:rFonts w:hint="eastAsia" w:ascii="宋体" w:hAnsi="宋体"/>
          <w:color w:val="auto"/>
          <w:szCs w:val="21"/>
          <w:highlight w:val="none"/>
        </w:rPr>
        <w:t>3项规</w:t>
      </w:r>
      <w:bookmarkStart w:id="1072" w:name="_Toc221951931"/>
      <w:r>
        <w:rPr>
          <w:rFonts w:hint="eastAsia" w:ascii="宋体" w:hAnsi="宋体"/>
          <w:color w:val="auto"/>
          <w:szCs w:val="21"/>
          <w:highlight w:val="none"/>
        </w:rPr>
        <w:t>定的任何一种情形。</w:t>
      </w:r>
    </w:p>
    <w:p w14:paraId="3C2F9708">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w:t>
      </w:r>
      <w:bookmarkEnd w:id="1072"/>
      <w:bookmarkStart w:id="1073" w:name="_Toc221951932"/>
      <w:r>
        <w:rPr>
          <w:rFonts w:ascii="宋体" w:hAnsi="宋体"/>
          <w:color w:val="auto"/>
          <w:szCs w:val="21"/>
          <w:highlight w:val="none"/>
        </w:rPr>
        <w:t>（</w:t>
      </w:r>
      <w:r>
        <w:rPr>
          <w:rFonts w:hint="eastAsia" w:ascii="宋体" w:hAnsi="宋体"/>
          <w:color w:val="auto"/>
          <w:szCs w:val="21"/>
          <w:highlight w:val="none"/>
        </w:rPr>
        <w:t>其他</w:t>
      </w:r>
      <w:r>
        <w:rPr>
          <w:rFonts w:ascii="宋体" w:hAnsi="宋体"/>
          <w:color w:val="auto"/>
          <w:szCs w:val="21"/>
          <w:highlight w:val="none"/>
        </w:rPr>
        <w:t>补充说明）</w:t>
      </w:r>
      <w:bookmarkEnd w:id="1073"/>
      <w:r>
        <w:rPr>
          <w:rFonts w:hint="eastAsia" w:ascii="宋体" w:hAnsi="宋体"/>
          <w:color w:val="auto"/>
          <w:szCs w:val="21"/>
          <w:highlight w:val="none"/>
        </w:rPr>
        <w:t xml:space="preserve">       </w:t>
      </w:r>
      <w:r>
        <w:rPr>
          <w:rFonts w:ascii="宋体" w:hAnsi="宋体"/>
          <w:color w:val="auto"/>
          <w:szCs w:val="21"/>
          <w:highlight w:val="none"/>
        </w:rPr>
        <w:t>。</w:t>
      </w:r>
      <w:bookmarkStart w:id="1074" w:name="_Toc221951933"/>
    </w:p>
    <w:p w14:paraId="512E6885">
      <w:pPr>
        <w:spacing w:line="400" w:lineRule="exact"/>
        <w:rPr>
          <w:rFonts w:ascii="宋体" w:hAnsi="宋体"/>
          <w:color w:val="auto"/>
          <w:szCs w:val="21"/>
          <w:highlight w:val="none"/>
        </w:rPr>
      </w:pPr>
    </w:p>
    <w:p w14:paraId="76022350">
      <w:pPr>
        <w:spacing w:line="400" w:lineRule="exact"/>
        <w:ind w:firstLine="3675" w:firstLineChars="1750"/>
        <w:rPr>
          <w:rFonts w:ascii="宋体" w:hAnsi="宋体"/>
          <w:color w:val="auto"/>
          <w:szCs w:val="21"/>
          <w:highlight w:val="none"/>
        </w:rPr>
      </w:pPr>
      <w:r>
        <w:rPr>
          <w:rFonts w:ascii="宋体" w:hAnsi="宋体"/>
          <w:color w:val="auto"/>
          <w:szCs w:val="21"/>
          <w:highlight w:val="none"/>
        </w:rPr>
        <w:t>投 标 人：（盖单位章）</w:t>
      </w:r>
    </w:p>
    <w:bookmarkEnd w:id="1074"/>
    <w:p w14:paraId="7C111019">
      <w:pPr>
        <w:spacing w:line="400" w:lineRule="exact"/>
        <w:ind w:firstLine="3675" w:firstLineChars="1750"/>
        <w:rPr>
          <w:rFonts w:ascii="宋体" w:hAnsi="宋体"/>
          <w:color w:val="auto"/>
          <w:szCs w:val="21"/>
          <w:highlight w:val="none"/>
          <w:u w:val="single"/>
        </w:rPr>
      </w:pPr>
      <w:r>
        <w:rPr>
          <w:rFonts w:ascii="宋体" w:hAnsi="宋体"/>
          <w:color w:val="auto"/>
          <w:szCs w:val="21"/>
          <w:highlight w:val="none"/>
        </w:rPr>
        <w:t>法</w:t>
      </w:r>
      <w:bookmarkStart w:id="1075" w:name="_Toc221951934"/>
      <w:r>
        <w:rPr>
          <w:rFonts w:ascii="宋体" w:hAnsi="宋体"/>
          <w:color w:val="auto"/>
          <w:szCs w:val="21"/>
          <w:highlight w:val="none"/>
        </w:rPr>
        <w:t>定代表人或其</w:t>
      </w:r>
      <w:r>
        <w:rPr>
          <w:rFonts w:hint="eastAsia" w:ascii="宋体" w:hAnsi="宋体"/>
          <w:color w:val="auto"/>
          <w:szCs w:val="21"/>
          <w:highlight w:val="none"/>
        </w:rPr>
        <w:t>委托</w:t>
      </w:r>
      <w:r>
        <w:rPr>
          <w:rFonts w:ascii="宋体" w:hAnsi="宋体"/>
          <w:color w:val="auto"/>
          <w:szCs w:val="21"/>
          <w:highlight w:val="none"/>
        </w:rPr>
        <w:t>代理人：</w:t>
      </w:r>
      <w:r>
        <w:rPr>
          <w:rFonts w:hint="eastAsia" w:ascii="宋体" w:hAnsi="宋体"/>
          <w:color w:val="auto"/>
          <w:szCs w:val="21"/>
          <w:highlight w:val="none"/>
          <w:u w:val="single"/>
        </w:rPr>
        <w:t xml:space="preserve">  （签字） </w:t>
      </w:r>
      <w:bookmarkEnd w:id="1075"/>
    </w:p>
    <w:p w14:paraId="151B220E">
      <w:pPr>
        <w:spacing w:line="400" w:lineRule="exact"/>
        <w:ind w:firstLine="3675" w:firstLineChars="1750"/>
        <w:rPr>
          <w:rFonts w:ascii="宋体" w:hAnsi="宋体"/>
          <w:color w:val="auto"/>
          <w:szCs w:val="21"/>
          <w:highlight w:val="none"/>
          <w:u w:val="single"/>
        </w:rPr>
      </w:pPr>
      <w:r>
        <w:rPr>
          <w:rFonts w:hint="eastAsia" w:ascii="宋体" w:hAnsi="宋体"/>
          <w:color w:val="auto"/>
          <w:szCs w:val="21"/>
          <w:highlight w:val="none"/>
          <w:u w:val="single"/>
        </w:rPr>
        <w:t>项目负责人：                           （签字）</w:t>
      </w:r>
    </w:p>
    <w:p w14:paraId="04FD600F">
      <w:pPr>
        <w:spacing w:line="400" w:lineRule="exact"/>
        <w:ind w:firstLine="3675" w:firstLineChars="1750"/>
        <w:rPr>
          <w:rFonts w:ascii="宋体" w:hAnsi="宋体"/>
          <w:color w:val="auto"/>
          <w:szCs w:val="21"/>
          <w:highlight w:val="none"/>
        </w:rPr>
      </w:pPr>
      <w:r>
        <w:rPr>
          <w:rFonts w:hint="eastAsia" w:ascii="宋体" w:hAnsi="宋体"/>
          <w:color w:val="auto"/>
          <w:szCs w:val="21"/>
          <w:highlight w:val="none"/>
          <w:u w:val="single"/>
        </w:rPr>
        <w:t>技术负责人： （注：按招标文件设置） （签字）</w:t>
      </w:r>
    </w:p>
    <w:p w14:paraId="260863D2">
      <w:pPr>
        <w:spacing w:line="400" w:lineRule="exact"/>
        <w:ind w:firstLine="3675" w:firstLineChars="1750"/>
        <w:rPr>
          <w:rFonts w:ascii="宋体" w:hAnsi="宋体"/>
          <w:color w:val="auto"/>
          <w:szCs w:val="21"/>
          <w:highlight w:val="none"/>
        </w:rPr>
      </w:pPr>
      <w:bookmarkStart w:id="1076" w:name="_Toc221951935"/>
      <w:r>
        <w:rPr>
          <w:rFonts w:ascii="宋体" w:hAnsi="宋体"/>
          <w:color w:val="auto"/>
          <w:szCs w:val="21"/>
          <w:highlight w:val="none"/>
        </w:rPr>
        <w:t>地址：</w:t>
      </w:r>
      <w:bookmarkEnd w:id="1076"/>
      <w:bookmarkStart w:id="1077" w:name="_Toc221951936"/>
    </w:p>
    <w:p w14:paraId="23947DFF">
      <w:pPr>
        <w:spacing w:line="400" w:lineRule="exact"/>
        <w:ind w:firstLine="3675" w:firstLineChars="1750"/>
        <w:rPr>
          <w:rFonts w:ascii="宋体" w:hAnsi="宋体"/>
          <w:color w:val="auto"/>
          <w:szCs w:val="21"/>
          <w:highlight w:val="none"/>
        </w:rPr>
      </w:pPr>
      <w:r>
        <w:rPr>
          <w:rFonts w:ascii="宋体" w:hAnsi="宋体"/>
          <w:color w:val="auto"/>
          <w:szCs w:val="21"/>
          <w:highlight w:val="none"/>
        </w:rPr>
        <w:t>网址：</w:t>
      </w:r>
      <w:bookmarkEnd w:id="1077"/>
      <w:bookmarkStart w:id="1078" w:name="_Toc221951937"/>
    </w:p>
    <w:p w14:paraId="70C3428A">
      <w:pPr>
        <w:spacing w:line="400" w:lineRule="exact"/>
        <w:ind w:firstLine="3675" w:firstLineChars="1750"/>
        <w:rPr>
          <w:rFonts w:ascii="宋体" w:hAnsi="宋体"/>
          <w:color w:val="auto"/>
          <w:szCs w:val="21"/>
          <w:highlight w:val="none"/>
        </w:rPr>
      </w:pPr>
      <w:r>
        <w:rPr>
          <w:rFonts w:ascii="宋体" w:hAnsi="宋体"/>
          <w:color w:val="auto"/>
          <w:szCs w:val="21"/>
          <w:highlight w:val="none"/>
        </w:rPr>
        <w:t>电话：</w:t>
      </w:r>
    </w:p>
    <w:p w14:paraId="12EC9206">
      <w:pPr>
        <w:spacing w:line="400" w:lineRule="exact"/>
        <w:ind w:firstLine="3675" w:firstLineChars="1750"/>
        <w:rPr>
          <w:rFonts w:ascii="宋体" w:hAnsi="宋体"/>
          <w:color w:val="auto"/>
          <w:szCs w:val="21"/>
          <w:highlight w:val="none"/>
        </w:rPr>
      </w:pPr>
      <w:r>
        <w:rPr>
          <w:rFonts w:ascii="宋体" w:hAnsi="宋体"/>
          <w:color w:val="auto"/>
          <w:szCs w:val="21"/>
          <w:highlight w:val="none"/>
        </w:rPr>
        <w:t>传真：</w:t>
      </w:r>
      <w:bookmarkEnd w:id="1078"/>
      <w:bookmarkStart w:id="1079" w:name="_Toc221951938"/>
    </w:p>
    <w:p w14:paraId="03AF73FB">
      <w:pPr>
        <w:spacing w:line="400" w:lineRule="exact"/>
        <w:ind w:firstLine="3675" w:firstLineChars="1750"/>
        <w:rPr>
          <w:rFonts w:ascii="宋体" w:hAnsi="宋体"/>
          <w:color w:val="auto"/>
          <w:szCs w:val="21"/>
          <w:highlight w:val="none"/>
        </w:rPr>
      </w:pPr>
      <w:r>
        <w:rPr>
          <w:rFonts w:ascii="宋体" w:hAnsi="宋体"/>
          <w:color w:val="auto"/>
          <w:szCs w:val="21"/>
          <w:highlight w:val="none"/>
        </w:rPr>
        <w:t>邮政编码：</w:t>
      </w:r>
      <w:bookmarkEnd w:id="1079"/>
      <w:bookmarkStart w:id="1080" w:name="_Toc221951939"/>
    </w:p>
    <w:p w14:paraId="7ED3F193">
      <w:pPr>
        <w:spacing w:line="400" w:lineRule="exact"/>
        <w:ind w:firstLine="3675" w:firstLineChars="1750"/>
        <w:rPr>
          <w:rFonts w:ascii="宋体" w:hAnsi="宋体"/>
          <w:color w:val="auto"/>
          <w:szCs w:val="21"/>
          <w:highlight w:val="none"/>
        </w:rPr>
      </w:pPr>
    </w:p>
    <w:p w14:paraId="519B6725">
      <w:pPr>
        <w:spacing w:line="360" w:lineRule="auto"/>
        <w:jc w:val="center"/>
        <w:rPr>
          <w:rFonts w:ascii="宋体" w:hAnsi="宋体"/>
          <w:color w:val="auto"/>
          <w:szCs w:val="21"/>
          <w:highlight w:val="none"/>
        </w:rPr>
      </w:pPr>
      <w:r>
        <w:rPr>
          <w:rFonts w:ascii="宋体" w:hAnsi="宋体"/>
          <w:color w:val="auto"/>
          <w:szCs w:val="21"/>
          <w:highlight w:val="none"/>
        </w:rPr>
        <w:t>年</w:t>
      </w:r>
      <w:bookmarkEnd w:id="1080"/>
      <w:r>
        <w:rPr>
          <w:rFonts w:hint="eastAsia" w:ascii="宋体" w:hAnsi="宋体"/>
          <w:color w:val="auto"/>
          <w:szCs w:val="21"/>
          <w:highlight w:val="none"/>
        </w:rPr>
        <w:t xml:space="preserve">  </w:t>
      </w:r>
      <w:r>
        <w:rPr>
          <w:rFonts w:ascii="宋体" w:hAnsi="宋体"/>
          <w:color w:val="auto"/>
          <w:szCs w:val="21"/>
          <w:highlight w:val="none"/>
        </w:rPr>
        <w:t>月</w:t>
      </w:r>
      <w:r>
        <w:rPr>
          <w:rFonts w:hint="eastAsia" w:ascii="宋体" w:hAnsi="宋体"/>
          <w:color w:val="auto"/>
          <w:szCs w:val="21"/>
          <w:highlight w:val="none"/>
        </w:rPr>
        <w:t xml:space="preserve">   </w:t>
      </w:r>
      <w:r>
        <w:rPr>
          <w:rFonts w:ascii="宋体" w:hAnsi="宋体"/>
          <w:color w:val="auto"/>
          <w:szCs w:val="21"/>
          <w:highlight w:val="none"/>
        </w:rPr>
        <w:t>日</w:t>
      </w:r>
    </w:p>
    <w:p w14:paraId="70FFB8CF">
      <w:pPr>
        <w:spacing w:line="360" w:lineRule="auto"/>
        <w:jc w:val="center"/>
        <w:rPr>
          <w:rFonts w:ascii="宋体" w:hAnsi="宋体"/>
          <w:color w:val="auto"/>
          <w:szCs w:val="21"/>
          <w:highlight w:val="none"/>
        </w:rPr>
      </w:pPr>
    </w:p>
    <w:p w14:paraId="24613011">
      <w:pPr>
        <w:spacing w:line="360" w:lineRule="auto"/>
        <w:jc w:val="center"/>
        <w:rPr>
          <w:rFonts w:ascii="宋体" w:hAnsi="宋体" w:cs="宋体"/>
          <w:b/>
          <w:bCs/>
          <w:color w:val="auto"/>
          <w:sz w:val="36"/>
          <w:szCs w:val="36"/>
          <w:highlight w:val="none"/>
          <w:lang w:val="zh-CN"/>
        </w:rPr>
      </w:pPr>
      <w:r>
        <w:rPr>
          <w:rFonts w:ascii="宋体" w:hAnsi="宋体"/>
          <w:color w:val="auto"/>
          <w:szCs w:val="21"/>
          <w:highlight w:val="none"/>
        </w:rPr>
        <w:br w:type="page"/>
      </w:r>
      <w:r>
        <w:rPr>
          <w:rFonts w:ascii="宋体" w:hAnsi="宋体"/>
          <w:b/>
          <w:color w:val="auto"/>
          <w:sz w:val="24"/>
          <w:szCs w:val="31"/>
          <w:highlight w:val="none"/>
        </w:rPr>
        <w:t>（二）</w:t>
      </w:r>
      <w:r>
        <w:rPr>
          <w:rFonts w:ascii="黑体" w:hAnsi="黑体" w:eastAsia="黑体"/>
          <w:color w:val="auto"/>
          <w:sz w:val="28"/>
          <w:szCs w:val="27"/>
          <w:highlight w:val="none"/>
        </w:rPr>
        <w:t>投标函附录</w:t>
      </w:r>
    </w:p>
    <w:p w14:paraId="59DC4001">
      <w:pPr>
        <w:autoSpaceDE w:val="0"/>
        <w:autoSpaceDN w:val="0"/>
        <w:adjustRightInd w:val="0"/>
        <w:jc w:val="center"/>
        <w:rPr>
          <w:rFonts w:ascii="宋体" w:hAnsi="宋体"/>
          <w:bCs/>
          <w:color w:val="auto"/>
          <w:sz w:val="52"/>
          <w:szCs w:val="52"/>
          <w:highlight w:val="none"/>
        </w:rPr>
      </w:pPr>
      <w:bookmarkStart w:id="1081" w:name="_Toc221951942"/>
      <w:bookmarkEnd w:id="1081"/>
      <w:r>
        <w:rPr>
          <w:rFonts w:hint="eastAsia" w:ascii="宋体" w:hAnsi="宋体" w:cs="宋体"/>
          <w:color w:val="auto"/>
          <w:sz w:val="24"/>
          <w:szCs w:val="24"/>
          <w:highlight w:val="none"/>
          <w:lang w:val="zh-CN"/>
        </w:rPr>
        <w:t>投标日期：   年  月  日</w:t>
      </w:r>
    </w:p>
    <w:tbl>
      <w:tblPr>
        <w:tblStyle w:val="42"/>
        <w:tblpPr w:leftFromText="180" w:rightFromText="180" w:vertAnchor="text" w:horzAnchor="page" w:tblpX="1150" w:tblpY="-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8"/>
        <w:gridCol w:w="2028"/>
        <w:gridCol w:w="3823"/>
      </w:tblGrid>
      <w:tr w14:paraId="203C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14:paraId="4F605BD6">
            <w:pPr>
              <w:autoSpaceDE w:val="0"/>
              <w:autoSpaceDN w:val="0"/>
              <w:adjustRightInd w:val="0"/>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工 程 名 称</w:t>
            </w:r>
          </w:p>
        </w:tc>
        <w:tc>
          <w:tcPr>
            <w:tcW w:w="5851" w:type="dxa"/>
            <w:gridSpan w:val="2"/>
            <w:tcBorders>
              <w:top w:val="single" w:color="auto" w:sz="4" w:space="0"/>
              <w:left w:val="single" w:color="auto" w:sz="4" w:space="0"/>
              <w:bottom w:val="single" w:color="auto" w:sz="4" w:space="0"/>
              <w:right w:val="single" w:color="auto" w:sz="4" w:space="0"/>
            </w:tcBorders>
            <w:noWrap w:val="0"/>
            <w:vAlign w:val="top"/>
          </w:tcPr>
          <w:p w14:paraId="3571C91D">
            <w:pPr>
              <w:autoSpaceDE w:val="0"/>
              <w:autoSpaceDN w:val="0"/>
              <w:adjustRightInd w:val="0"/>
              <w:rPr>
                <w:rFonts w:ascii="宋体" w:hAnsi="宋体" w:cs="宋体"/>
                <w:bCs/>
                <w:color w:val="auto"/>
                <w:sz w:val="24"/>
                <w:szCs w:val="24"/>
                <w:highlight w:val="none"/>
                <w:lang w:val="zh-CN"/>
              </w:rPr>
            </w:pPr>
          </w:p>
        </w:tc>
        <w:bookmarkStart w:id="1082" w:name="_Toc221951943"/>
      </w:tr>
      <w:tr w14:paraId="58F5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14:paraId="719E0D00">
            <w:pPr>
              <w:autoSpaceDE w:val="0"/>
              <w:autoSpaceDN w:val="0"/>
              <w:adjustRightInd w:val="0"/>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投标</w:t>
            </w:r>
            <w:bookmarkEnd w:id="1082"/>
            <w:r>
              <w:rPr>
                <w:rFonts w:hint="eastAsia" w:ascii="宋体" w:hAnsi="宋体" w:cs="宋体"/>
                <w:color w:val="auto"/>
                <w:sz w:val="24"/>
                <w:szCs w:val="24"/>
                <w:highlight w:val="none"/>
                <w:lang w:val="zh-CN"/>
              </w:rPr>
              <w:t>总报价（元）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09F01A7B">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大写：</w:t>
            </w:r>
          </w:p>
        </w:tc>
      </w:tr>
      <w:tr w14:paraId="7E16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14:paraId="148560F2">
            <w:pPr>
              <w:widowControl/>
              <w:jc w:val="left"/>
              <w:rPr>
                <w:rFonts w:ascii="宋体" w:hAnsi="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3E7E232F">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小写：</w:t>
            </w:r>
          </w:p>
        </w:tc>
      </w:tr>
      <w:tr w14:paraId="689A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14:paraId="10AE7B00">
            <w:pPr>
              <w:autoSpaceDE w:val="0"/>
              <w:autoSpaceDN w:val="0"/>
              <w:adjustRightInd w:val="0"/>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其中：</w:t>
            </w:r>
            <w:r>
              <w:rPr>
                <w:rFonts w:hint="eastAsia" w:ascii="宋体" w:hAnsi="宋体" w:cs="宋体"/>
                <w:bCs/>
                <w:color w:val="auto"/>
                <w:sz w:val="24"/>
                <w:szCs w:val="24"/>
                <w:highlight w:val="none"/>
                <w:lang w:val="zh-CN"/>
              </w:rPr>
              <w:t>人工费</w:t>
            </w:r>
            <w:r>
              <w:rPr>
                <w:rFonts w:hint="eastAsia" w:ascii="宋体" w:hAnsi="宋体" w:cs="宋体"/>
                <w:color w:val="auto"/>
                <w:sz w:val="24"/>
                <w:szCs w:val="24"/>
                <w:highlight w:val="none"/>
                <w:lang w:val="zh-CN"/>
              </w:rPr>
              <w:t>（元）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433C0EDE">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大写：</w:t>
            </w:r>
          </w:p>
        </w:tc>
      </w:tr>
      <w:tr w14:paraId="0D1E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14:paraId="66A30D02">
            <w:pPr>
              <w:widowControl/>
              <w:jc w:val="left"/>
              <w:rPr>
                <w:rFonts w:ascii="宋体" w:hAnsi="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5249483D">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小写：</w:t>
            </w:r>
          </w:p>
        </w:tc>
        <w:bookmarkStart w:id="1083" w:name="_Toc221951944"/>
      </w:tr>
      <w:tr w14:paraId="6AC8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vMerge w:val="restart"/>
            <w:tcBorders>
              <w:top w:val="single" w:color="auto" w:sz="4" w:space="0"/>
              <w:left w:val="single" w:color="auto" w:sz="4" w:space="0"/>
              <w:right w:val="single" w:color="auto" w:sz="4" w:space="0"/>
            </w:tcBorders>
            <w:noWrap w:val="0"/>
            <w:vAlign w:val="center"/>
          </w:tcPr>
          <w:p w14:paraId="5ACD2FA4">
            <w:pPr>
              <w:widowControl/>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其中</w:t>
            </w:r>
            <w:bookmarkEnd w:id="1083"/>
            <w:r>
              <w:rPr>
                <w:rFonts w:hint="eastAsia" w:ascii="宋体" w:hAnsi="宋体" w:cs="宋体"/>
                <w:bCs/>
                <w:color w:val="auto"/>
                <w:sz w:val="24"/>
                <w:szCs w:val="24"/>
                <w:highlight w:val="none"/>
                <w:lang w:val="zh-CN"/>
              </w:rPr>
              <w:t>：安全生产措施费（元）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0B53D8E2">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大写：</w:t>
            </w:r>
          </w:p>
        </w:tc>
      </w:tr>
      <w:tr w14:paraId="6827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3528" w:type="dxa"/>
            <w:vMerge w:val="continue"/>
            <w:tcBorders>
              <w:left w:val="single" w:color="auto" w:sz="4" w:space="0"/>
              <w:bottom w:val="single" w:color="auto" w:sz="4" w:space="0"/>
              <w:right w:val="single" w:color="auto" w:sz="4" w:space="0"/>
            </w:tcBorders>
            <w:noWrap w:val="0"/>
            <w:vAlign w:val="center"/>
          </w:tcPr>
          <w:p w14:paraId="48667984">
            <w:pPr>
              <w:widowControl/>
              <w:jc w:val="left"/>
              <w:rPr>
                <w:rFonts w:ascii="宋体" w:hAnsi="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37B1CC09">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小写：</w:t>
            </w:r>
          </w:p>
        </w:tc>
      </w:tr>
      <w:tr w14:paraId="7A66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3528" w:type="dxa"/>
            <w:vMerge w:val="restart"/>
            <w:tcBorders>
              <w:left w:val="single" w:color="auto" w:sz="4" w:space="0"/>
              <w:right w:val="single" w:color="auto" w:sz="4" w:space="0"/>
            </w:tcBorders>
            <w:noWrap w:val="0"/>
            <w:vAlign w:val="center"/>
          </w:tcPr>
          <w:p w14:paraId="52D10952">
            <w:pPr>
              <w:widowControl/>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其中：绿色</w:t>
            </w:r>
            <w:r>
              <w:rPr>
                <w:rFonts w:hint="eastAsia" w:ascii="宋体" w:hAnsi="宋体" w:cs="宋体"/>
                <w:bCs/>
                <w:color w:val="auto"/>
                <w:sz w:val="24"/>
                <w:szCs w:val="24"/>
                <w:highlight w:val="none"/>
                <w:lang w:val="zh-CN"/>
              </w:rPr>
              <w:t>施工</w:t>
            </w:r>
            <w:r>
              <w:rPr>
                <w:rFonts w:hint="eastAsia" w:ascii="宋体" w:hAnsi="宋体" w:cs="宋体"/>
                <w:color w:val="auto"/>
                <w:sz w:val="24"/>
                <w:szCs w:val="24"/>
                <w:highlight w:val="none"/>
                <w:lang w:val="zh-CN"/>
              </w:rPr>
              <w:t>安全防护措施费（元）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20EB1A17">
            <w:pPr>
              <w:autoSpaceDE w:val="0"/>
              <w:autoSpaceDN w:val="0"/>
              <w:adjustRightInd w:val="0"/>
              <w:rPr>
                <w:rFonts w:hint="eastAsia" w:ascii="宋体" w:hAnsi="宋体"/>
                <w:color w:val="auto"/>
                <w:sz w:val="24"/>
                <w:szCs w:val="24"/>
                <w:highlight w:val="none"/>
              </w:rPr>
            </w:pPr>
            <w:r>
              <w:rPr>
                <w:rFonts w:hint="eastAsia" w:ascii="宋体" w:hAnsi="宋体" w:cs="宋体"/>
                <w:color w:val="auto"/>
                <w:sz w:val="24"/>
                <w:szCs w:val="24"/>
                <w:highlight w:val="none"/>
              </w:rPr>
              <w:t>大写：</w:t>
            </w:r>
          </w:p>
        </w:tc>
      </w:tr>
      <w:tr w14:paraId="67E0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3528" w:type="dxa"/>
            <w:vMerge w:val="continue"/>
            <w:tcBorders>
              <w:left w:val="single" w:color="auto" w:sz="4" w:space="0"/>
              <w:bottom w:val="single" w:color="auto" w:sz="4" w:space="0"/>
              <w:right w:val="single" w:color="auto" w:sz="4" w:space="0"/>
            </w:tcBorders>
            <w:noWrap w:val="0"/>
            <w:vAlign w:val="center"/>
          </w:tcPr>
          <w:p w14:paraId="30F47B97">
            <w:pPr>
              <w:widowControl/>
              <w:jc w:val="center"/>
              <w:rPr>
                <w:rFonts w:ascii="宋体" w:hAnsi="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0762BDBE">
            <w:pPr>
              <w:autoSpaceDE w:val="0"/>
              <w:autoSpaceDN w:val="0"/>
              <w:adjustRightInd w:val="0"/>
              <w:rPr>
                <w:rFonts w:hint="eastAsia" w:ascii="宋体" w:hAnsi="宋体"/>
                <w:color w:val="auto"/>
                <w:sz w:val="24"/>
                <w:szCs w:val="24"/>
                <w:highlight w:val="none"/>
              </w:rPr>
            </w:pPr>
            <w:r>
              <w:rPr>
                <w:rFonts w:hint="eastAsia" w:ascii="宋体" w:hAnsi="宋体" w:cs="宋体"/>
                <w:color w:val="auto"/>
                <w:sz w:val="24"/>
                <w:szCs w:val="24"/>
                <w:highlight w:val="none"/>
              </w:rPr>
              <w:t>小写：</w:t>
            </w:r>
          </w:p>
        </w:tc>
      </w:tr>
      <w:tr w14:paraId="2F77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3528" w:type="dxa"/>
            <w:vMerge w:val="restart"/>
            <w:tcBorders>
              <w:left w:val="single" w:color="auto" w:sz="4" w:space="0"/>
              <w:right w:val="single" w:color="auto" w:sz="4" w:space="0"/>
            </w:tcBorders>
            <w:noWrap w:val="0"/>
            <w:vAlign w:val="center"/>
          </w:tcPr>
          <w:p w14:paraId="0E8AF0BB">
            <w:pPr>
              <w:widowControl/>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其中：暂列金额（元）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4C767348">
            <w:pPr>
              <w:autoSpaceDE w:val="0"/>
              <w:autoSpaceDN w:val="0"/>
              <w:adjustRightInd w:val="0"/>
              <w:rPr>
                <w:rFonts w:hint="eastAsia" w:ascii="宋体" w:hAnsi="宋体"/>
                <w:color w:val="auto"/>
                <w:sz w:val="24"/>
                <w:szCs w:val="24"/>
                <w:highlight w:val="none"/>
              </w:rPr>
            </w:pPr>
            <w:r>
              <w:rPr>
                <w:rFonts w:hint="eastAsia" w:ascii="宋体" w:hAnsi="宋体" w:cs="宋体"/>
                <w:color w:val="auto"/>
                <w:sz w:val="24"/>
                <w:szCs w:val="24"/>
                <w:highlight w:val="none"/>
              </w:rPr>
              <w:t>大写：</w:t>
            </w:r>
          </w:p>
        </w:tc>
      </w:tr>
      <w:tr w14:paraId="4071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3528" w:type="dxa"/>
            <w:vMerge w:val="continue"/>
            <w:tcBorders>
              <w:left w:val="single" w:color="auto" w:sz="4" w:space="0"/>
              <w:bottom w:val="single" w:color="auto" w:sz="4" w:space="0"/>
              <w:right w:val="single" w:color="auto" w:sz="4" w:space="0"/>
            </w:tcBorders>
            <w:noWrap w:val="0"/>
            <w:vAlign w:val="center"/>
          </w:tcPr>
          <w:p w14:paraId="085951C7">
            <w:pPr>
              <w:widowControl/>
              <w:jc w:val="left"/>
              <w:rPr>
                <w:rFonts w:ascii="宋体" w:hAnsi="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12F5669E">
            <w:pPr>
              <w:autoSpaceDE w:val="0"/>
              <w:autoSpaceDN w:val="0"/>
              <w:adjustRightInd w:val="0"/>
              <w:rPr>
                <w:rFonts w:hint="eastAsia" w:ascii="宋体" w:hAnsi="宋体"/>
                <w:color w:val="auto"/>
                <w:sz w:val="24"/>
                <w:szCs w:val="24"/>
                <w:highlight w:val="none"/>
              </w:rPr>
            </w:pPr>
            <w:r>
              <w:rPr>
                <w:rFonts w:hint="eastAsia" w:ascii="宋体" w:hAnsi="宋体" w:cs="宋体"/>
                <w:color w:val="auto"/>
                <w:sz w:val="24"/>
                <w:szCs w:val="24"/>
                <w:highlight w:val="none"/>
              </w:rPr>
              <w:t>小写：</w:t>
            </w:r>
          </w:p>
        </w:tc>
      </w:tr>
      <w:tr w14:paraId="3CF8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14:paraId="46D84E20">
            <w:pPr>
              <w:jc w:val="center"/>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投标总工期</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5E0FA2E0">
            <w:pPr>
              <w:autoSpaceDE w:val="0"/>
              <w:autoSpaceDN w:val="0"/>
              <w:adjustRightInd w:val="0"/>
              <w:jc w:val="center"/>
              <w:rPr>
                <w:rFonts w:hint="eastAsia" w:ascii="宋体" w:hAnsi="宋体" w:cs="宋体"/>
                <w:bCs/>
                <w:color w:val="auto"/>
                <w:sz w:val="24"/>
                <w:szCs w:val="24"/>
                <w:highlight w:val="none"/>
                <w:lang w:val="zh-CN"/>
              </w:rPr>
            </w:pPr>
            <w:r>
              <w:rPr>
                <w:rFonts w:hint="eastAsia" w:ascii="宋体" w:hAnsi="宋体"/>
                <w:color w:val="auto"/>
                <w:sz w:val="24"/>
                <w:szCs w:val="24"/>
                <w:highlight w:val="none"/>
              </w:rPr>
              <w:t>按照招标文件</w:t>
            </w:r>
            <w:bookmarkStart w:id="1084" w:name="_Toc221951946"/>
            <w:r>
              <w:rPr>
                <w:rFonts w:hint="eastAsia" w:ascii="宋体" w:hAnsi="宋体"/>
                <w:color w:val="auto"/>
                <w:sz w:val="24"/>
                <w:szCs w:val="24"/>
                <w:highlight w:val="none"/>
              </w:rPr>
              <w:t>要求</w:t>
            </w:r>
          </w:p>
        </w:tc>
      </w:tr>
      <w:tr w14:paraId="2993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14:paraId="5E57F6F0">
            <w:pPr>
              <w:jc w:val="center"/>
              <w:rPr>
                <w:rFonts w:ascii="宋体" w:hAnsi="宋体"/>
                <w:color w:val="auto"/>
                <w:sz w:val="24"/>
                <w:szCs w:val="24"/>
                <w:highlight w:val="none"/>
              </w:rPr>
            </w:pPr>
            <w:r>
              <w:rPr>
                <w:rFonts w:hint="eastAsia" w:ascii="宋体" w:hAnsi="宋体" w:cs="宋体"/>
                <w:color w:val="auto"/>
                <w:sz w:val="24"/>
                <w:szCs w:val="24"/>
                <w:highlight w:val="none"/>
                <w:lang w:val="zh-CN"/>
              </w:rPr>
              <w:t>工程质量要求</w:t>
            </w:r>
          </w:p>
        </w:tc>
        <w:tc>
          <w:tcPr>
            <w:tcW w:w="5851" w:type="dxa"/>
            <w:gridSpan w:val="2"/>
            <w:tcBorders>
              <w:top w:val="single" w:color="auto" w:sz="4" w:space="0"/>
              <w:left w:val="single" w:color="auto" w:sz="4" w:space="0"/>
              <w:bottom w:val="single" w:color="auto" w:sz="4" w:space="0"/>
              <w:right w:val="single" w:color="auto" w:sz="4" w:space="0"/>
            </w:tcBorders>
            <w:noWrap w:val="0"/>
            <w:vAlign w:val="top"/>
          </w:tcPr>
          <w:p w14:paraId="7A3FD250">
            <w:pPr>
              <w:autoSpaceDE w:val="0"/>
              <w:autoSpaceDN w:val="0"/>
              <w:adjustRightInd w:val="0"/>
              <w:rPr>
                <w:rFonts w:ascii="宋体" w:hAnsi="宋体" w:cs="宋体"/>
                <w:bCs/>
                <w:color w:val="auto"/>
                <w:sz w:val="24"/>
                <w:szCs w:val="24"/>
                <w:highlight w:val="none"/>
                <w:lang w:val="zh-CN"/>
              </w:rPr>
            </w:pPr>
          </w:p>
        </w:tc>
      </w:tr>
      <w:tr w14:paraId="5B7C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14:paraId="7A32A767">
            <w:pPr>
              <w:autoSpaceDE w:val="0"/>
              <w:autoSpaceDN w:val="0"/>
              <w:adjustRightInd w:val="0"/>
              <w:ind w:firstLine="950" w:firstLineChars="396"/>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保 修 期 限</w:t>
            </w:r>
          </w:p>
        </w:tc>
        <w:tc>
          <w:tcPr>
            <w:tcW w:w="5851" w:type="dxa"/>
            <w:gridSpan w:val="2"/>
            <w:tcBorders>
              <w:top w:val="single" w:color="auto" w:sz="4" w:space="0"/>
              <w:left w:val="single" w:color="auto" w:sz="4" w:space="0"/>
              <w:bottom w:val="single" w:color="auto" w:sz="4" w:space="0"/>
              <w:right w:val="single" w:color="auto" w:sz="4" w:space="0"/>
            </w:tcBorders>
            <w:noWrap w:val="0"/>
            <w:vAlign w:val="top"/>
          </w:tcPr>
          <w:p w14:paraId="5BE3E576">
            <w:pPr>
              <w:autoSpaceDE w:val="0"/>
              <w:autoSpaceDN w:val="0"/>
              <w:adjustRightInd w:val="0"/>
              <w:rPr>
                <w:rFonts w:ascii="宋体" w:hAnsi="宋体" w:cs="宋体"/>
                <w:bCs/>
                <w:color w:val="auto"/>
                <w:sz w:val="24"/>
                <w:szCs w:val="24"/>
                <w:highlight w:val="none"/>
                <w:lang w:val="zh-CN"/>
              </w:rPr>
            </w:pPr>
          </w:p>
        </w:tc>
      </w:tr>
      <w:tr w14:paraId="7053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14:paraId="116FD46C">
            <w:pPr>
              <w:autoSpaceDE w:val="0"/>
              <w:autoSpaceDN w:val="0"/>
              <w:adjustRightInd w:val="0"/>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委派的</w:t>
            </w:r>
            <w:bookmarkEnd w:id="1084"/>
            <w:r>
              <w:rPr>
                <w:rFonts w:hint="eastAsia" w:ascii="宋体" w:hAnsi="宋体" w:cs="宋体"/>
                <w:color w:val="auto"/>
                <w:sz w:val="24"/>
                <w:szCs w:val="24"/>
                <w:highlight w:val="none"/>
                <w:lang w:val="zh-CN"/>
              </w:rPr>
              <w:t>项目负</w:t>
            </w:r>
            <w:bookmarkStart w:id="1085" w:name="_Toc144974859"/>
            <w:bookmarkStart w:id="1086" w:name="_Toc168475917"/>
            <w:bookmarkStart w:id="1087" w:name="_Toc168476320"/>
            <w:bookmarkStart w:id="1088" w:name="_Toc221951947"/>
            <w:r>
              <w:rPr>
                <w:rFonts w:hint="eastAsia" w:ascii="宋体" w:hAnsi="宋体" w:cs="宋体"/>
                <w:color w:val="auto"/>
                <w:sz w:val="24"/>
                <w:szCs w:val="24"/>
                <w:highlight w:val="none"/>
                <w:lang w:val="zh-CN"/>
              </w:rPr>
              <w:t>责人</w:t>
            </w:r>
          </w:p>
        </w:tc>
        <w:tc>
          <w:tcPr>
            <w:tcW w:w="2028" w:type="dxa"/>
            <w:tcBorders>
              <w:top w:val="single" w:color="auto" w:sz="4" w:space="0"/>
              <w:left w:val="single" w:color="auto" w:sz="4" w:space="0"/>
              <w:bottom w:val="single" w:color="auto" w:sz="4" w:space="0"/>
              <w:right w:val="single" w:color="auto" w:sz="4" w:space="0"/>
            </w:tcBorders>
            <w:noWrap w:val="0"/>
            <w:vAlign w:val="center"/>
          </w:tcPr>
          <w:p w14:paraId="398C63C8">
            <w:pPr>
              <w:jc w:val="center"/>
              <w:rPr>
                <w:rFonts w:ascii="宋体" w:hAnsi="宋体"/>
                <w:color w:val="auto"/>
                <w:sz w:val="24"/>
                <w:szCs w:val="24"/>
                <w:highlight w:val="none"/>
              </w:rPr>
            </w:pPr>
            <w:r>
              <w:rPr>
                <w:rFonts w:hint="eastAsia" w:ascii="宋体" w:hAnsi="宋体"/>
                <w:color w:val="auto"/>
                <w:sz w:val="24"/>
                <w:szCs w:val="24"/>
                <w:highlight w:val="none"/>
              </w:rPr>
              <w:t>姓    名</w:t>
            </w:r>
          </w:p>
        </w:tc>
        <w:tc>
          <w:tcPr>
            <w:tcW w:w="3823" w:type="dxa"/>
            <w:tcBorders>
              <w:top w:val="single" w:color="auto" w:sz="4" w:space="0"/>
              <w:left w:val="single" w:color="auto" w:sz="4" w:space="0"/>
              <w:bottom w:val="single" w:color="auto" w:sz="4" w:space="0"/>
              <w:right w:val="single" w:color="auto" w:sz="4" w:space="0"/>
            </w:tcBorders>
            <w:noWrap w:val="0"/>
            <w:vAlign w:val="top"/>
          </w:tcPr>
          <w:p w14:paraId="0297DD8C">
            <w:pPr>
              <w:autoSpaceDE w:val="0"/>
              <w:autoSpaceDN w:val="0"/>
              <w:adjustRightInd w:val="0"/>
              <w:rPr>
                <w:rFonts w:ascii="宋体" w:hAnsi="宋体" w:cs="宋体"/>
                <w:b/>
                <w:bCs/>
                <w:color w:val="auto"/>
                <w:sz w:val="24"/>
                <w:szCs w:val="24"/>
                <w:highlight w:val="none"/>
                <w:lang w:val="zh-CN"/>
              </w:rPr>
            </w:pPr>
          </w:p>
        </w:tc>
      </w:tr>
      <w:tr w14:paraId="4501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14:paraId="6B3F1DC1">
            <w:pPr>
              <w:widowControl/>
              <w:jc w:val="left"/>
              <w:rPr>
                <w:rFonts w:ascii="宋体" w:hAnsi="宋体" w:cs="宋体"/>
                <w:bCs/>
                <w:color w:val="auto"/>
                <w:sz w:val="24"/>
                <w:szCs w:val="24"/>
                <w:highlight w:val="none"/>
                <w:lang w:val="zh-CN"/>
              </w:rPr>
            </w:pPr>
          </w:p>
        </w:tc>
        <w:tc>
          <w:tcPr>
            <w:tcW w:w="2028" w:type="dxa"/>
            <w:tcBorders>
              <w:top w:val="single" w:color="auto" w:sz="4" w:space="0"/>
              <w:left w:val="single" w:color="auto" w:sz="4" w:space="0"/>
              <w:bottom w:val="single" w:color="auto" w:sz="4" w:space="0"/>
              <w:right w:val="single" w:color="auto" w:sz="4" w:space="0"/>
            </w:tcBorders>
            <w:noWrap w:val="0"/>
            <w:vAlign w:val="center"/>
          </w:tcPr>
          <w:p w14:paraId="39E8536A">
            <w:pPr>
              <w:jc w:val="center"/>
              <w:rPr>
                <w:rFonts w:ascii="宋体" w:hAnsi="宋体"/>
                <w:color w:val="auto"/>
                <w:sz w:val="24"/>
                <w:szCs w:val="24"/>
                <w:highlight w:val="none"/>
              </w:rPr>
            </w:pPr>
            <w:r>
              <w:rPr>
                <w:rFonts w:hint="eastAsia" w:ascii="宋体" w:hAnsi="宋体"/>
                <w:color w:val="auto"/>
                <w:sz w:val="24"/>
                <w:szCs w:val="24"/>
                <w:highlight w:val="none"/>
              </w:rPr>
              <w:t>建造师的注册编号</w:t>
            </w:r>
          </w:p>
        </w:tc>
        <w:tc>
          <w:tcPr>
            <w:tcW w:w="3823" w:type="dxa"/>
            <w:tcBorders>
              <w:top w:val="single" w:color="auto" w:sz="4" w:space="0"/>
              <w:left w:val="single" w:color="auto" w:sz="4" w:space="0"/>
              <w:bottom w:val="single" w:color="auto" w:sz="4" w:space="0"/>
              <w:right w:val="single" w:color="auto" w:sz="4" w:space="0"/>
            </w:tcBorders>
            <w:noWrap w:val="0"/>
            <w:vAlign w:val="top"/>
          </w:tcPr>
          <w:p w14:paraId="7FE88887">
            <w:pPr>
              <w:autoSpaceDE w:val="0"/>
              <w:autoSpaceDN w:val="0"/>
              <w:adjustRightInd w:val="0"/>
              <w:rPr>
                <w:rFonts w:ascii="宋体" w:hAnsi="宋体" w:cs="宋体"/>
                <w:b/>
                <w:bCs/>
                <w:color w:val="auto"/>
                <w:sz w:val="24"/>
                <w:szCs w:val="24"/>
                <w:highlight w:val="none"/>
                <w:lang w:val="zh-CN"/>
              </w:rPr>
            </w:pPr>
          </w:p>
        </w:tc>
      </w:tr>
      <w:tr w14:paraId="415E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28" w:type="dxa"/>
            <w:vMerge w:val="restart"/>
            <w:tcBorders>
              <w:top w:val="single" w:color="auto" w:sz="4" w:space="0"/>
              <w:left w:val="single" w:color="auto" w:sz="4" w:space="0"/>
              <w:right w:val="single" w:color="auto" w:sz="4" w:space="0"/>
            </w:tcBorders>
            <w:noWrap w:val="0"/>
            <w:vAlign w:val="center"/>
          </w:tcPr>
          <w:p w14:paraId="41E5C781">
            <w:pPr>
              <w:autoSpaceDE w:val="0"/>
              <w:autoSpaceDN w:val="0"/>
              <w:adjustRightInd w:val="0"/>
              <w:ind w:firstLine="235" w:firstLineChars="98"/>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委派的专职安全员</w:t>
            </w:r>
          </w:p>
        </w:tc>
        <w:tc>
          <w:tcPr>
            <w:tcW w:w="2028" w:type="dxa"/>
            <w:tcBorders>
              <w:top w:val="single" w:color="auto" w:sz="4" w:space="0"/>
              <w:left w:val="single" w:color="auto" w:sz="4" w:space="0"/>
              <w:bottom w:val="single" w:color="auto" w:sz="4" w:space="0"/>
              <w:right w:val="single" w:color="auto" w:sz="4" w:space="0"/>
            </w:tcBorders>
            <w:noWrap w:val="0"/>
            <w:vAlign w:val="center"/>
          </w:tcPr>
          <w:p w14:paraId="571DA3FA">
            <w:pPr>
              <w:autoSpaceDE w:val="0"/>
              <w:autoSpaceDN w:val="0"/>
              <w:adjustRightInd w:val="0"/>
              <w:ind w:firstLine="353"/>
              <w:jc w:val="center"/>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姓   名</w:t>
            </w:r>
          </w:p>
        </w:tc>
        <w:tc>
          <w:tcPr>
            <w:tcW w:w="3823" w:type="dxa"/>
            <w:tcBorders>
              <w:top w:val="single" w:color="auto" w:sz="4" w:space="0"/>
              <w:left w:val="single" w:color="auto" w:sz="4" w:space="0"/>
              <w:bottom w:val="single" w:color="auto" w:sz="4" w:space="0"/>
              <w:right w:val="single" w:color="auto" w:sz="4" w:space="0"/>
            </w:tcBorders>
            <w:noWrap w:val="0"/>
            <w:vAlign w:val="top"/>
          </w:tcPr>
          <w:p w14:paraId="1FFE4B9F">
            <w:pPr>
              <w:autoSpaceDE w:val="0"/>
              <w:autoSpaceDN w:val="0"/>
              <w:adjustRightInd w:val="0"/>
              <w:rPr>
                <w:rFonts w:ascii="宋体" w:hAnsi="宋体" w:cs="宋体"/>
                <w:b/>
                <w:bCs/>
                <w:color w:val="auto"/>
                <w:sz w:val="24"/>
                <w:szCs w:val="24"/>
                <w:highlight w:val="none"/>
                <w:lang w:val="zh-CN"/>
              </w:rPr>
            </w:pPr>
          </w:p>
        </w:tc>
      </w:tr>
      <w:tr w14:paraId="5E62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28" w:type="dxa"/>
            <w:vMerge w:val="continue"/>
            <w:tcBorders>
              <w:left w:val="single" w:color="auto" w:sz="4" w:space="0"/>
              <w:bottom w:val="single" w:color="auto" w:sz="4" w:space="0"/>
              <w:right w:val="single" w:color="auto" w:sz="4" w:space="0"/>
            </w:tcBorders>
            <w:noWrap w:val="0"/>
            <w:vAlign w:val="center"/>
          </w:tcPr>
          <w:p w14:paraId="17CA858D">
            <w:pPr>
              <w:autoSpaceDE w:val="0"/>
              <w:autoSpaceDN w:val="0"/>
              <w:adjustRightInd w:val="0"/>
              <w:ind w:firstLine="235" w:firstLineChars="98"/>
              <w:rPr>
                <w:rFonts w:ascii="宋体" w:hAnsi="宋体" w:cs="宋体"/>
                <w:bCs/>
                <w:color w:val="auto"/>
                <w:sz w:val="24"/>
                <w:szCs w:val="24"/>
                <w:highlight w:val="none"/>
                <w:lang w:val="zh-CN"/>
              </w:rPr>
            </w:pPr>
          </w:p>
        </w:tc>
        <w:tc>
          <w:tcPr>
            <w:tcW w:w="2028" w:type="dxa"/>
            <w:tcBorders>
              <w:top w:val="single" w:color="auto" w:sz="4" w:space="0"/>
              <w:left w:val="single" w:color="auto" w:sz="4" w:space="0"/>
              <w:bottom w:val="single" w:color="auto" w:sz="4" w:space="0"/>
              <w:right w:val="single" w:color="auto" w:sz="4" w:space="0"/>
            </w:tcBorders>
            <w:noWrap w:val="0"/>
            <w:vAlign w:val="center"/>
          </w:tcPr>
          <w:p w14:paraId="183F2C4C">
            <w:pPr>
              <w:autoSpaceDE w:val="0"/>
              <w:autoSpaceDN w:val="0"/>
              <w:adjustRightInd w:val="0"/>
              <w:ind w:firstLine="353"/>
              <w:jc w:val="center"/>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安全生产考核合格证（C类）编号</w:t>
            </w:r>
          </w:p>
        </w:tc>
        <w:tc>
          <w:tcPr>
            <w:tcW w:w="3823" w:type="dxa"/>
            <w:tcBorders>
              <w:top w:val="single" w:color="auto" w:sz="4" w:space="0"/>
              <w:left w:val="single" w:color="auto" w:sz="4" w:space="0"/>
              <w:bottom w:val="single" w:color="auto" w:sz="4" w:space="0"/>
              <w:right w:val="single" w:color="auto" w:sz="4" w:space="0"/>
            </w:tcBorders>
            <w:noWrap w:val="0"/>
            <w:vAlign w:val="top"/>
          </w:tcPr>
          <w:p w14:paraId="078DF850">
            <w:pPr>
              <w:autoSpaceDE w:val="0"/>
              <w:autoSpaceDN w:val="0"/>
              <w:adjustRightInd w:val="0"/>
              <w:rPr>
                <w:rFonts w:ascii="宋体" w:hAnsi="宋体" w:cs="宋体"/>
                <w:b/>
                <w:bCs/>
                <w:color w:val="auto"/>
                <w:sz w:val="24"/>
                <w:szCs w:val="24"/>
                <w:highlight w:val="none"/>
                <w:lang w:val="zh-CN"/>
              </w:rPr>
            </w:pPr>
          </w:p>
        </w:tc>
      </w:tr>
    </w:tbl>
    <w:p w14:paraId="151FCC39">
      <w:pPr>
        <w:spacing w:line="400" w:lineRule="exact"/>
        <w:jc w:val="center"/>
        <w:rPr>
          <w:rFonts w:eastAsia="黑体"/>
          <w:color w:val="auto"/>
          <w:sz w:val="19"/>
          <w:szCs w:val="19"/>
          <w:highlight w:val="none"/>
        </w:rPr>
      </w:pPr>
      <w:r>
        <w:rPr>
          <w:rFonts w:hint="eastAsia" w:ascii="宋体" w:hAnsi="宋体" w:cs="宋体"/>
          <w:color w:val="auto"/>
          <w:szCs w:val="21"/>
          <w:highlight w:val="none"/>
          <w:lang w:val="zh-CN"/>
        </w:rPr>
        <w:t>注：本表所报委派的项目负责人、</w:t>
      </w:r>
      <w:r>
        <w:rPr>
          <w:rFonts w:hint="eastAsia" w:ascii="宋体" w:hAnsi="宋体" w:cs="宋体"/>
          <w:color w:val="auto"/>
          <w:szCs w:val="21"/>
          <w:highlight w:val="none"/>
        </w:rPr>
        <w:t>专职</w:t>
      </w:r>
      <w:r>
        <w:rPr>
          <w:rFonts w:hint="eastAsia" w:ascii="宋体" w:hAnsi="宋体" w:cs="宋体"/>
          <w:color w:val="auto"/>
          <w:szCs w:val="21"/>
          <w:highlight w:val="none"/>
          <w:lang w:val="zh-CN"/>
        </w:rPr>
        <w:t>安全员的姓名及相关资料，须与本企业在广州交易集团有限公司（广州公共资源交易中心）交易信息登记平台一致。</w:t>
      </w:r>
      <w:r>
        <w:rPr>
          <w:rFonts w:ascii="宋体" w:hAnsi="宋体" w:cs="宋体"/>
          <w:color w:val="auto"/>
          <w:szCs w:val="21"/>
          <w:highlight w:val="none"/>
          <w:lang w:val="zh-CN"/>
        </w:rPr>
        <w:br w:type="page"/>
      </w:r>
      <w:bookmarkEnd w:id="1085"/>
      <w:bookmarkEnd w:id="1086"/>
      <w:bookmarkEnd w:id="1087"/>
      <w:bookmarkEnd w:id="1088"/>
    </w:p>
    <w:p w14:paraId="73CFF5B9">
      <w:pPr>
        <w:spacing w:line="360" w:lineRule="auto"/>
        <w:jc w:val="center"/>
        <w:outlineLvl w:val="2"/>
        <w:rPr>
          <w:rFonts w:ascii="黑体" w:hAnsi="黑体" w:eastAsia="黑体"/>
          <w:color w:val="auto"/>
          <w:sz w:val="28"/>
          <w:szCs w:val="27"/>
          <w:highlight w:val="none"/>
        </w:rPr>
      </w:pPr>
      <w:bookmarkStart w:id="1089" w:name="_Toc21787762"/>
      <w:bookmarkStart w:id="1090" w:name="_Toc10858"/>
      <w:bookmarkStart w:id="1091" w:name="_Toc180758599"/>
      <w:r>
        <w:rPr>
          <w:rFonts w:ascii="黑体" w:hAnsi="黑体" w:eastAsia="黑体"/>
          <w:color w:val="auto"/>
          <w:sz w:val="28"/>
          <w:szCs w:val="27"/>
          <w:highlight w:val="none"/>
        </w:rPr>
        <w:t>二、法定代表人身份证明</w:t>
      </w:r>
      <w:bookmarkEnd w:id="1089"/>
      <w:bookmarkEnd w:id="1090"/>
      <w:bookmarkEnd w:id="1091"/>
    </w:p>
    <w:p w14:paraId="648F7F29">
      <w:pPr>
        <w:spacing w:line="400" w:lineRule="exact"/>
        <w:rPr>
          <w:color w:val="auto"/>
          <w:sz w:val="19"/>
          <w:szCs w:val="19"/>
          <w:highlight w:val="none"/>
        </w:rPr>
      </w:pPr>
    </w:p>
    <w:p w14:paraId="433FCDC2">
      <w:pPr>
        <w:spacing w:line="400" w:lineRule="exact"/>
        <w:rPr>
          <w:rFonts w:ascii="宋体" w:hAnsi="宋体"/>
          <w:color w:val="auto"/>
          <w:szCs w:val="21"/>
          <w:highlight w:val="none"/>
        </w:rPr>
      </w:pPr>
    </w:p>
    <w:p w14:paraId="6A2DD0E0">
      <w:pPr>
        <w:spacing w:line="400" w:lineRule="exact"/>
        <w:rPr>
          <w:rFonts w:ascii="宋体" w:hAnsi="宋体"/>
          <w:color w:val="auto"/>
          <w:szCs w:val="21"/>
          <w:highlight w:val="none"/>
        </w:rPr>
      </w:pPr>
      <w:r>
        <w:rPr>
          <w:rFonts w:ascii="宋体" w:hAnsi="宋体"/>
          <w:color w:val="auto"/>
          <w:szCs w:val="21"/>
          <w:highlight w:val="none"/>
        </w:rPr>
        <w:t>投标人名称：</w:t>
      </w:r>
      <w:r>
        <w:rPr>
          <w:rFonts w:ascii="宋体" w:hAnsi="宋体"/>
          <w:color w:val="auto"/>
          <w:szCs w:val="21"/>
          <w:highlight w:val="none"/>
          <w:u w:val="single"/>
        </w:rPr>
        <w:t xml:space="preserve">                            </w:t>
      </w:r>
      <w:r>
        <w:rPr>
          <w:rFonts w:ascii="宋体" w:hAnsi="宋体"/>
          <w:color w:val="auto"/>
          <w:szCs w:val="21"/>
          <w:highlight w:val="none"/>
        </w:rPr>
        <w:t xml:space="preserve"> </w:t>
      </w:r>
    </w:p>
    <w:p w14:paraId="04BA741A">
      <w:pPr>
        <w:spacing w:line="400" w:lineRule="exact"/>
        <w:rPr>
          <w:rFonts w:ascii="宋体" w:hAnsi="宋体"/>
          <w:color w:val="auto"/>
          <w:szCs w:val="21"/>
          <w:highlight w:val="none"/>
        </w:rPr>
      </w:pPr>
      <w:r>
        <w:rPr>
          <w:rFonts w:ascii="宋体" w:hAnsi="宋体"/>
          <w:color w:val="auto"/>
          <w:szCs w:val="21"/>
          <w:highlight w:val="none"/>
        </w:rPr>
        <w:t>单位性质：</w:t>
      </w:r>
      <w:r>
        <w:rPr>
          <w:rFonts w:ascii="宋体" w:hAnsi="宋体"/>
          <w:color w:val="auto"/>
          <w:szCs w:val="21"/>
          <w:highlight w:val="none"/>
          <w:u w:val="single"/>
        </w:rPr>
        <w:t xml:space="preserve">                               </w:t>
      </w:r>
      <w:r>
        <w:rPr>
          <w:rFonts w:ascii="宋体" w:hAnsi="宋体"/>
          <w:color w:val="auto"/>
          <w:szCs w:val="21"/>
          <w:highlight w:val="none"/>
        </w:rPr>
        <w:t xml:space="preserve"> </w:t>
      </w:r>
    </w:p>
    <w:p w14:paraId="611491FA">
      <w:pPr>
        <w:spacing w:line="400" w:lineRule="exact"/>
        <w:rPr>
          <w:rFonts w:ascii="宋体" w:hAnsi="宋体"/>
          <w:color w:val="auto"/>
          <w:szCs w:val="21"/>
          <w:highlight w:val="none"/>
        </w:rPr>
      </w:pPr>
      <w:r>
        <w:rPr>
          <w:rFonts w:ascii="宋体" w:hAnsi="宋体"/>
          <w:color w:val="auto"/>
          <w:szCs w:val="21"/>
          <w:highlight w:val="none"/>
        </w:rPr>
        <w:t>地址：</w:t>
      </w:r>
      <w:r>
        <w:rPr>
          <w:rFonts w:ascii="宋体" w:hAnsi="宋体"/>
          <w:color w:val="auto"/>
          <w:szCs w:val="21"/>
          <w:highlight w:val="none"/>
          <w:u w:val="single"/>
        </w:rPr>
        <w:t xml:space="preserve">                                   </w:t>
      </w:r>
    </w:p>
    <w:p w14:paraId="21D9292D">
      <w:pPr>
        <w:spacing w:line="400" w:lineRule="exact"/>
        <w:rPr>
          <w:rFonts w:ascii="宋体" w:hAnsi="宋体"/>
          <w:color w:val="auto"/>
          <w:szCs w:val="21"/>
          <w:highlight w:val="none"/>
        </w:rPr>
      </w:pPr>
      <w:r>
        <w:rPr>
          <w:rFonts w:ascii="宋体" w:hAnsi="宋体"/>
          <w:color w:val="auto"/>
          <w:szCs w:val="21"/>
          <w:highlight w:val="none"/>
        </w:rPr>
        <w:t>成立时间：</w:t>
      </w:r>
      <w:r>
        <w:rPr>
          <w:rFonts w:ascii="宋体" w:hAnsi="宋体"/>
          <w:color w:val="auto"/>
          <w:szCs w:val="21"/>
          <w:highlight w:val="none"/>
          <w:u w:val="single"/>
        </w:rPr>
        <w:t xml:space="preserve">         </w:t>
      </w:r>
      <w:r>
        <w:rPr>
          <w:rFonts w:ascii="宋体" w:hAnsi="宋体"/>
          <w:color w:val="auto"/>
          <w:szCs w:val="21"/>
          <w:highlight w:val="none"/>
        </w:rPr>
        <w:t xml:space="preserve"> 年</w:t>
      </w:r>
      <w:r>
        <w:rPr>
          <w:rFonts w:ascii="宋体" w:hAnsi="宋体"/>
          <w:color w:val="auto"/>
          <w:szCs w:val="21"/>
          <w:highlight w:val="none"/>
          <w:u w:val="single"/>
        </w:rPr>
        <w:t xml:space="preserve">       </w:t>
      </w:r>
      <w:r>
        <w:rPr>
          <w:rFonts w:ascii="宋体" w:hAnsi="宋体"/>
          <w:color w:val="auto"/>
          <w:szCs w:val="21"/>
          <w:highlight w:val="none"/>
        </w:rPr>
        <w:t xml:space="preserve"> 月</w:t>
      </w:r>
      <w:r>
        <w:rPr>
          <w:rFonts w:ascii="宋体" w:hAnsi="宋体"/>
          <w:color w:val="auto"/>
          <w:szCs w:val="21"/>
          <w:highlight w:val="none"/>
          <w:u w:val="single"/>
        </w:rPr>
        <w:t xml:space="preserve">       </w:t>
      </w:r>
      <w:r>
        <w:rPr>
          <w:rFonts w:ascii="宋体" w:hAnsi="宋体"/>
          <w:color w:val="auto"/>
          <w:szCs w:val="21"/>
          <w:highlight w:val="none"/>
        </w:rPr>
        <w:t xml:space="preserve"> 日</w:t>
      </w:r>
    </w:p>
    <w:p w14:paraId="64515C82">
      <w:pPr>
        <w:spacing w:line="400" w:lineRule="exact"/>
        <w:rPr>
          <w:rFonts w:ascii="宋体" w:hAnsi="宋体"/>
          <w:color w:val="auto"/>
          <w:szCs w:val="21"/>
          <w:highlight w:val="none"/>
        </w:rPr>
      </w:pPr>
      <w:r>
        <w:rPr>
          <w:rFonts w:ascii="宋体" w:hAnsi="宋体"/>
          <w:color w:val="auto"/>
          <w:szCs w:val="21"/>
          <w:highlight w:val="none"/>
        </w:rPr>
        <w:t>经营期限：</w:t>
      </w:r>
      <w:r>
        <w:rPr>
          <w:rFonts w:ascii="宋体" w:hAnsi="宋体"/>
          <w:color w:val="auto"/>
          <w:szCs w:val="21"/>
          <w:highlight w:val="none"/>
          <w:u w:val="single"/>
        </w:rPr>
        <w:t xml:space="preserve">                               </w:t>
      </w:r>
    </w:p>
    <w:p w14:paraId="548783E9">
      <w:pPr>
        <w:spacing w:line="400" w:lineRule="exact"/>
        <w:rPr>
          <w:rFonts w:ascii="宋体" w:hAnsi="宋体"/>
          <w:color w:val="auto"/>
          <w:szCs w:val="21"/>
          <w:highlight w:val="none"/>
        </w:rPr>
      </w:pPr>
      <w:r>
        <w:rPr>
          <w:rFonts w:ascii="宋体" w:hAnsi="宋体"/>
          <w:color w:val="auto"/>
          <w:szCs w:val="21"/>
          <w:highlight w:val="none"/>
        </w:rPr>
        <w:t>姓名：</w:t>
      </w:r>
      <w:r>
        <w:rPr>
          <w:rFonts w:ascii="宋体" w:hAnsi="宋体"/>
          <w:color w:val="auto"/>
          <w:szCs w:val="21"/>
          <w:highlight w:val="none"/>
          <w:u w:val="single"/>
        </w:rPr>
        <w:t xml:space="preserve">        </w:t>
      </w:r>
      <w:r>
        <w:rPr>
          <w:rFonts w:ascii="宋体" w:hAnsi="宋体"/>
          <w:color w:val="auto"/>
          <w:szCs w:val="21"/>
          <w:highlight w:val="none"/>
        </w:rPr>
        <w:t xml:space="preserve"> 性别：</w:t>
      </w:r>
      <w:r>
        <w:rPr>
          <w:rFonts w:ascii="宋体" w:hAnsi="宋体"/>
          <w:color w:val="auto"/>
          <w:szCs w:val="21"/>
          <w:highlight w:val="none"/>
          <w:u w:val="single"/>
        </w:rPr>
        <w:t xml:space="preserve">         </w:t>
      </w:r>
      <w:r>
        <w:rPr>
          <w:rFonts w:ascii="宋体" w:hAnsi="宋体"/>
          <w:color w:val="auto"/>
          <w:szCs w:val="21"/>
          <w:highlight w:val="none"/>
        </w:rPr>
        <w:t xml:space="preserve"> 年龄：</w:t>
      </w:r>
      <w:r>
        <w:rPr>
          <w:rFonts w:ascii="宋体" w:hAnsi="宋体"/>
          <w:color w:val="auto"/>
          <w:szCs w:val="21"/>
          <w:highlight w:val="none"/>
          <w:u w:val="single"/>
        </w:rPr>
        <w:t xml:space="preserve">        </w:t>
      </w:r>
      <w:r>
        <w:rPr>
          <w:rFonts w:hint="eastAsia" w:ascii="宋体" w:hAnsi="宋体"/>
          <w:color w:val="auto"/>
          <w:szCs w:val="21"/>
          <w:highlight w:val="none"/>
        </w:rPr>
        <w:t>身份证号码：</w:t>
      </w:r>
      <w:r>
        <w:rPr>
          <w:rFonts w:hint="eastAsia" w:ascii="宋体" w:hAnsi="宋体"/>
          <w:color w:val="auto"/>
          <w:szCs w:val="21"/>
          <w:highlight w:val="none"/>
          <w:u w:val="single"/>
        </w:rPr>
        <w:t xml:space="preserve">                    </w:t>
      </w:r>
      <w:r>
        <w:rPr>
          <w:rFonts w:ascii="宋体" w:hAnsi="宋体"/>
          <w:color w:val="auto"/>
          <w:szCs w:val="21"/>
          <w:highlight w:val="none"/>
        </w:rPr>
        <w:t>职务：</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系</w:t>
      </w:r>
      <w:r>
        <w:rPr>
          <w:rFonts w:ascii="宋体" w:hAnsi="宋体"/>
          <w:color w:val="auto"/>
          <w:szCs w:val="21"/>
          <w:highlight w:val="none"/>
          <w:u w:val="single"/>
        </w:rPr>
        <w:t xml:space="preserve">                 </w:t>
      </w:r>
      <w:r>
        <w:rPr>
          <w:rFonts w:ascii="宋体" w:hAnsi="宋体"/>
          <w:color w:val="auto"/>
          <w:szCs w:val="21"/>
          <w:highlight w:val="none"/>
        </w:rPr>
        <w:t xml:space="preserve"> (投标人名称)的法定代表人。</w:t>
      </w:r>
    </w:p>
    <w:p w14:paraId="21A9017B">
      <w:pPr>
        <w:spacing w:line="400" w:lineRule="exact"/>
        <w:ind w:firstLine="420" w:firstLineChars="200"/>
        <w:rPr>
          <w:rFonts w:ascii="宋体" w:hAnsi="宋体"/>
          <w:color w:val="auto"/>
          <w:szCs w:val="21"/>
          <w:highlight w:val="none"/>
        </w:rPr>
      </w:pPr>
      <w:r>
        <w:rPr>
          <w:rFonts w:ascii="宋体" w:hAnsi="宋体"/>
          <w:color w:val="auto"/>
          <w:szCs w:val="21"/>
          <w:highlight w:val="none"/>
        </w:rPr>
        <w:t>特此证明。</w:t>
      </w:r>
    </w:p>
    <w:p w14:paraId="280BE403">
      <w:pPr>
        <w:spacing w:line="400" w:lineRule="exact"/>
        <w:rPr>
          <w:rFonts w:ascii="宋体" w:hAnsi="宋体"/>
          <w:color w:val="auto"/>
          <w:szCs w:val="21"/>
          <w:highlight w:val="none"/>
        </w:rPr>
      </w:pPr>
    </w:p>
    <w:p w14:paraId="764F41DB">
      <w:pPr>
        <w:spacing w:line="400" w:lineRule="exact"/>
        <w:rPr>
          <w:rFonts w:ascii="宋体" w:hAnsi="宋体"/>
          <w:color w:val="auto"/>
          <w:szCs w:val="21"/>
          <w:highlight w:val="none"/>
        </w:rPr>
      </w:pPr>
      <w:r>
        <w:rPr>
          <w:rFonts w:hint="eastAsia" w:ascii="宋体" w:hAnsi="宋体"/>
          <w:color w:val="auto"/>
          <w:szCs w:val="21"/>
          <w:highlight w:val="none"/>
        </w:rPr>
        <w:t>附：法定代表人身份证正反面扫描件。</w:t>
      </w:r>
    </w:p>
    <w:p w14:paraId="0A55BFFB">
      <w:pPr>
        <w:spacing w:line="400" w:lineRule="exact"/>
        <w:rPr>
          <w:rFonts w:ascii="宋体" w:hAnsi="宋体"/>
          <w:color w:val="auto"/>
          <w:szCs w:val="21"/>
          <w:highlight w:val="none"/>
        </w:rPr>
      </w:pPr>
    </w:p>
    <w:p w14:paraId="4A13D211">
      <w:pPr>
        <w:spacing w:line="400" w:lineRule="exact"/>
        <w:rPr>
          <w:rFonts w:ascii="宋体" w:hAnsi="宋体"/>
          <w:color w:val="auto"/>
          <w:szCs w:val="21"/>
          <w:highlight w:val="none"/>
        </w:rPr>
      </w:pPr>
    </w:p>
    <w:p w14:paraId="0E4125C3">
      <w:pPr>
        <w:spacing w:line="400" w:lineRule="exact"/>
        <w:jc w:val="right"/>
        <w:rPr>
          <w:rFonts w:ascii="宋体" w:hAnsi="宋体"/>
          <w:color w:val="auto"/>
          <w:szCs w:val="21"/>
          <w:highlight w:val="none"/>
        </w:rPr>
      </w:pPr>
      <w:r>
        <w:rPr>
          <w:rFonts w:ascii="宋体" w:hAnsi="宋体"/>
          <w:color w:val="auto"/>
          <w:szCs w:val="21"/>
          <w:highlight w:val="none"/>
        </w:rPr>
        <w:t>投标人：</w:t>
      </w:r>
      <w:r>
        <w:rPr>
          <w:rFonts w:ascii="宋体" w:hAnsi="宋体"/>
          <w:color w:val="auto"/>
          <w:szCs w:val="21"/>
          <w:highlight w:val="none"/>
          <w:u w:val="single"/>
        </w:rPr>
        <w:t xml:space="preserve">                 </w:t>
      </w:r>
      <w:r>
        <w:rPr>
          <w:rFonts w:ascii="宋体" w:hAnsi="宋体"/>
          <w:color w:val="auto"/>
          <w:szCs w:val="21"/>
          <w:highlight w:val="none"/>
        </w:rPr>
        <w:t>（盖单位章）</w:t>
      </w:r>
    </w:p>
    <w:p w14:paraId="304C54F9">
      <w:pPr>
        <w:spacing w:line="400" w:lineRule="exact"/>
        <w:jc w:val="right"/>
        <w:rPr>
          <w:rFonts w:ascii="宋体" w:hAnsi="宋体"/>
          <w:color w:val="auto"/>
          <w:szCs w:val="21"/>
          <w:highlight w:val="none"/>
        </w:rPr>
      </w:pPr>
    </w:p>
    <w:p w14:paraId="429DDFEC">
      <w:pPr>
        <w:spacing w:line="400" w:lineRule="exact"/>
        <w:jc w:val="right"/>
        <w:rPr>
          <w:rFonts w:ascii="宋体" w:hAnsi="宋体"/>
          <w:color w:val="auto"/>
          <w:szCs w:val="21"/>
          <w:highlight w:val="none"/>
        </w:rPr>
      </w:pPr>
      <w:r>
        <w:rPr>
          <w:rFonts w:ascii="宋体" w:hAnsi="宋体"/>
          <w:color w:val="auto"/>
          <w:szCs w:val="21"/>
          <w:highlight w:val="none"/>
          <w:u w:val="single"/>
        </w:rPr>
        <w:t xml:space="preserve">         </w:t>
      </w:r>
      <w:r>
        <w:rPr>
          <w:rFonts w:ascii="宋体" w:hAnsi="宋体"/>
          <w:color w:val="auto"/>
          <w:szCs w:val="21"/>
          <w:highlight w:val="none"/>
        </w:rPr>
        <w:t>年</w:t>
      </w:r>
      <w:r>
        <w:rPr>
          <w:rFonts w:ascii="宋体" w:hAnsi="宋体"/>
          <w:color w:val="auto"/>
          <w:szCs w:val="21"/>
          <w:highlight w:val="none"/>
          <w:u w:val="single"/>
        </w:rPr>
        <w:t xml:space="preserve">      </w:t>
      </w:r>
      <w:r>
        <w:rPr>
          <w:rFonts w:ascii="宋体" w:hAnsi="宋体"/>
          <w:color w:val="auto"/>
          <w:szCs w:val="21"/>
          <w:highlight w:val="none"/>
        </w:rPr>
        <w:t>月</w:t>
      </w:r>
      <w:r>
        <w:rPr>
          <w:rFonts w:ascii="宋体" w:hAnsi="宋体"/>
          <w:color w:val="auto"/>
          <w:szCs w:val="21"/>
          <w:highlight w:val="none"/>
          <w:u w:val="single"/>
        </w:rPr>
        <w:t xml:space="preserve">   </w:t>
      </w:r>
      <w:r>
        <w:rPr>
          <w:rFonts w:ascii="宋体" w:hAnsi="宋体"/>
          <w:color w:val="auto"/>
          <w:szCs w:val="21"/>
          <w:highlight w:val="none"/>
        </w:rPr>
        <w:t xml:space="preserve"> 日 </w:t>
      </w:r>
      <w:bookmarkStart w:id="1092" w:name="_Toc221952017"/>
    </w:p>
    <w:p w14:paraId="23B649CE">
      <w:pPr>
        <w:spacing w:line="400" w:lineRule="exact"/>
        <w:jc w:val="center"/>
        <w:rPr>
          <w:rFonts w:eastAsia="黑体"/>
          <w:color w:val="auto"/>
          <w:sz w:val="19"/>
          <w:szCs w:val="19"/>
          <w:highlight w:val="none"/>
        </w:rPr>
      </w:pPr>
      <w:r>
        <w:rPr>
          <w:rFonts w:ascii="宋体" w:hAnsi="宋体"/>
          <w:color w:val="auto"/>
          <w:szCs w:val="21"/>
          <w:highlight w:val="none"/>
        </w:rPr>
        <w:br w:type="page"/>
      </w:r>
    </w:p>
    <w:p w14:paraId="54FD14E4">
      <w:pPr>
        <w:spacing w:line="360" w:lineRule="auto"/>
        <w:jc w:val="center"/>
        <w:outlineLvl w:val="2"/>
        <w:rPr>
          <w:rFonts w:ascii="黑体" w:hAnsi="黑体" w:eastAsia="黑体"/>
          <w:color w:val="auto"/>
          <w:sz w:val="28"/>
          <w:szCs w:val="27"/>
          <w:highlight w:val="none"/>
        </w:rPr>
      </w:pPr>
      <w:bookmarkStart w:id="1093" w:name="_Toc21787763"/>
      <w:bookmarkStart w:id="1094" w:name="_Toc180758600"/>
      <w:bookmarkStart w:id="1095" w:name="_Toc11232"/>
      <w:r>
        <w:rPr>
          <w:rFonts w:hint="eastAsia" w:ascii="黑体" w:hAnsi="黑体" w:eastAsia="黑体"/>
          <w:color w:val="auto"/>
          <w:sz w:val="28"/>
          <w:szCs w:val="27"/>
          <w:highlight w:val="none"/>
        </w:rPr>
        <w:t>三</w:t>
      </w:r>
      <w:r>
        <w:rPr>
          <w:rFonts w:ascii="黑体" w:hAnsi="黑体" w:eastAsia="黑体"/>
          <w:color w:val="auto"/>
          <w:sz w:val="28"/>
          <w:szCs w:val="27"/>
          <w:highlight w:val="none"/>
        </w:rPr>
        <w:t>、授权委托书</w:t>
      </w:r>
      <w:bookmarkEnd w:id="1093"/>
      <w:bookmarkEnd w:id="1094"/>
      <w:bookmarkEnd w:id="1095"/>
    </w:p>
    <w:p w14:paraId="179E9AFF">
      <w:pPr>
        <w:spacing w:line="400" w:lineRule="exact"/>
        <w:rPr>
          <w:rFonts w:eastAsia="黑体"/>
          <w:color w:val="auto"/>
          <w:sz w:val="20"/>
          <w:szCs w:val="20"/>
          <w:highlight w:val="none"/>
        </w:rPr>
      </w:pPr>
    </w:p>
    <w:p w14:paraId="1E75A968">
      <w:pPr>
        <w:topLinePunct/>
        <w:spacing w:line="400" w:lineRule="exact"/>
        <w:ind w:firstLine="420" w:firstLineChars="200"/>
        <w:rPr>
          <w:color w:val="auto"/>
          <w:szCs w:val="21"/>
          <w:highlight w:val="none"/>
        </w:rPr>
      </w:pPr>
      <w:r>
        <w:rPr>
          <w:color w:val="auto"/>
          <w:szCs w:val="21"/>
          <w:highlight w:val="none"/>
        </w:rPr>
        <w:t>本人</w:t>
      </w:r>
      <w:r>
        <w:rPr>
          <w:color w:val="auto"/>
          <w:szCs w:val="21"/>
          <w:highlight w:val="none"/>
          <w:u w:val="single"/>
        </w:rPr>
        <w:t xml:space="preserve">       </w:t>
      </w:r>
      <w:r>
        <w:rPr>
          <w:color w:val="auto"/>
          <w:szCs w:val="21"/>
          <w:highlight w:val="none"/>
        </w:rPr>
        <w:t>（姓名）系</w:t>
      </w:r>
      <w:r>
        <w:rPr>
          <w:color w:val="auto"/>
          <w:szCs w:val="21"/>
          <w:highlight w:val="none"/>
          <w:u w:val="single"/>
        </w:rPr>
        <w:t xml:space="preserve">        </w:t>
      </w:r>
      <w:r>
        <w:rPr>
          <w:color w:val="auto"/>
          <w:szCs w:val="21"/>
          <w:highlight w:val="none"/>
        </w:rPr>
        <w:t>（投标人名称）的法定代表人，现委托</w:t>
      </w:r>
      <w:r>
        <w:rPr>
          <w:color w:val="auto"/>
          <w:szCs w:val="21"/>
          <w:highlight w:val="none"/>
          <w:u w:val="single"/>
        </w:rPr>
        <w:t xml:space="preserve">        </w:t>
      </w:r>
      <w:r>
        <w:rPr>
          <w:color w:val="auto"/>
          <w:szCs w:val="21"/>
          <w:highlight w:val="none"/>
        </w:rPr>
        <w:t>（姓名）为我方代理人。代理人根据授权，以我方名义签署、澄清、</w:t>
      </w:r>
      <w:r>
        <w:rPr>
          <w:rFonts w:hint="eastAsia"/>
          <w:color w:val="auto"/>
          <w:szCs w:val="21"/>
          <w:highlight w:val="none"/>
        </w:rPr>
        <w:t>说明、补正、</w:t>
      </w:r>
      <w:r>
        <w:rPr>
          <w:color w:val="auto"/>
          <w:szCs w:val="21"/>
          <w:highlight w:val="none"/>
        </w:rPr>
        <w:t>递交、撤回、修改</w:t>
      </w:r>
      <w:r>
        <w:rPr>
          <w:color w:val="auto"/>
          <w:szCs w:val="21"/>
          <w:highlight w:val="none"/>
          <w:u w:val="single"/>
        </w:rPr>
        <w:t xml:space="preserve">           </w:t>
      </w:r>
      <w:r>
        <w:rPr>
          <w:color w:val="auto"/>
          <w:szCs w:val="21"/>
          <w:highlight w:val="none"/>
        </w:rPr>
        <w:t>（项目名称）</w:t>
      </w:r>
      <w:r>
        <w:rPr>
          <w:color w:val="auto"/>
          <w:szCs w:val="21"/>
          <w:highlight w:val="none"/>
          <w:u w:val="single"/>
        </w:rPr>
        <w:t xml:space="preserve">           </w:t>
      </w:r>
      <w:r>
        <w:rPr>
          <w:rFonts w:hint="eastAsia"/>
          <w:color w:val="auto"/>
          <w:szCs w:val="21"/>
          <w:highlight w:val="none"/>
        </w:rPr>
        <w:t>（标段名称）</w:t>
      </w:r>
      <w:r>
        <w:rPr>
          <w:color w:val="auto"/>
          <w:szCs w:val="21"/>
          <w:highlight w:val="none"/>
        </w:rPr>
        <w:t>投标文件、签订合同和处理有关事宜，其法律后果由我方承担。</w:t>
      </w:r>
    </w:p>
    <w:p w14:paraId="587658B2">
      <w:pPr>
        <w:spacing w:line="400" w:lineRule="exact"/>
        <w:rPr>
          <w:color w:val="auto"/>
          <w:szCs w:val="21"/>
          <w:highlight w:val="none"/>
        </w:rPr>
      </w:pPr>
      <w:r>
        <w:rPr>
          <w:color w:val="auto"/>
          <w:szCs w:val="21"/>
          <w:highlight w:val="none"/>
        </w:rPr>
        <w:t xml:space="preserve">    委托期限：</w:t>
      </w:r>
      <w:r>
        <w:rPr>
          <w:color w:val="auto"/>
          <w:szCs w:val="21"/>
          <w:highlight w:val="none"/>
          <w:u w:val="single"/>
        </w:rPr>
        <w:t xml:space="preserve">             </w:t>
      </w:r>
      <w:r>
        <w:rPr>
          <w:rFonts w:hint="eastAsia"/>
          <w:color w:val="auto"/>
          <w:szCs w:val="21"/>
          <w:highlight w:val="none"/>
        </w:rPr>
        <w:t>。</w:t>
      </w:r>
    </w:p>
    <w:p w14:paraId="623D9C1C">
      <w:pPr>
        <w:spacing w:line="400" w:lineRule="exact"/>
        <w:ind w:firstLine="420" w:firstLineChars="200"/>
        <w:rPr>
          <w:rFonts w:hint="eastAsia"/>
          <w:color w:val="auto"/>
          <w:szCs w:val="21"/>
          <w:highlight w:val="none"/>
        </w:rPr>
      </w:pPr>
      <w:r>
        <w:rPr>
          <w:rFonts w:hint="eastAsia"/>
          <w:color w:val="auto"/>
          <w:szCs w:val="21"/>
          <w:highlight w:val="none"/>
        </w:rPr>
        <w:t>代理人无转委托权。代理人为投标人正式职工</w:t>
      </w:r>
      <w:bookmarkEnd w:id="1092"/>
      <w:r>
        <w:rPr>
          <w:rFonts w:hint="eastAsia"/>
          <w:color w:val="auto"/>
          <w:szCs w:val="21"/>
          <w:highlight w:val="none"/>
        </w:rPr>
        <w:t>，必须具有离投标截止时间最近的至少1个月在本单位缴纳的社保证明文件。</w:t>
      </w:r>
    </w:p>
    <w:p w14:paraId="27E8E8FA">
      <w:pPr>
        <w:spacing w:line="400" w:lineRule="exact"/>
        <w:ind w:firstLine="420" w:firstLineChars="200"/>
        <w:rPr>
          <w:color w:val="auto"/>
          <w:szCs w:val="21"/>
          <w:highlight w:val="none"/>
        </w:rPr>
      </w:pPr>
      <w:r>
        <w:rPr>
          <w:rFonts w:hint="eastAsia"/>
          <w:color w:val="auto"/>
          <w:szCs w:val="21"/>
          <w:highlight w:val="none"/>
        </w:rPr>
        <w:t>附：委托代</w:t>
      </w:r>
      <w:bookmarkStart w:id="1096" w:name="_Toc221952023"/>
      <w:r>
        <w:rPr>
          <w:rFonts w:hint="eastAsia"/>
          <w:color w:val="auto"/>
          <w:szCs w:val="21"/>
          <w:highlight w:val="none"/>
        </w:rPr>
        <w:t>理人身份证正反面和社保证明扫描件。</w:t>
      </w:r>
    </w:p>
    <w:p w14:paraId="3F4C567F">
      <w:pPr>
        <w:spacing w:line="400" w:lineRule="exact"/>
        <w:rPr>
          <w:color w:val="auto"/>
          <w:szCs w:val="21"/>
          <w:highlight w:val="none"/>
        </w:rPr>
      </w:pPr>
    </w:p>
    <w:p w14:paraId="70A2916A">
      <w:pPr>
        <w:spacing w:line="400" w:lineRule="exact"/>
        <w:rPr>
          <w:color w:val="auto"/>
          <w:szCs w:val="21"/>
          <w:highlight w:val="none"/>
        </w:rPr>
      </w:pPr>
    </w:p>
    <w:p w14:paraId="2D1C0A0D">
      <w:pPr>
        <w:spacing w:line="400" w:lineRule="exact"/>
        <w:rPr>
          <w:color w:val="auto"/>
          <w:szCs w:val="21"/>
          <w:highlight w:val="none"/>
        </w:rPr>
      </w:pPr>
    </w:p>
    <w:bookmarkEnd w:id="1096"/>
    <w:p w14:paraId="39499624">
      <w:pPr>
        <w:spacing w:line="400" w:lineRule="exact"/>
        <w:jc w:val="right"/>
        <w:rPr>
          <w:color w:val="auto"/>
          <w:szCs w:val="21"/>
          <w:highlight w:val="none"/>
        </w:rPr>
      </w:pPr>
      <w:r>
        <w:rPr>
          <w:color w:val="auto"/>
          <w:szCs w:val="21"/>
          <w:highlight w:val="none"/>
        </w:rPr>
        <w:t>投标人：</w:t>
      </w:r>
      <w:r>
        <w:rPr>
          <w:color w:val="auto"/>
          <w:szCs w:val="21"/>
          <w:highlight w:val="none"/>
          <w:u w:val="single"/>
        </w:rPr>
        <w:t xml:space="preserve">                               </w:t>
      </w:r>
      <w:r>
        <w:rPr>
          <w:color w:val="auto"/>
          <w:szCs w:val="21"/>
          <w:highlight w:val="none"/>
        </w:rPr>
        <w:t>（盖单位章）</w:t>
      </w:r>
    </w:p>
    <w:p w14:paraId="4D7AE24B">
      <w:pPr>
        <w:spacing w:line="400" w:lineRule="exact"/>
        <w:jc w:val="right"/>
        <w:rPr>
          <w:color w:val="auto"/>
          <w:szCs w:val="21"/>
          <w:highlight w:val="none"/>
        </w:rPr>
      </w:pPr>
    </w:p>
    <w:p w14:paraId="74E07C99">
      <w:pPr>
        <w:wordWrap w:val="0"/>
        <w:spacing w:line="400" w:lineRule="exact"/>
        <w:jc w:val="right"/>
        <w:rPr>
          <w:color w:val="auto"/>
          <w:szCs w:val="21"/>
          <w:highlight w:val="none"/>
        </w:rPr>
      </w:pPr>
      <w:bookmarkStart w:id="1097" w:name="_Toc221952030"/>
      <w:r>
        <w:rPr>
          <w:color w:val="auto"/>
          <w:szCs w:val="21"/>
          <w:highlight w:val="none"/>
        </w:rPr>
        <w:t>法定代表人：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r>
        <w:rPr>
          <w:rFonts w:hint="eastAsia"/>
          <w:color w:val="auto"/>
          <w:szCs w:val="21"/>
          <w:highlight w:val="none"/>
        </w:rPr>
        <w:t>签</w:t>
      </w:r>
      <w:r>
        <w:rPr>
          <w:color w:val="auto"/>
          <w:szCs w:val="21"/>
          <w:highlight w:val="none"/>
        </w:rPr>
        <w:t>字）</w:t>
      </w:r>
      <w:bookmarkEnd w:id="1097"/>
    </w:p>
    <w:p w14:paraId="3AF6EA4D">
      <w:pPr>
        <w:spacing w:line="400" w:lineRule="exact"/>
        <w:jc w:val="right"/>
        <w:rPr>
          <w:color w:val="auto"/>
          <w:szCs w:val="21"/>
          <w:highlight w:val="none"/>
        </w:rPr>
      </w:pPr>
    </w:p>
    <w:p w14:paraId="58D8CC81">
      <w:pPr>
        <w:spacing w:line="400" w:lineRule="exact"/>
        <w:ind w:right="420" w:firstLine="2940" w:firstLineChars="1400"/>
        <w:rPr>
          <w:color w:val="auto"/>
          <w:szCs w:val="21"/>
          <w:highlight w:val="none"/>
        </w:rPr>
      </w:pPr>
      <w:bookmarkStart w:id="1098" w:name="_Toc221952031"/>
      <w:r>
        <w:rPr>
          <w:color w:val="auto"/>
          <w:szCs w:val="21"/>
          <w:highlight w:val="none"/>
        </w:rPr>
        <w:t>身份证号码：</w:t>
      </w:r>
      <w:bookmarkEnd w:id="1098"/>
      <w:r>
        <w:rPr>
          <w:color w:val="auto"/>
          <w:szCs w:val="21"/>
          <w:highlight w:val="none"/>
          <w:u w:val="single"/>
        </w:rPr>
        <w:t xml:space="preserve">                                   </w:t>
      </w:r>
    </w:p>
    <w:p w14:paraId="54070998">
      <w:pPr>
        <w:spacing w:line="400" w:lineRule="exact"/>
        <w:jc w:val="right"/>
        <w:rPr>
          <w:color w:val="auto"/>
          <w:szCs w:val="21"/>
          <w:highlight w:val="none"/>
        </w:rPr>
      </w:pPr>
    </w:p>
    <w:p w14:paraId="5C8F8019">
      <w:pPr>
        <w:wordWrap w:val="0"/>
        <w:spacing w:line="400" w:lineRule="exact"/>
        <w:jc w:val="right"/>
        <w:rPr>
          <w:color w:val="auto"/>
          <w:szCs w:val="21"/>
          <w:highlight w:val="none"/>
        </w:rPr>
      </w:pPr>
      <w:bookmarkStart w:id="1099" w:name="_Toc221952032"/>
      <w:r>
        <w:rPr>
          <w:rFonts w:hint="eastAsia"/>
          <w:color w:val="auto"/>
          <w:szCs w:val="21"/>
          <w:highlight w:val="none"/>
        </w:rPr>
        <w:t>委托</w:t>
      </w:r>
      <w:r>
        <w:rPr>
          <w:color w:val="auto"/>
          <w:szCs w:val="21"/>
          <w:highlight w:val="none"/>
        </w:rPr>
        <w:t>代理人：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w:t>
      </w:r>
      <w:r>
        <w:rPr>
          <w:rFonts w:hint="eastAsia"/>
          <w:color w:val="auto"/>
          <w:szCs w:val="21"/>
          <w:highlight w:val="none"/>
        </w:rPr>
        <w:t>签字</w:t>
      </w:r>
      <w:r>
        <w:rPr>
          <w:color w:val="auto"/>
          <w:szCs w:val="21"/>
          <w:highlight w:val="none"/>
        </w:rPr>
        <w:t>）</w:t>
      </w:r>
      <w:bookmarkEnd w:id="1099"/>
      <w:r>
        <w:rPr>
          <w:color w:val="auto"/>
          <w:szCs w:val="21"/>
          <w:highlight w:val="none"/>
        </w:rPr>
        <w:t xml:space="preserve"> </w:t>
      </w:r>
    </w:p>
    <w:p w14:paraId="5E1D781C">
      <w:pPr>
        <w:wordWrap w:val="0"/>
        <w:spacing w:line="400" w:lineRule="exact"/>
        <w:jc w:val="right"/>
        <w:rPr>
          <w:color w:val="auto"/>
          <w:szCs w:val="21"/>
          <w:highlight w:val="none"/>
        </w:rPr>
      </w:pPr>
      <w:r>
        <w:rPr>
          <w:rFonts w:hint="eastAsia"/>
          <w:color w:val="auto"/>
          <w:szCs w:val="21"/>
          <w:highlight w:val="none"/>
        </w:rPr>
        <w:t xml:space="preserve"> </w:t>
      </w:r>
    </w:p>
    <w:p w14:paraId="32C72EFF">
      <w:pPr>
        <w:spacing w:line="400" w:lineRule="exact"/>
        <w:ind w:right="420" w:firstLine="2940" w:firstLineChars="1400"/>
        <w:rPr>
          <w:color w:val="auto"/>
          <w:szCs w:val="21"/>
          <w:highlight w:val="none"/>
        </w:rPr>
      </w:pPr>
      <w:bookmarkStart w:id="1100" w:name="_Toc221952033"/>
      <w:r>
        <w:rPr>
          <w:color w:val="auto"/>
          <w:szCs w:val="21"/>
          <w:highlight w:val="none"/>
        </w:rPr>
        <w:t>身份证号码：</w:t>
      </w:r>
      <w:bookmarkEnd w:id="1100"/>
      <w:r>
        <w:rPr>
          <w:color w:val="auto"/>
          <w:szCs w:val="21"/>
          <w:highlight w:val="none"/>
          <w:u w:val="single"/>
        </w:rPr>
        <w:t xml:space="preserve">                                    </w:t>
      </w:r>
    </w:p>
    <w:p w14:paraId="56047BC8">
      <w:pPr>
        <w:spacing w:line="400" w:lineRule="exact"/>
        <w:jc w:val="right"/>
        <w:rPr>
          <w:color w:val="auto"/>
          <w:szCs w:val="21"/>
          <w:highlight w:val="none"/>
        </w:rPr>
      </w:pPr>
    </w:p>
    <w:p w14:paraId="4DC18934">
      <w:pPr>
        <w:spacing w:line="400" w:lineRule="exact"/>
        <w:ind w:firstLine="1575" w:firstLineChars="750"/>
        <w:jc w:val="right"/>
        <w:rPr>
          <w:rFonts w:eastAsia="黑体"/>
          <w:color w:val="auto"/>
          <w:szCs w:val="21"/>
          <w:highlight w:val="none"/>
        </w:rPr>
      </w:pPr>
      <w:r>
        <w:rPr>
          <w:color w:val="auto"/>
          <w:szCs w:val="21"/>
          <w:highlight w:val="none"/>
          <w:u w:val="single"/>
        </w:rPr>
        <w:t xml:space="preserve">       </w:t>
      </w:r>
      <w:bookmarkStart w:id="1101" w:name="_Toc221952034"/>
      <w:r>
        <w:rPr>
          <w:color w:val="auto"/>
          <w:szCs w:val="21"/>
          <w:highlight w:val="none"/>
        </w:rPr>
        <w:t xml:space="preserve">年 </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bookmarkEnd w:id="1101"/>
    </w:p>
    <w:p w14:paraId="79EDF5F2">
      <w:pPr>
        <w:spacing w:line="400" w:lineRule="exact"/>
        <w:ind w:firstLine="1425" w:firstLineChars="750"/>
        <w:jc w:val="right"/>
        <w:rPr>
          <w:rFonts w:eastAsia="黑体"/>
          <w:color w:val="auto"/>
          <w:sz w:val="19"/>
          <w:szCs w:val="19"/>
          <w:highlight w:val="none"/>
        </w:rPr>
      </w:pPr>
      <w:r>
        <w:rPr>
          <w:rFonts w:eastAsia="黑体"/>
          <w:color w:val="auto"/>
          <w:sz w:val="19"/>
          <w:szCs w:val="19"/>
          <w:highlight w:val="none"/>
        </w:rPr>
        <w:br w:type="page"/>
      </w:r>
    </w:p>
    <w:p w14:paraId="12EDBE9B">
      <w:pPr>
        <w:spacing w:line="360" w:lineRule="auto"/>
        <w:jc w:val="center"/>
        <w:outlineLvl w:val="2"/>
        <w:rPr>
          <w:rFonts w:ascii="黑体" w:hAnsi="黑体" w:eastAsia="黑体"/>
          <w:strike/>
          <w:color w:val="auto"/>
          <w:sz w:val="28"/>
          <w:szCs w:val="27"/>
          <w:highlight w:val="none"/>
        </w:rPr>
      </w:pPr>
      <w:bookmarkStart w:id="1102" w:name="_Toc180758601"/>
      <w:bookmarkStart w:id="1103" w:name="_Toc21787764"/>
      <w:bookmarkStart w:id="1104" w:name="_Toc2497"/>
      <w:r>
        <w:rPr>
          <w:rFonts w:hint="eastAsia" w:ascii="黑体" w:hAnsi="黑体" w:eastAsia="黑体"/>
          <w:strike/>
          <w:color w:val="auto"/>
          <w:sz w:val="28"/>
          <w:szCs w:val="27"/>
          <w:highlight w:val="none"/>
        </w:rPr>
        <w:t>四</w:t>
      </w:r>
      <w:r>
        <w:rPr>
          <w:rFonts w:ascii="黑体" w:hAnsi="黑体" w:eastAsia="黑体"/>
          <w:strike/>
          <w:color w:val="auto"/>
          <w:sz w:val="28"/>
          <w:szCs w:val="27"/>
          <w:highlight w:val="none"/>
        </w:rPr>
        <w:t>、</w:t>
      </w:r>
      <w:r>
        <w:rPr>
          <w:rFonts w:hint="eastAsia" w:ascii="黑体" w:hAnsi="黑体" w:eastAsia="黑体"/>
          <w:strike/>
          <w:color w:val="auto"/>
          <w:sz w:val="28"/>
          <w:szCs w:val="27"/>
          <w:highlight w:val="none"/>
        </w:rPr>
        <w:t>联合</w:t>
      </w:r>
      <w:bookmarkStart w:id="1105" w:name="_Toc221952029"/>
      <w:r>
        <w:rPr>
          <w:rFonts w:hint="eastAsia" w:ascii="黑体" w:hAnsi="黑体" w:eastAsia="黑体"/>
          <w:strike/>
          <w:color w:val="auto"/>
          <w:sz w:val="28"/>
          <w:szCs w:val="27"/>
          <w:highlight w:val="none"/>
        </w:rPr>
        <w:t>体协议书</w:t>
      </w:r>
      <w:bookmarkEnd w:id="1102"/>
      <w:bookmarkEnd w:id="1103"/>
      <w:bookmarkEnd w:id="1104"/>
    </w:p>
    <w:p w14:paraId="34CC3983">
      <w:pPr>
        <w:spacing w:line="276" w:lineRule="auto"/>
        <w:jc w:val="left"/>
        <w:rPr>
          <w:rFonts w:ascii="宋体" w:hAnsi="宋体"/>
          <w:strike/>
          <w:color w:val="auto"/>
          <w:szCs w:val="21"/>
          <w:highlight w:val="none"/>
        </w:rPr>
      </w:pPr>
    </w:p>
    <w:p w14:paraId="0655E7DB">
      <w:pPr>
        <w:spacing w:line="276" w:lineRule="auto"/>
        <w:ind w:firstLine="420" w:firstLineChars="200"/>
        <w:jc w:val="left"/>
        <w:rPr>
          <w:rFonts w:ascii="宋体" w:hAnsi="宋体"/>
          <w:strike/>
          <w:color w:val="auto"/>
          <w:szCs w:val="21"/>
          <w:highlight w:val="none"/>
        </w:rPr>
      </w:pP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ascii="宋体" w:hAnsi="宋体"/>
          <w:strike/>
          <w:color w:val="auto"/>
          <w:szCs w:val="21"/>
          <w:highlight w:val="none"/>
        </w:rPr>
        <w:t>（</w:t>
      </w:r>
      <w:r>
        <w:rPr>
          <w:rFonts w:hint="eastAsia" w:ascii="宋体" w:hAnsi="宋体"/>
          <w:strike/>
          <w:color w:val="auto"/>
          <w:szCs w:val="21"/>
          <w:highlight w:val="none"/>
        </w:rPr>
        <w:t>所有成员单位名称</w:t>
      </w:r>
      <w:r>
        <w:rPr>
          <w:rFonts w:ascii="宋体" w:hAnsi="宋体"/>
          <w:strike/>
          <w:color w:val="auto"/>
          <w:szCs w:val="21"/>
          <w:highlight w:val="none"/>
        </w:rPr>
        <w:t>）</w:t>
      </w:r>
      <w:r>
        <w:rPr>
          <w:rFonts w:hint="eastAsia" w:ascii="宋体" w:hAnsi="宋体"/>
          <w:strike/>
          <w:color w:val="auto"/>
          <w:szCs w:val="21"/>
          <w:highlight w:val="none"/>
        </w:rPr>
        <w:t>自愿组成</w:t>
      </w: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ascii="宋体" w:hAnsi="宋体"/>
          <w:strike/>
          <w:color w:val="auto"/>
          <w:szCs w:val="21"/>
          <w:highlight w:val="none"/>
        </w:rPr>
        <w:t>（</w:t>
      </w:r>
      <w:r>
        <w:rPr>
          <w:rFonts w:hint="eastAsia" w:ascii="宋体" w:hAnsi="宋体"/>
          <w:strike/>
          <w:color w:val="auto"/>
          <w:szCs w:val="21"/>
          <w:highlight w:val="none"/>
        </w:rPr>
        <w:t>联合体名称</w:t>
      </w:r>
      <w:r>
        <w:rPr>
          <w:rFonts w:ascii="宋体" w:hAnsi="宋体"/>
          <w:strike/>
          <w:color w:val="auto"/>
          <w:szCs w:val="21"/>
          <w:highlight w:val="none"/>
        </w:rPr>
        <w:t>）</w:t>
      </w:r>
      <w:r>
        <w:rPr>
          <w:rFonts w:hint="eastAsia" w:ascii="宋体" w:hAnsi="宋体"/>
          <w:strike/>
          <w:color w:val="auto"/>
          <w:szCs w:val="21"/>
          <w:highlight w:val="none"/>
        </w:rPr>
        <w:t>，共同参加</w:t>
      </w: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ascii="宋体" w:hAnsi="宋体"/>
          <w:strike/>
          <w:color w:val="auto"/>
          <w:szCs w:val="21"/>
          <w:highlight w:val="none"/>
        </w:rPr>
        <w:t>（</w:t>
      </w:r>
      <w:r>
        <w:rPr>
          <w:rFonts w:hint="eastAsia" w:ascii="宋体" w:hAnsi="宋体"/>
          <w:strike/>
          <w:color w:val="auto"/>
          <w:szCs w:val="21"/>
          <w:highlight w:val="none"/>
        </w:rPr>
        <w:t>项目名称）</w:t>
      </w:r>
      <w:r>
        <w:rPr>
          <w:rFonts w:hint="eastAsia" w:ascii="宋体" w:hAnsi="宋体"/>
          <w:strike/>
          <w:color w:val="auto"/>
          <w:szCs w:val="21"/>
          <w:highlight w:val="none"/>
          <w:u w:val="single"/>
        </w:rPr>
        <w:t xml:space="preserve">      </w:t>
      </w:r>
      <w:r>
        <w:rPr>
          <w:rFonts w:hint="eastAsia" w:ascii="宋体" w:hAnsi="宋体"/>
          <w:strike/>
          <w:color w:val="auto"/>
          <w:szCs w:val="21"/>
          <w:highlight w:val="none"/>
          <w:u w:val="single"/>
        </w:rPr>
        <w:tab/>
      </w:r>
      <w:r>
        <w:rPr>
          <w:rFonts w:hint="eastAsia" w:ascii="宋体" w:hAnsi="宋体"/>
          <w:strike/>
          <w:color w:val="auto"/>
          <w:szCs w:val="21"/>
          <w:highlight w:val="none"/>
          <w:u w:val="single"/>
        </w:rPr>
        <w:t>（</w:t>
      </w:r>
      <w:r>
        <w:rPr>
          <w:rFonts w:hint="eastAsia" w:ascii="宋体" w:hAnsi="宋体"/>
          <w:strike/>
          <w:color w:val="auto"/>
          <w:szCs w:val="21"/>
          <w:highlight w:val="none"/>
        </w:rPr>
        <w:t>标段名称）投标。现就联合体投标事宜订立如下协议。</w:t>
      </w:r>
    </w:p>
    <w:p w14:paraId="0BC4424E">
      <w:pPr>
        <w:spacing w:line="276" w:lineRule="auto"/>
        <w:jc w:val="left"/>
        <w:rPr>
          <w:rFonts w:ascii="宋体" w:hAnsi="宋体"/>
          <w:strike/>
          <w:color w:val="auto"/>
          <w:szCs w:val="21"/>
          <w:highlight w:val="none"/>
        </w:rPr>
      </w:pPr>
      <w:r>
        <w:rPr>
          <w:rFonts w:hint="eastAsia" w:ascii="宋体" w:hAnsi="宋体"/>
          <w:strike/>
          <w:color w:val="auto"/>
          <w:szCs w:val="21"/>
          <w:highlight w:val="none"/>
        </w:rPr>
        <w:t xml:space="preserve">    1.</w:t>
      </w: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ascii="宋体" w:hAnsi="宋体"/>
          <w:strike/>
          <w:color w:val="auto"/>
          <w:szCs w:val="21"/>
          <w:highlight w:val="none"/>
        </w:rPr>
        <w:t>（</w:t>
      </w:r>
      <w:r>
        <w:rPr>
          <w:rFonts w:hint="eastAsia" w:ascii="宋体" w:hAnsi="宋体"/>
          <w:strike/>
          <w:color w:val="auto"/>
          <w:szCs w:val="21"/>
          <w:highlight w:val="none"/>
        </w:rPr>
        <w:t>某成员单位名称</w:t>
      </w:r>
      <w:r>
        <w:rPr>
          <w:rFonts w:ascii="宋体" w:hAnsi="宋体"/>
          <w:strike/>
          <w:color w:val="auto"/>
          <w:szCs w:val="21"/>
          <w:highlight w:val="none"/>
        </w:rPr>
        <w:t>）</w:t>
      </w:r>
      <w:r>
        <w:rPr>
          <w:rFonts w:hint="eastAsia" w:ascii="宋体" w:hAnsi="宋体"/>
          <w:strike/>
          <w:color w:val="auto"/>
          <w:szCs w:val="21"/>
          <w:highlight w:val="none"/>
        </w:rPr>
        <w:t>为</w:t>
      </w:r>
      <w:r>
        <w:rPr>
          <w:rFonts w:hint="eastAsia" w:ascii="宋体" w:hAnsi="宋体"/>
          <w:strike/>
          <w:color w:val="auto"/>
          <w:szCs w:val="21"/>
          <w:highlight w:val="none"/>
          <w:u w:val="single"/>
        </w:rPr>
        <w:t>主办方</w:t>
      </w:r>
      <w:r>
        <w:rPr>
          <w:rFonts w:hint="eastAsia" w:ascii="宋体" w:hAnsi="宋体"/>
          <w:strike/>
          <w:color w:val="auto"/>
          <w:szCs w:val="21"/>
          <w:highlight w:val="none"/>
        </w:rPr>
        <w:t>。</w:t>
      </w:r>
    </w:p>
    <w:p w14:paraId="0927B727">
      <w:pPr>
        <w:spacing w:line="276" w:lineRule="auto"/>
        <w:ind w:firstLine="420" w:firstLineChars="200"/>
        <w:jc w:val="left"/>
        <w:rPr>
          <w:rFonts w:ascii="宋体" w:hAnsi="宋体"/>
          <w:strike/>
          <w:color w:val="auto"/>
          <w:szCs w:val="21"/>
          <w:highlight w:val="none"/>
        </w:rPr>
      </w:pPr>
      <w:r>
        <w:rPr>
          <w:rFonts w:hint="eastAsia" w:ascii="宋体" w:hAnsi="宋体"/>
          <w:strike/>
          <w:color w:val="auto"/>
          <w:szCs w:val="21"/>
          <w:highlight w:val="none"/>
        </w:rPr>
        <w:t>2.联合体主办方合法代表联合体各成员负责本招标项目投标文件编制和合同谈判活动，</w:t>
      </w:r>
      <w:r>
        <w:rPr>
          <w:rFonts w:ascii="宋体" w:hAnsi="宋体"/>
          <w:strike/>
          <w:color w:val="auto"/>
          <w:szCs w:val="21"/>
          <w:highlight w:val="none"/>
        </w:rPr>
        <w:t xml:space="preserve"> </w:t>
      </w:r>
      <w:r>
        <w:rPr>
          <w:rFonts w:hint="eastAsia" w:ascii="宋体" w:hAnsi="宋体"/>
          <w:strike/>
          <w:color w:val="auto"/>
          <w:szCs w:val="21"/>
          <w:highlight w:val="none"/>
        </w:rPr>
        <w:t>并代表联合体提交和接受相关的资料。信息及指示，并处理与之有关的一切事务，负责合同实施阶段的主办、组织和协调工作。</w:t>
      </w:r>
    </w:p>
    <w:p w14:paraId="12A35079">
      <w:pPr>
        <w:spacing w:line="276" w:lineRule="auto"/>
        <w:ind w:firstLine="420" w:firstLineChars="200"/>
        <w:jc w:val="left"/>
        <w:rPr>
          <w:rFonts w:ascii="宋体" w:hAnsi="宋体"/>
          <w:strike/>
          <w:color w:val="auto"/>
          <w:szCs w:val="21"/>
          <w:highlight w:val="none"/>
        </w:rPr>
      </w:pPr>
      <w:r>
        <w:rPr>
          <w:rFonts w:hint="eastAsia" w:ascii="宋体" w:hAnsi="宋体"/>
          <w:strike/>
          <w:color w:val="auto"/>
          <w:szCs w:val="21"/>
          <w:highlight w:val="none"/>
        </w:rPr>
        <w:t>3.联合体将严格按照招标文件的各项要求，递交投标文件，履行合同，并对外承担连带责任。</w:t>
      </w:r>
    </w:p>
    <w:p w14:paraId="3F83410D">
      <w:pPr>
        <w:spacing w:line="276" w:lineRule="auto"/>
        <w:ind w:firstLine="420" w:firstLineChars="200"/>
        <w:jc w:val="left"/>
        <w:rPr>
          <w:rFonts w:ascii="宋体" w:hAnsi="宋体"/>
          <w:strike/>
          <w:color w:val="auto"/>
          <w:szCs w:val="21"/>
          <w:highlight w:val="none"/>
        </w:rPr>
      </w:pPr>
      <w:bookmarkStart w:id="1106" w:name="_Toc221952040"/>
      <w:r>
        <w:rPr>
          <w:rFonts w:hint="eastAsia" w:ascii="宋体" w:hAnsi="宋体"/>
          <w:strike/>
          <w:color w:val="auto"/>
          <w:szCs w:val="21"/>
          <w:highlight w:val="none"/>
        </w:rPr>
        <w:t>4.联合体各成员单位内部的职责分工如下：</w:t>
      </w: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hint="eastAsia" w:ascii="宋体" w:hAnsi="宋体"/>
          <w:strike/>
          <w:color w:val="auto"/>
          <w:szCs w:val="21"/>
          <w:highlight w:val="none"/>
        </w:rPr>
        <w:t>。</w:t>
      </w:r>
      <w:bookmarkEnd w:id="1106"/>
    </w:p>
    <w:p w14:paraId="5EB01219">
      <w:pPr>
        <w:spacing w:line="276" w:lineRule="auto"/>
        <w:ind w:firstLine="420" w:firstLineChars="200"/>
        <w:jc w:val="left"/>
        <w:rPr>
          <w:rFonts w:ascii="宋体" w:hAnsi="宋体"/>
          <w:strike/>
          <w:color w:val="auto"/>
          <w:szCs w:val="21"/>
          <w:highlight w:val="none"/>
        </w:rPr>
      </w:pPr>
      <w:r>
        <w:rPr>
          <w:rFonts w:hint="eastAsia" w:ascii="宋体" w:hAnsi="宋体"/>
          <w:strike/>
          <w:color w:val="auto"/>
          <w:szCs w:val="21"/>
          <w:highlight w:val="none"/>
        </w:rPr>
        <w:t>5.本协议书自签署之日起生效，合同履行完毕后自动失效。</w:t>
      </w:r>
    </w:p>
    <w:p w14:paraId="29B00005">
      <w:pPr>
        <w:spacing w:line="276" w:lineRule="auto"/>
        <w:ind w:firstLine="420" w:firstLineChars="200"/>
        <w:jc w:val="left"/>
        <w:rPr>
          <w:rFonts w:ascii="宋体" w:hAnsi="宋体"/>
          <w:strike/>
          <w:color w:val="auto"/>
          <w:szCs w:val="21"/>
          <w:highlight w:val="none"/>
        </w:rPr>
      </w:pPr>
      <w:r>
        <w:rPr>
          <w:rFonts w:hint="eastAsia" w:ascii="宋体" w:hAnsi="宋体"/>
          <w:strike/>
          <w:color w:val="auto"/>
          <w:szCs w:val="21"/>
          <w:highlight w:val="none"/>
        </w:rPr>
        <w:t>6.本协议书一式</w:t>
      </w:r>
      <w:r>
        <w:rPr>
          <w:rFonts w:hint="eastAsia" w:ascii="宋体" w:hAnsi="宋体"/>
          <w:strike/>
          <w:color w:val="auto"/>
          <w:szCs w:val="21"/>
          <w:highlight w:val="none"/>
          <w:u w:val="single"/>
        </w:rPr>
        <w:t xml:space="preserve">     </w:t>
      </w:r>
      <w:r>
        <w:rPr>
          <w:rFonts w:hint="eastAsia" w:ascii="宋体" w:hAnsi="宋体"/>
          <w:strike/>
          <w:color w:val="auto"/>
          <w:szCs w:val="21"/>
          <w:highlight w:val="none"/>
        </w:rPr>
        <w:t>份，联合体成员和招标人各执     份。</w:t>
      </w:r>
    </w:p>
    <w:p w14:paraId="69FC6DCF">
      <w:pPr>
        <w:spacing w:line="400" w:lineRule="exact"/>
        <w:jc w:val="left"/>
        <w:rPr>
          <w:rFonts w:ascii="宋体" w:hAnsi="宋体"/>
          <w:strike/>
          <w:color w:val="auto"/>
          <w:szCs w:val="21"/>
          <w:highlight w:val="none"/>
        </w:rPr>
      </w:pPr>
    </w:p>
    <w:p w14:paraId="67962605">
      <w:pPr>
        <w:spacing w:line="400" w:lineRule="exact"/>
        <w:jc w:val="left"/>
        <w:rPr>
          <w:rFonts w:ascii="宋体" w:hAnsi="宋体"/>
          <w:strike/>
          <w:color w:val="auto"/>
          <w:szCs w:val="21"/>
          <w:highlight w:val="none"/>
        </w:rPr>
      </w:pPr>
    </w:p>
    <w:p w14:paraId="285C7146">
      <w:pPr>
        <w:spacing w:line="400" w:lineRule="exact"/>
        <w:jc w:val="right"/>
        <w:rPr>
          <w:rFonts w:ascii="宋体" w:hAnsi="宋体"/>
          <w:strike/>
          <w:color w:val="auto"/>
          <w:szCs w:val="21"/>
          <w:highlight w:val="none"/>
        </w:rPr>
      </w:pPr>
      <w:r>
        <w:rPr>
          <w:rFonts w:hint="eastAsia" w:ascii="宋体" w:hAnsi="宋体"/>
          <w:strike/>
          <w:color w:val="auto"/>
          <w:szCs w:val="21"/>
          <w:highlight w:val="none"/>
        </w:rPr>
        <w:t>主办方名称：</w:t>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hint="eastAsia" w:ascii="宋体" w:hAnsi="宋体"/>
          <w:strike/>
          <w:color w:val="auto"/>
          <w:szCs w:val="21"/>
          <w:highlight w:val="none"/>
        </w:rPr>
        <w:t>（盖单位章）</w:t>
      </w:r>
    </w:p>
    <w:p w14:paraId="49122ECF">
      <w:pPr>
        <w:wordWrap w:val="0"/>
        <w:spacing w:line="400" w:lineRule="exact"/>
        <w:jc w:val="right"/>
        <w:rPr>
          <w:rFonts w:ascii="宋体" w:hAnsi="宋体"/>
          <w:strike/>
          <w:color w:val="auto"/>
          <w:szCs w:val="21"/>
          <w:highlight w:val="none"/>
        </w:rPr>
      </w:pPr>
      <w:bookmarkStart w:id="1107" w:name="_Toc221952045"/>
      <w:r>
        <w:rPr>
          <w:rFonts w:hint="eastAsia" w:ascii="宋体" w:hAnsi="宋体"/>
          <w:strike/>
          <w:color w:val="auto"/>
          <w:szCs w:val="21"/>
          <w:highlight w:val="none"/>
        </w:rPr>
        <w:t>法定代表人或其委托代理人：</w:t>
      </w:r>
      <w:r>
        <w:rPr>
          <w:rFonts w:ascii="宋体" w:hAnsi="宋体"/>
          <w:strike/>
          <w:color w:val="auto"/>
          <w:szCs w:val="21"/>
          <w:highlight w:val="none"/>
          <w:u w:val="single"/>
        </w:rPr>
        <w:tab/>
      </w:r>
      <w:r>
        <w:rPr>
          <w:rFonts w:hint="eastAsia" w:ascii="宋体" w:hAnsi="宋体"/>
          <w:strike/>
          <w:color w:val="auto"/>
          <w:szCs w:val="21"/>
          <w:highlight w:val="none"/>
          <w:u w:val="single"/>
        </w:rPr>
        <w:t xml:space="preserve">  </w:t>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 xml:space="preserve"> </w:t>
      </w:r>
      <w:r>
        <w:rPr>
          <w:rFonts w:hint="eastAsia" w:ascii="宋体" w:hAnsi="宋体"/>
          <w:strike/>
          <w:color w:val="auto"/>
          <w:szCs w:val="21"/>
          <w:highlight w:val="none"/>
          <w:u w:val="single"/>
        </w:rPr>
        <w:t xml:space="preserve"> </w:t>
      </w:r>
      <w:r>
        <w:rPr>
          <w:rFonts w:ascii="宋体" w:hAnsi="宋体"/>
          <w:strike/>
          <w:color w:val="auto"/>
          <w:szCs w:val="21"/>
          <w:highlight w:val="none"/>
          <w:u w:val="single"/>
        </w:rPr>
        <w:t xml:space="preserve">      </w:t>
      </w:r>
      <w:r>
        <w:rPr>
          <w:strike/>
          <w:color w:val="auto"/>
          <w:szCs w:val="21"/>
          <w:highlight w:val="none"/>
        </w:rPr>
        <w:t>（</w:t>
      </w:r>
      <w:r>
        <w:rPr>
          <w:rFonts w:hint="eastAsia"/>
          <w:strike/>
          <w:color w:val="auto"/>
          <w:szCs w:val="21"/>
          <w:highlight w:val="none"/>
        </w:rPr>
        <w:t>签字</w:t>
      </w:r>
      <w:r>
        <w:rPr>
          <w:strike/>
          <w:color w:val="auto"/>
          <w:szCs w:val="21"/>
          <w:highlight w:val="none"/>
        </w:rPr>
        <w:t>）</w:t>
      </w:r>
      <w:bookmarkEnd w:id="1107"/>
    </w:p>
    <w:p w14:paraId="6FBA5964">
      <w:pPr>
        <w:spacing w:line="400" w:lineRule="exact"/>
        <w:jc w:val="right"/>
        <w:rPr>
          <w:rFonts w:ascii="宋体" w:hAnsi="宋体"/>
          <w:strike/>
          <w:color w:val="auto"/>
          <w:szCs w:val="21"/>
          <w:highlight w:val="none"/>
        </w:rPr>
      </w:pPr>
    </w:p>
    <w:p w14:paraId="37A84ED0">
      <w:pPr>
        <w:spacing w:line="400" w:lineRule="exact"/>
        <w:jc w:val="right"/>
        <w:rPr>
          <w:rFonts w:ascii="宋体" w:hAnsi="宋体"/>
          <w:strike/>
          <w:color w:val="auto"/>
          <w:szCs w:val="21"/>
          <w:highlight w:val="none"/>
        </w:rPr>
      </w:pPr>
      <w:bookmarkStart w:id="1108" w:name="_Toc221952046"/>
      <w:r>
        <w:rPr>
          <w:rFonts w:hint="eastAsia" w:ascii="宋体" w:hAnsi="宋体"/>
          <w:strike/>
          <w:color w:val="auto"/>
          <w:szCs w:val="21"/>
          <w:highlight w:val="none"/>
        </w:rPr>
        <w:t>成员一名称：</w:t>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hint="eastAsia" w:ascii="宋体" w:hAnsi="宋体"/>
          <w:strike/>
          <w:color w:val="auto"/>
          <w:szCs w:val="21"/>
          <w:highlight w:val="none"/>
        </w:rPr>
        <w:t>（盖单位章）</w:t>
      </w:r>
      <w:bookmarkEnd w:id="1108"/>
    </w:p>
    <w:p w14:paraId="59BE3F44">
      <w:pPr>
        <w:spacing w:line="400" w:lineRule="exact"/>
        <w:jc w:val="right"/>
        <w:rPr>
          <w:rFonts w:ascii="宋体" w:hAnsi="宋体"/>
          <w:strike/>
          <w:color w:val="auto"/>
          <w:szCs w:val="21"/>
          <w:highlight w:val="none"/>
        </w:rPr>
      </w:pPr>
      <w:bookmarkStart w:id="1109" w:name="_Toc221952047"/>
      <w:r>
        <w:rPr>
          <w:rFonts w:hint="eastAsia" w:ascii="宋体" w:hAnsi="宋体"/>
          <w:strike/>
          <w:color w:val="auto"/>
          <w:szCs w:val="21"/>
          <w:highlight w:val="none"/>
        </w:rPr>
        <w:t>法定代表人或其委托代理人：</w:t>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 xml:space="preserve">         </w:t>
      </w:r>
      <w:r>
        <w:rPr>
          <w:strike/>
          <w:color w:val="auto"/>
          <w:szCs w:val="21"/>
          <w:highlight w:val="none"/>
        </w:rPr>
        <w:t>（</w:t>
      </w:r>
      <w:r>
        <w:rPr>
          <w:rFonts w:hint="eastAsia"/>
          <w:strike/>
          <w:color w:val="auto"/>
          <w:szCs w:val="21"/>
          <w:highlight w:val="none"/>
        </w:rPr>
        <w:t>签字</w:t>
      </w:r>
      <w:r>
        <w:rPr>
          <w:strike/>
          <w:color w:val="auto"/>
          <w:szCs w:val="21"/>
          <w:highlight w:val="none"/>
        </w:rPr>
        <w:t>）</w:t>
      </w:r>
      <w:bookmarkEnd w:id="1109"/>
    </w:p>
    <w:p w14:paraId="2FB6B7E4">
      <w:pPr>
        <w:spacing w:line="400" w:lineRule="exact"/>
        <w:jc w:val="right"/>
        <w:rPr>
          <w:rFonts w:ascii="宋体" w:hAnsi="宋体"/>
          <w:strike/>
          <w:color w:val="auto"/>
          <w:szCs w:val="21"/>
          <w:highlight w:val="none"/>
        </w:rPr>
      </w:pPr>
    </w:p>
    <w:p w14:paraId="1D3805D0">
      <w:pPr>
        <w:spacing w:line="400" w:lineRule="exact"/>
        <w:jc w:val="right"/>
        <w:rPr>
          <w:rFonts w:ascii="宋体" w:hAnsi="宋体"/>
          <w:strike/>
          <w:color w:val="auto"/>
          <w:szCs w:val="21"/>
          <w:highlight w:val="none"/>
        </w:rPr>
      </w:pPr>
      <w:bookmarkStart w:id="1110" w:name="_Toc221952048"/>
      <w:r>
        <w:rPr>
          <w:rFonts w:hint="eastAsia" w:ascii="宋体" w:hAnsi="宋体"/>
          <w:strike/>
          <w:color w:val="auto"/>
          <w:szCs w:val="21"/>
          <w:highlight w:val="none"/>
        </w:rPr>
        <w:t>成员二名称：</w:t>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hint="eastAsia" w:ascii="宋体" w:hAnsi="宋体"/>
          <w:strike/>
          <w:color w:val="auto"/>
          <w:szCs w:val="21"/>
          <w:highlight w:val="none"/>
        </w:rPr>
        <w:t>（盖单位章）</w:t>
      </w:r>
      <w:bookmarkEnd w:id="1110"/>
    </w:p>
    <w:p w14:paraId="5F6C3194">
      <w:pPr>
        <w:spacing w:line="400" w:lineRule="exact"/>
        <w:jc w:val="right"/>
        <w:rPr>
          <w:rFonts w:ascii="宋体" w:hAnsi="宋体"/>
          <w:strike/>
          <w:color w:val="auto"/>
          <w:szCs w:val="21"/>
          <w:highlight w:val="none"/>
        </w:rPr>
      </w:pPr>
      <w:bookmarkStart w:id="1111" w:name="_Toc221952049"/>
      <w:r>
        <w:rPr>
          <w:rFonts w:hint="eastAsia" w:ascii="宋体" w:hAnsi="宋体"/>
          <w:strike/>
          <w:color w:val="auto"/>
          <w:szCs w:val="21"/>
          <w:highlight w:val="none"/>
        </w:rPr>
        <w:t>法定代表人或其委托代理人：</w:t>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 xml:space="preserve">         </w:t>
      </w:r>
      <w:r>
        <w:rPr>
          <w:strike/>
          <w:color w:val="auto"/>
          <w:szCs w:val="21"/>
          <w:highlight w:val="none"/>
        </w:rPr>
        <w:t>（</w:t>
      </w:r>
      <w:r>
        <w:rPr>
          <w:rFonts w:hint="eastAsia"/>
          <w:strike/>
          <w:color w:val="auto"/>
          <w:szCs w:val="21"/>
          <w:highlight w:val="none"/>
        </w:rPr>
        <w:t>签字</w:t>
      </w:r>
      <w:r>
        <w:rPr>
          <w:strike/>
          <w:color w:val="auto"/>
          <w:szCs w:val="21"/>
          <w:highlight w:val="none"/>
        </w:rPr>
        <w:t>）</w:t>
      </w:r>
      <w:bookmarkEnd w:id="1111"/>
    </w:p>
    <w:p w14:paraId="02B7C889">
      <w:pPr>
        <w:spacing w:line="400" w:lineRule="exact"/>
        <w:ind w:firstLine="2415" w:firstLineChars="1150"/>
        <w:jc w:val="left"/>
        <w:rPr>
          <w:rFonts w:ascii="宋体" w:hAnsi="宋体"/>
          <w:strike/>
          <w:color w:val="auto"/>
          <w:szCs w:val="21"/>
          <w:highlight w:val="none"/>
        </w:rPr>
      </w:pPr>
      <w:bookmarkStart w:id="1112" w:name="_Toc221952050"/>
      <w:r>
        <w:rPr>
          <w:rFonts w:hint="eastAsia" w:ascii="宋体" w:hAnsi="宋体"/>
          <w:strike/>
          <w:color w:val="auto"/>
          <w:szCs w:val="21"/>
          <w:highlight w:val="none"/>
        </w:rPr>
        <w:t>……</w:t>
      </w:r>
      <w:bookmarkEnd w:id="1112"/>
    </w:p>
    <w:p w14:paraId="5A4D0F5C">
      <w:pPr>
        <w:spacing w:line="400" w:lineRule="exact"/>
        <w:jc w:val="right"/>
        <w:rPr>
          <w:rFonts w:ascii="宋体" w:hAnsi="宋体"/>
          <w:strike/>
          <w:color w:val="auto"/>
          <w:szCs w:val="21"/>
          <w:highlight w:val="none"/>
        </w:rPr>
      </w:pPr>
    </w:p>
    <w:p w14:paraId="414356C1">
      <w:pPr>
        <w:spacing w:line="400" w:lineRule="exact"/>
        <w:ind w:firstLine="3360" w:firstLineChars="1600"/>
        <w:jc w:val="right"/>
        <w:rPr>
          <w:rFonts w:ascii="宋体" w:hAnsi="宋体"/>
          <w:strike/>
          <w:color w:val="auto"/>
          <w:szCs w:val="21"/>
          <w:highlight w:val="none"/>
        </w:rPr>
      </w:pPr>
      <w:r>
        <w:rPr>
          <w:rFonts w:hint="eastAsia" w:ascii="宋体" w:hAnsi="宋体"/>
          <w:strike/>
          <w:color w:val="auto"/>
          <w:szCs w:val="21"/>
          <w:highlight w:val="none"/>
          <w:u w:val="single"/>
        </w:rPr>
        <w:t xml:space="preserve">         </w:t>
      </w:r>
      <w:bookmarkStart w:id="1113" w:name="_Toc221952051"/>
      <w:r>
        <w:rPr>
          <w:rFonts w:hint="eastAsia" w:ascii="宋体" w:hAnsi="宋体"/>
          <w:strike/>
          <w:color w:val="auto"/>
          <w:szCs w:val="21"/>
          <w:highlight w:val="none"/>
        </w:rPr>
        <w:t>年</w:t>
      </w:r>
      <w:r>
        <w:rPr>
          <w:rFonts w:hint="eastAsia" w:ascii="宋体" w:hAnsi="宋体"/>
          <w:strike/>
          <w:color w:val="auto"/>
          <w:szCs w:val="21"/>
          <w:highlight w:val="none"/>
          <w:u w:val="single"/>
        </w:rPr>
        <w:t xml:space="preserve">      </w:t>
      </w:r>
      <w:r>
        <w:rPr>
          <w:rFonts w:hint="eastAsia" w:ascii="宋体" w:hAnsi="宋体"/>
          <w:strike/>
          <w:color w:val="auto"/>
          <w:szCs w:val="21"/>
          <w:highlight w:val="none"/>
        </w:rPr>
        <w:t>月</w:t>
      </w:r>
      <w:r>
        <w:rPr>
          <w:rFonts w:hint="eastAsia" w:ascii="宋体" w:hAnsi="宋体"/>
          <w:strike/>
          <w:color w:val="auto"/>
          <w:szCs w:val="21"/>
          <w:highlight w:val="none"/>
          <w:u w:val="single"/>
        </w:rPr>
        <w:t xml:space="preserve">      </w:t>
      </w:r>
      <w:r>
        <w:rPr>
          <w:rFonts w:hint="eastAsia" w:ascii="宋体" w:hAnsi="宋体"/>
          <w:strike/>
          <w:color w:val="auto"/>
          <w:szCs w:val="21"/>
          <w:highlight w:val="none"/>
        </w:rPr>
        <w:t>日</w:t>
      </w:r>
      <w:bookmarkEnd w:id="1105"/>
      <w:bookmarkEnd w:id="1113"/>
    </w:p>
    <w:p w14:paraId="7CFDD9CB">
      <w:pPr>
        <w:spacing w:line="400" w:lineRule="exact"/>
        <w:ind w:firstLine="435"/>
        <w:jc w:val="left"/>
        <w:rPr>
          <w:rFonts w:ascii="宋体" w:hAnsi="宋体"/>
          <w:strike/>
          <w:color w:val="auto"/>
          <w:szCs w:val="21"/>
          <w:highlight w:val="none"/>
        </w:rPr>
      </w:pPr>
    </w:p>
    <w:p w14:paraId="646752B3">
      <w:pPr>
        <w:spacing w:line="400" w:lineRule="exact"/>
        <w:ind w:firstLine="435"/>
        <w:jc w:val="left"/>
        <w:rPr>
          <w:rFonts w:ascii="宋体" w:hAnsi="宋体"/>
          <w:strike/>
          <w:color w:val="auto"/>
          <w:szCs w:val="21"/>
          <w:highlight w:val="none"/>
        </w:rPr>
      </w:pPr>
    </w:p>
    <w:p w14:paraId="45BE4815">
      <w:pPr>
        <w:spacing w:line="400" w:lineRule="exact"/>
        <w:ind w:firstLine="435"/>
        <w:jc w:val="left"/>
        <w:rPr>
          <w:rFonts w:ascii="宋体" w:hAnsi="宋体"/>
          <w:strike/>
          <w:color w:val="auto"/>
          <w:szCs w:val="21"/>
          <w:highlight w:val="none"/>
        </w:rPr>
      </w:pPr>
    </w:p>
    <w:p w14:paraId="65E3D4F1">
      <w:pPr>
        <w:spacing w:line="400" w:lineRule="exact"/>
        <w:ind w:firstLine="435"/>
        <w:jc w:val="left"/>
        <w:rPr>
          <w:rFonts w:ascii="宋体" w:hAnsi="宋体"/>
          <w:strike/>
          <w:color w:val="auto"/>
          <w:szCs w:val="21"/>
          <w:highlight w:val="none"/>
        </w:rPr>
      </w:pPr>
      <w:r>
        <w:rPr>
          <w:rFonts w:hint="eastAsia" w:ascii="宋体" w:hAnsi="宋体"/>
          <w:strike/>
          <w:color w:val="auto"/>
          <w:szCs w:val="21"/>
          <w:highlight w:val="none"/>
        </w:rPr>
        <w:t>注：本协</w:t>
      </w:r>
      <w:bookmarkStart w:id="1114" w:name="_Toc221952044"/>
      <w:r>
        <w:rPr>
          <w:rFonts w:hint="eastAsia" w:ascii="宋体" w:hAnsi="宋体"/>
          <w:strike/>
          <w:color w:val="auto"/>
          <w:szCs w:val="21"/>
          <w:highlight w:val="none"/>
        </w:rPr>
        <w:t>议书由委托代理人签字的，应附法定代表人签字的授权委托书。</w:t>
      </w:r>
    </w:p>
    <w:p w14:paraId="44C1C0D9">
      <w:pPr>
        <w:spacing w:line="400" w:lineRule="exact"/>
        <w:ind w:firstLine="3360" w:firstLineChars="1600"/>
        <w:jc w:val="left"/>
        <w:rPr>
          <w:rFonts w:ascii="宋体" w:hAnsi="宋体"/>
          <w:strike/>
          <w:color w:val="auto"/>
          <w:szCs w:val="21"/>
          <w:highlight w:val="none"/>
          <w:u w:val="single"/>
        </w:rPr>
      </w:pPr>
    </w:p>
    <w:p w14:paraId="65C98555">
      <w:pPr>
        <w:spacing w:line="400" w:lineRule="exact"/>
        <w:jc w:val="left"/>
        <w:rPr>
          <w:color w:val="auto"/>
          <w:sz w:val="20"/>
          <w:szCs w:val="20"/>
          <w:highlight w:val="none"/>
        </w:rPr>
      </w:pPr>
      <w:r>
        <w:rPr>
          <w:color w:val="auto"/>
          <w:sz w:val="20"/>
          <w:szCs w:val="20"/>
          <w:highlight w:val="none"/>
        </w:rPr>
        <w:br w:type="page"/>
      </w:r>
    </w:p>
    <w:p w14:paraId="0B2C3EAA">
      <w:pPr>
        <w:spacing w:line="360" w:lineRule="auto"/>
        <w:jc w:val="center"/>
        <w:outlineLvl w:val="2"/>
        <w:rPr>
          <w:rFonts w:ascii="黑体" w:hAnsi="黑体" w:eastAsia="黑体"/>
          <w:strike/>
          <w:color w:val="auto"/>
          <w:sz w:val="28"/>
          <w:szCs w:val="27"/>
          <w:highlight w:val="none"/>
        </w:rPr>
      </w:pPr>
      <w:bookmarkStart w:id="1115" w:name="_Toc180758602"/>
      <w:bookmarkStart w:id="1116" w:name="_Toc13504"/>
      <w:bookmarkStart w:id="1117" w:name="_Toc21787765"/>
      <w:r>
        <w:rPr>
          <w:rFonts w:hint="eastAsia" w:ascii="黑体" w:hAnsi="黑体" w:eastAsia="黑体"/>
          <w:strike/>
          <w:color w:val="auto"/>
          <w:sz w:val="28"/>
          <w:szCs w:val="27"/>
          <w:highlight w:val="none"/>
        </w:rPr>
        <w:t>五</w:t>
      </w:r>
      <w:r>
        <w:rPr>
          <w:rFonts w:ascii="黑体" w:hAnsi="黑体" w:eastAsia="黑体"/>
          <w:strike/>
          <w:color w:val="auto"/>
          <w:sz w:val="28"/>
          <w:szCs w:val="27"/>
          <w:highlight w:val="none"/>
        </w:rPr>
        <w:t>、投标保证金</w:t>
      </w:r>
      <w:bookmarkEnd w:id="1115"/>
      <w:bookmarkEnd w:id="1116"/>
      <w:bookmarkEnd w:id="1117"/>
    </w:p>
    <w:p w14:paraId="758F4A65">
      <w:pPr>
        <w:spacing w:line="400" w:lineRule="exact"/>
        <w:jc w:val="left"/>
        <w:rPr>
          <w:rFonts w:ascii="宋体" w:hAnsi="宋体"/>
          <w:strike/>
          <w:color w:val="auto"/>
          <w:szCs w:val="21"/>
          <w:highlight w:val="none"/>
          <w:u w:val="single"/>
        </w:rPr>
      </w:pPr>
    </w:p>
    <w:p w14:paraId="41C21B02">
      <w:pPr>
        <w:spacing w:before="156" w:beforeLines="50" w:line="360" w:lineRule="auto"/>
        <w:contextualSpacing/>
        <w:rPr>
          <w:rFonts w:hint="eastAsia" w:hAnsi="宋体"/>
          <w:strike/>
          <w:color w:val="auto"/>
          <w:szCs w:val="21"/>
          <w:highlight w:val="none"/>
        </w:rPr>
      </w:pPr>
    </w:p>
    <w:bookmarkEnd w:id="1114"/>
    <w:p w14:paraId="2981D386">
      <w:pPr>
        <w:spacing w:line="360" w:lineRule="auto"/>
        <w:rPr>
          <w:rFonts w:ascii="宋体" w:hAnsi="宋体"/>
          <w:strike/>
          <w:color w:val="auto"/>
          <w:szCs w:val="21"/>
          <w:highlight w:val="none"/>
        </w:rPr>
      </w:pPr>
    </w:p>
    <w:p w14:paraId="1D474C75">
      <w:pPr>
        <w:spacing w:line="360" w:lineRule="auto"/>
        <w:jc w:val="center"/>
        <w:rPr>
          <w:rFonts w:ascii="宋体" w:hAnsi="宋体"/>
          <w:color w:val="auto"/>
          <w:szCs w:val="21"/>
          <w:highlight w:val="none"/>
        </w:rPr>
      </w:pPr>
    </w:p>
    <w:p w14:paraId="782218CF">
      <w:pPr>
        <w:spacing w:line="360" w:lineRule="auto"/>
        <w:jc w:val="center"/>
        <w:rPr>
          <w:rFonts w:ascii="黑体" w:hAnsi="黑体" w:eastAsia="黑体"/>
          <w:color w:val="auto"/>
          <w:sz w:val="28"/>
          <w:szCs w:val="27"/>
          <w:highlight w:val="none"/>
        </w:rPr>
      </w:pPr>
      <w:r>
        <w:rPr>
          <w:rFonts w:ascii="宋体" w:hAnsi="宋体"/>
          <w:color w:val="auto"/>
          <w:szCs w:val="21"/>
          <w:highlight w:val="none"/>
        </w:rPr>
        <w:br w:type="page"/>
      </w:r>
      <w:r>
        <w:rPr>
          <w:rFonts w:hint="eastAsia" w:ascii="黑体" w:hAnsi="黑体" w:eastAsia="黑体"/>
          <w:color w:val="auto"/>
          <w:sz w:val="28"/>
          <w:szCs w:val="27"/>
          <w:highlight w:val="none"/>
        </w:rPr>
        <w:t>六</w:t>
      </w:r>
      <w:r>
        <w:rPr>
          <w:rFonts w:ascii="黑体" w:hAnsi="黑体" w:eastAsia="黑体"/>
          <w:color w:val="auto"/>
          <w:sz w:val="28"/>
          <w:szCs w:val="27"/>
          <w:highlight w:val="none"/>
        </w:rPr>
        <w:t>、已标价工程量清单</w:t>
      </w:r>
    </w:p>
    <w:p w14:paraId="2003C5D1">
      <w:pPr>
        <w:spacing w:line="360" w:lineRule="auto"/>
        <w:jc w:val="center"/>
        <w:rPr>
          <w:rFonts w:ascii="黑体" w:hAnsi="黑体" w:eastAsia="黑体"/>
          <w:color w:val="auto"/>
          <w:sz w:val="28"/>
          <w:szCs w:val="27"/>
          <w:highlight w:val="none"/>
        </w:rPr>
      </w:pPr>
      <w:r>
        <w:rPr>
          <w:rFonts w:hint="eastAsia" w:ascii="黑体" w:hAnsi="黑体" w:eastAsia="黑体"/>
          <w:color w:val="auto"/>
          <w:sz w:val="28"/>
          <w:szCs w:val="27"/>
          <w:highlight w:val="none"/>
        </w:rPr>
        <w:t>（注：按招标人提供的工程量清单填报）</w:t>
      </w:r>
    </w:p>
    <w:p w14:paraId="73B04410">
      <w:pPr>
        <w:spacing w:line="360" w:lineRule="auto"/>
        <w:jc w:val="center"/>
        <w:outlineLvl w:val="2"/>
        <w:rPr>
          <w:rFonts w:ascii="黑体" w:hAnsi="黑体" w:eastAsia="黑体"/>
          <w:color w:val="auto"/>
          <w:sz w:val="28"/>
          <w:szCs w:val="27"/>
          <w:highlight w:val="none"/>
        </w:rPr>
      </w:pPr>
      <w:r>
        <w:rPr>
          <w:rFonts w:ascii="黑体" w:hAnsi="黑体" w:eastAsia="黑体"/>
          <w:color w:val="auto"/>
          <w:sz w:val="28"/>
          <w:szCs w:val="27"/>
          <w:highlight w:val="none"/>
        </w:rPr>
        <w:br w:type="page"/>
      </w:r>
      <w:bookmarkStart w:id="1118" w:name="_Toc25481"/>
      <w:bookmarkStart w:id="1119" w:name="_Toc180758603"/>
      <w:bookmarkStart w:id="1120" w:name="_Toc21787766"/>
      <w:r>
        <w:rPr>
          <w:rFonts w:hint="eastAsia" w:ascii="黑体" w:hAnsi="黑体" w:eastAsia="黑体"/>
          <w:color w:val="auto"/>
          <w:sz w:val="28"/>
          <w:szCs w:val="27"/>
          <w:highlight w:val="none"/>
        </w:rPr>
        <w:t>七</w:t>
      </w:r>
      <w:r>
        <w:rPr>
          <w:rFonts w:ascii="黑体" w:hAnsi="黑体" w:eastAsia="黑体"/>
          <w:color w:val="auto"/>
          <w:sz w:val="28"/>
          <w:szCs w:val="27"/>
          <w:highlight w:val="none"/>
        </w:rPr>
        <w:t>、施工组织设计</w:t>
      </w:r>
      <w:bookmarkEnd w:id="1118"/>
      <w:bookmarkEnd w:id="1119"/>
      <w:bookmarkEnd w:id="1120"/>
    </w:p>
    <w:p w14:paraId="699309AF">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1. </w:t>
      </w:r>
      <w:r>
        <w:rPr>
          <w:rFonts w:hint="eastAsia" w:ascii="宋体" w:hAnsi="宋体"/>
          <w:color w:val="auto"/>
          <w:szCs w:val="21"/>
          <w:highlight w:val="none"/>
        </w:rPr>
        <w:tab/>
      </w:r>
      <w:r>
        <w:rPr>
          <w:rFonts w:hint="eastAsia" w:ascii="宋体" w:hAnsi="宋体"/>
          <w:color w:val="auto"/>
          <w:szCs w:val="21"/>
          <w:highlight w:val="none"/>
        </w:rPr>
        <w:t>投标人编制施工组织设计的要求：编制时应简明扼要地说明施工方法，工程质量、安全生产、文明施工、环境保护、冬雨季施工、工程进度、技术组织等主要措施。用图表形式阐明本项目的施工总平面、进度计划以及拟投入主要施工设备、劳动力、项目管理机构等。</w:t>
      </w:r>
    </w:p>
    <w:p w14:paraId="108B60E6">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 图表及格式要求：</w:t>
      </w:r>
    </w:p>
    <w:p w14:paraId="7F57288C">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附表一  拟投入本标段的主要施工设备表</w:t>
      </w:r>
    </w:p>
    <w:p w14:paraId="65602D3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附表二  拟投入本标段的试验和检测仪器设备表</w:t>
      </w:r>
    </w:p>
    <w:p w14:paraId="6BF64CFF">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附表三  拟投入本标段的劳动力计划表</w:t>
      </w:r>
    </w:p>
    <w:p w14:paraId="5399540B">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附表四  计划开工日期、完工日期和施工进度网络图</w:t>
      </w:r>
    </w:p>
    <w:p w14:paraId="4692538D">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附表五  施工总平</w:t>
      </w:r>
      <w:bookmarkStart w:id="1121" w:name="_Toc168475922"/>
      <w:bookmarkStart w:id="1122" w:name="_Toc222029565"/>
      <w:bookmarkStart w:id="1123" w:name="_Toc168476325"/>
      <w:bookmarkStart w:id="1124" w:name="_Toc144974863"/>
      <w:bookmarkStart w:id="1125" w:name="_Toc222031067"/>
      <w:bookmarkStart w:id="1126" w:name="_Toc221952063"/>
      <w:r>
        <w:rPr>
          <w:rFonts w:hint="eastAsia" w:ascii="宋体" w:hAnsi="宋体"/>
          <w:color w:val="auto"/>
          <w:szCs w:val="21"/>
          <w:highlight w:val="none"/>
        </w:rPr>
        <w:t>面</w:t>
      </w:r>
      <w:bookmarkStart w:id="1127" w:name="_Toc229305425"/>
      <w:bookmarkStart w:id="1128" w:name="_Toc222032734"/>
      <w:bookmarkStart w:id="1129" w:name="_Toc359263286"/>
      <w:bookmarkStart w:id="1130" w:name="_Toc259524419"/>
      <w:bookmarkStart w:id="1131" w:name="_Toc222033916"/>
      <w:r>
        <w:rPr>
          <w:rFonts w:hint="eastAsia" w:ascii="宋体" w:hAnsi="宋体"/>
          <w:color w:val="auto"/>
          <w:szCs w:val="21"/>
          <w:highlight w:val="none"/>
        </w:rPr>
        <w:t>图</w:t>
      </w:r>
    </w:p>
    <w:p w14:paraId="3105DC5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附表六  临时用地表</w:t>
      </w:r>
    </w:p>
    <w:p w14:paraId="6A21E5B9">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（注：</w:t>
      </w:r>
      <w:r>
        <w:rPr>
          <w:rFonts w:ascii="宋体" w:hAnsi="宋体"/>
          <w:color w:val="auto"/>
          <w:szCs w:val="21"/>
          <w:highlight w:val="none"/>
        </w:rPr>
        <w:t xml:space="preserve">1. </w:t>
      </w:r>
      <w:r>
        <w:rPr>
          <w:rFonts w:hint="eastAsia" w:ascii="宋体" w:hAnsi="宋体"/>
          <w:color w:val="auto"/>
          <w:szCs w:val="21"/>
          <w:highlight w:val="none"/>
        </w:rPr>
        <w:t>不须要编制技术标的，投标人可不编写该部分内容，提交施工组织设计要点；2.投标人在编制施工组织设计或施工方案时应按照招标人提出的施工现场建筑垃圾源头减量的具体要求以及建筑垃圾综合利用产品的使用要求提供相应措施；3</w:t>
      </w:r>
      <w:r>
        <w:rPr>
          <w:rFonts w:ascii="宋体" w:hAnsi="宋体"/>
          <w:color w:val="auto"/>
          <w:szCs w:val="21"/>
          <w:highlight w:val="none"/>
        </w:rPr>
        <w:t>.</w:t>
      </w:r>
      <w:r>
        <w:rPr>
          <w:rFonts w:hint="eastAsia" w:ascii="宋体" w:hAnsi="宋体"/>
          <w:color w:val="auto"/>
          <w:szCs w:val="21"/>
          <w:highlight w:val="none"/>
        </w:rPr>
        <w:t>图表及格式要求供参考，招标人应根据项目情况自行确定具体要求）</w:t>
      </w:r>
    </w:p>
    <w:p w14:paraId="3D83D92B">
      <w:pPr>
        <w:spacing w:line="400" w:lineRule="exact"/>
        <w:rPr>
          <w:color w:val="auto"/>
          <w:sz w:val="19"/>
          <w:szCs w:val="19"/>
          <w:highlight w:val="none"/>
        </w:rPr>
      </w:pPr>
      <w:r>
        <w:rPr>
          <w:rFonts w:eastAsia="黑体"/>
          <w:color w:val="auto"/>
          <w:sz w:val="19"/>
          <w:szCs w:val="19"/>
          <w:highlight w:val="none"/>
        </w:rPr>
        <w:br w:type="page"/>
      </w:r>
    </w:p>
    <w:p w14:paraId="394A42FC">
      <w:pPr>
        <w:spacing w:line="400" w:lineRule="exact"/>
        <w:jc w:val="center"/>
        <w:outlineLvl w:val="3"/>
        <w:rPr>
          <w:rFonts w:ascii="宋体" w:hAnsi="宋体"/>
          <w:b/>
          <w:color w:val="auto"/>
          <w:sz w:val="24"/>
          <w:szCs w:val="31"/>
          <w:highlight w:val="none"/>
        </w:rPr>
      </w:pPr>
      <w:r>
        <w:rPr>
          <w:rFonts w:ascii="宋体" w:hAnsi="宋体"/>
          <w:b/>
          <w:color w:val="auto"/>
          <w:sz w:val="24"/>
          <w:szCs w:val="31"/>
          <w:highlight w:val="none"/>
        </w:rPr>
        <w:t>附表一：拟投</w:t>
      </w:r>
      <w:bookmarkEnd w:id="1121"/>
      <w:bookmarkEnd w:id="1122"/>
      <w:bookmarkEnd w:id="1123"/>
      <w:bookmarkEnd w:id="1124"/>
      <w:bookmarkEnd w:id="1125"/>
      <w:bookmarkEnd w:id="1126"/>
      <w:bookmarkEnd w:id="1127"/>
      <w:bookmarkEnd w:id="1128"/>
      <w:bookmarkEnd w:id="1129"/>
      <w:bookmarkEnd w:id="1130"/>
      <w:bookmarkEnd w:id="1131"/>
      <w:r>
        <w:rPr>
          <w:rFonts w:ascii="宋体" w:hAnsi="宋体"/>
          <w:b/>
          <w:color w:val="auto"/>
          <w:sz w:val="24"/>
          <w:szCs w:val="31"/>
          <w:highlight w:val="none"/>
        </w:rPr>
        <w:t>入本标段</w:t>
      </w:r>
      <w:bookmarkStart w:id="1132" w:name="_Toc168475923"/>
      <w:bookmarkStart w:id="1133" w:name="_Toc168476326"/>
      <w:bookmarkStart w:id="1134" w:name="_Toc221952064"/>
      <w:bookmarkStart w:id="1135" w:name="_Toc229305426"/>
      <w:bookmarkStart w:id="1136" w:name="_Toc222033917"/>
      <w:bookmarkStart w:id="1137" w:name="_Toc222031068"/>
      <w:bookmarkStart w:id="1138" w:name="_Toc359263287"/>
      <w:bookmarkStart w:id="1139" w:name="_Toc222029566"/>
      <w:bookmarkStart w:id="1140" w:name="_Toc144974864"/>
      <w:bookmarkStart w:id="1141" w:name="_Toc259524420"/>
      <w:bookmarkStart w:id="1142" w:name="_Toc222032735"/>
      <w:r>
        <w:rPr>
          <w:rFonts w:ascii="宋体" w:hAnsi="宋体"/>
          <w:b/>
          <w:color w:val="auto"/>
          <w:sz w:val="24"/>
          <w:szCs w:val="31"/>
          <w:highlight w:val="none"/>
        </w:rPr>
        <w:t>的主要施工设备表</w:t>
      </w:r>
      <w:bookmarkEnd w:id="1132"/>
      <w:bookmarkEnd w:id="1133"/>
      <w:bookmarkEnd w:id="1134"/>
      <w:bookmarkEnd w:id="1135"/>
      <w:bookmarkEnd w:id="1136"/>
      <w:bookmarkEnd w:id="1137"/>
      <w:bookmarkEnd w:id="1138"/>
      <w:bookmarkEnd w:id="1139"/>
      <w:bookmarkEnd w:id="1140"/>
      <w:bookmarkEnd w:id="1141"/>
      <w:bookmarkEnd w:id="1142"/>
    </w:p>
    <w:p w14:paraId="5A801F58">
      <w:pPr>
        <w:spacing w:line="400" w:lineRule="exact"/>
        <w:rPr>
          <w:color w:val="auto"/>
          <w:sz w:val="19"/>
          <w:szCs w:val="19"/>
          <w:highlight w:val="none"/>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59"/>
        <w:gridCol w:w="741"/>
        <w:gridCol w:w="965"/>
        <w:gridCol w:w="654"/>
        <w:gridCol w:w="719"/>
        <w:gridCol w:w="1181"/>
        <w:gridCol w:w="852"/>
        <w:gridCol w:w="1028"/>
        <w:gridCol w:w="673"/>
      </w:tblGrid>
      <w:tr w14:paraId="498F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4565838F">
            <w:pPr>
              <w:spacing w:line="400" w:lineRule="exact"/>
              <w:jc w:val="center"/>
              <w:rPr>
                <w:rFonts w:ascii="宋体" w:hAnsi="宋体"/>
                <w:color w:val="auto"/>
                <w:szCs w:val="21"/>
                <w:highlight w:val="none"/>
              </w:rPr>
            </w:pPr>
            <w:r>
              <w:rPr>
                <w:rFonts w:ascii="宋体" w:hAnsi="宋体"/>
                <w:color w:val="auto"/>
                <w:szCs w:val="21"/>
                <w:highlight w:val="none"/>
              </w:rPr>
              <w:t>序号</w:t>
            </w:r>
          </w:p>
        </w:tc>
        <w:tc>
          <w:tcPr>
            <w:tcW w:w="1059" w:type="dxa"/>
            <w:noWrap w:val="0"/>
            <w:vAlign w:val="top"/>
          </w:tcPr>
          <w:p w14:paraId="0931F87E">
            <w:pPr>
              <w:spacing w:line="400" w:lineRule="exact"/>
              <w:jc w:val="center"/>
              <w:rPr>
                <w:rFonts w:ascii="宋体" w:hAnsi="宋体"/>
                <w:color w:val="auto"/>
                <w:szCs w:val="21"/>
                <w:highlight w:val="none"/>
              </w:rPr>
            </w:pPr>
            <w:r>
              <w:rPr>
                <w:rFonts w:ascii="宋体" w:hAnsi="宋体"/>
                <w:color w:val="auto"/>
                <w:szCs w:val="21"/>
                <w:highlight w:val="none"/>
              </w:rPr>
              <w:t>设备名称</w:t>
            </w:r>
          </w:p>
        </w:tc>
        <w:tc>
          <w:tcPr>
            <w:tcW w:w="741" w:type="dxa"/>
            <w:noWrap w:val="0"/>
            <w:vAlign w:val="top"/>
          </w:tcPr>
          <w:p w14:paraId="0ABA6ECE">
            <w:pPr>
              <w:spacing w:line="400" w:lineRule="exact"/>
              <w:jc w:val="center"/>
              <w:rPr>
                <w:rFonts w:ascii="宋体" w:hAnsi="宋体"/>
                <w:color w:val="auto"/>
                <w:szCs w:val="21"/>
                <w:highlight w:val="none"/>
              </w:rPr>
            </w:pPr>
            <w:r>
              <w:rPr>
                <w:rFonts w:ascii="宋体" w:hAnsi="宋体"/>
                <w:color w:val="auto"/>
                <w:szCs w:val="21"/>
                <w:highlight w:val="none"/>
              </w:rPr>
              <w:t>型号</w:t>
            </w:r>
          </w:p>
          <w:p w14:paraId="4AD324C6">
            <w:pPr>
              <w:spacing w:line="400" w:lineRule="exact"/>
              <w:jc w:val="center"/>
              <w:rPr>
                <w:rFonts w:ascii="宋体" w:hAnsi="宋体"/>
                <w:color w:val="auto"/>
                <w:szCs w:val="21"/>
                <w:highlight w:val="none"/>
              </w:rPr>
            </w:pPr>
            <w:r>
              <w:rPr>
                <w:rFonts w:ascii="宋体" w:hAnsi="宋体"/>
                <w:color w:val="auto"/>
                <w:szCs w:val="21"/>
                <w:highlight w:val="none"/>
              </w:rPr>
              <w:t>规格</w:t>
            </w:r>
          </w:p>
        </w:tc>
        <w:tc>
          <w:tcPr>
            <w:tcW w:w="965" w:type="dxa"/>
            <w:noWrap w:val="0"/>
            <w:vAlign w:val="top"/>
          </w:tcPr>
          <w:p w14:paraId="44D780C6">
            <w:pPr>
              <w:spacing w:line="400" w:lineRule="exact"/>
              <w:jc w:val="center"/>
              <w:rPr>
                <w:rFonts w:ascii="宋体" w:hAnsi="宋体"/>
                <w:color w:val="auto"/>
                <w:szCs w:val="21"/>
                <w:highlight w:val="none"/>
              </w:rPr>
            </w:pPr>
            <w:r>
              <w:rPr>
                <w:rFonts w:ascii="宋体" w:hAnsi="宋体"/>
                <w:color w:val="auto"/>
                <w:szCs w:val="21"/>
                <w:highlight w:val="none"/>
              </w:rPr>
              <w:t>数量</w:t>
            </w:r>
          </w:p>
        </w:tc>
        <w:tc>
          <w:tcPr>
            <w:tcW w:w="654" w:type="dxa"/>
            <w:noWrap w:val="0"/>
            <w:vAlign w:val="top"/>
          </w:tcPr>
          <w:p w14:paraId="5E455618">
            <w:pPr>
              <w:spacing w:line="400" w:lineRule="exact"/>
              <w:jc w:val="center"/>
              <w:rPr>
                <w:rFonts w:ascii="宋体" w:hAnsi="宋体"/>
                <w:color w:val="auto"/>
                <w:szCs w:val="21"/>
                <w:highlight w:val="none"/>
              </w:rPr>
            </w:pPr>
            <w:r>
              <w:rPr>
                <w:rFonts w:ascii="宋体" w:hAnsi="宋体"/>
                <w:color w:val="auto"/>
                <w:szCs w:val="21"/>
                <w:highlight w:val="none"/>
              </w:rPr>
              <w:t>国别</w:t>
            </w:r>
          </w:p>
          <w:p w14:paraId="36B4C4AF">
            <w:pPr>
              <w:spacing w:line="400" w:lineRule="exact"/>
              <w:jc w:val="center"/>
              <w:rPr>
                <w:rFonts w:ascii="宋体" w:hAnsi="宋体"/>
                <w:color w:val="auto"/>
                <w:szCs w:val="21"/>
                <w:highlight w:val="none"/>
              </w:rPr>
            </w:pPr>
            <w:r>
              <w:rPr>
                <w:rFonts w:ascii="宋体" w:hAnsi="宋体"/>
                <w:color w:val="auto"/>
                <w:szCs w:val="21"/>
                <w:highlight w:val="none"/>
              </w:rPr>
              <w:t>产地</w:t>
            </w:r>
          </w:p>
        </w:tc>
        <w:tc>
          <w:tcPr>
            <w:tcW w:w="719" w:type="dxa"/>
            <w:noWrap w:val="0"/>
            <w:vAlign w:val="top"/>
          </w:tcPr>
          <w:p w14:paraId="3750C508">
            <w:pPr>
              <w:spacing w:line="400" w:lineRule="exact"/>
              <w:jc w:val="center"/>
              <w:rPr>
                <w:rFonts w:ascii="宋体" w:hAnsi="宋体"/>
                <w:color w:val="auto"/>
                <w:szCs w:val="21"/>
                <w:highlight w:val="none"/>
              </w:rPr>
            </w:pPr>
            <w:r>
              <w:rPr>
                <w:rFonts w:ascii="宋体" w:hAnsi="宋体"/>
                <w:color w:val="auto"/>
                <w:szCs w:val="21"/>
                <w:highlight w:val="none"/>
              </w:rPr>
              <w:t>制造</w:t>
            </w:r>
          </w:p>
          <w:p w14:paraId="63B64301">
            <w:pPr>
              <w:spacing w:line="400" w:lineRule="exact"/>
              <w:jc w:val="center"/>
              <w:rPr>
                <w:rFonts w:ascii="宋体" w:hAnsi="宋体"/>
                <w:color w:val="auto"/>
                <w:szCs w:val="21"/>
                <w:highlight w:val="none"/>
              </w:rPr>
            </w:pPr>
            <w:r>
              <w:rPr>
                <w:rFonts w:ascii="宋体" w:hAnsi="宋体"/>
                <w:color w:val="auto"/>
                <w:szCs w:val="21"/>
                <w:highlight w:val="none"/>
              </w:rPr>
              <w:t>年份</w:t>
            </w:r>
          </w:p>
        </w:tc>
        <w:tc>
          <w:tcPr>
            <w:tcW w:w="1181" w:type="dxa"/>
            <w:noWrap w:val="0"/>
            <w:vAlign w:val="top"/>
          </w:tcPr>
          <w:p w14:paraId="5D55EDBF">
            <w:pPr>
              <w:spacing w:line="400" w:lineRule="exact"/>
              <w:jc w:val="center"/>
              <w:rPr>
                <w:rFonts w:ascii="宋体" w:hAnsi="宋体"/>
                <w:color w:val="auto"/>
                <w:szCs w:val="21"/>
                <w:highlight w:val="none"/>
              </w:rPr>
            </w:pPr>
            <w:r>
              <w:rPr>
                <w:rFonts w:ascii="宋体" w:hAnsi="宋体"/>
                <w:color w:val="auto"/>
                <w:szCs w:val="21"/>
                <w:highlight w:val="none"/>
              </w:rPr>
              <w:t>额定功率（</w:t>
            </w:r>
            <w:r>
              <w:rPr>
                <w:rFonts w:hint="eastAsia" w:ascii="宋体" w:hAnsi="宋体"/>
                <w:color w:val="auto"/>
                <w:szCs w:val="21"/>
                <w:highlight w:val="none"/>
              </w:rPr>
              <w:t>K</w:t>
            </w:r>
            <w:r>
              <w:rPr>
                <w:rFonts w:ascii="宋体" w:hAnsi="宋体"/>
                <w:color w:val="auto"/>
                <w:szCs w:val="21"/>
                <w:highlight w:val="none"/>
              </w:rPr>
              <w:t>W）</w:t>
            </w:r>
          </w:p>
        </w:tc>
        <w:tc>
          <w:tcPr>
            <w:tcW w:w="852" w:type="dxa"/>
            <w:noWrap w:val="0"/>
            <w:vAlign w:val="top"/>
          </w:tcPr>
          <w:p w14:paraId="28CB56FC">
            <w:pPr>
              <w:spacing w:line="400" w:lineRule="exact"/>
              <w:jc w:val="center"/>
              <w:rPr>
                <w:rFonts w:ascii="宋体" w:hAnsi="宋体"/>
                <w:color w:val="auto"/>
                <w:szCs w:val="21"/>
                <w:highlight w:val="none"/>
              </w:rPr>
            </w:pPr>
            <w:r>
              <w:rPr>
                <w:rFonts w:ascii="宋体" w:hAnsi="宋体"/>
                <w:color w:val="auto"/>
                <w:szCs w:val="21"/>
                <w:highlight w:val="none"/>
              </w:rPr>
              <w:t>生产</w:t>
            </w:r>
          </w:p>
          <w:p w14:paraId="0FBA1DF8">
            <w:pPr>
              <w:spacing w:line="400" w:lineRule="exact"/>
              <w:jc w:val="center"/>
              <w:rPr>
                <w:rFonts w:ascii="宋体" w:hAnsi="宋体"/>
                <w:color w:val="auto"/>
                <w:szCs w:val="21"/>
                <w:highlight w:val="none"/>
              </w:rPr>
            </w:pPr>
            <w:r>
              <w:rPr>
                <w:rFonts w:ascii="宋体" w:hAnsi="宋体"/>
                <w:color w:val="auto"/>
                <w:szCs w:val="21"/>
                <w:highlight w:val="none"/>
              </w:rPr>
              <w:t>能力</w:t>
            </w:r>
          </w:p>
        </w:tc>
        <w:tc>
          <w:tcPr>
            <w:tcW w:w="1028" w:type="dxa"/>
            <w:noWrap w:val="0"/>
            <w:vAlign w:val="top"/>
          </w:tcPr>
          <w:p w14:paraId="587305D3">
            <w:pPr>
              <w:spacing w:line="400" w:lineRule="exact"/>
              <w:jc w:val="center"/>
              <w:rPr>
                <w:rFonts w:ascii="宋体" w:hAnsi="宋体"/>
                <w:color w:val="auto"/>
                <w:szCs w:val="21"/>
                <w:highlight w:val="none"/>
              </w:rPr>
            </w:pPr>
            <w:r>
              <w:rPr>
                <w:rFonts w:ascii="宋体" w:hAnsi="宋体"/>
                <w:color w:val="auto"/>
                <w:szCs w:val="21"/>
                <w:highlight w:val="none"/>
              </w:rPr>
              <w:t>用于施工部位</w:t>
            </w:r>
          </w:p>
        </w:tc>
        <w:tc>
          <w:tcPr>
            <w:tcW w:w="673" w:type="dxa"/>
            <w:noWrap w:val="0"/>
            <w:vAlign w:val="top"/>
          </w:tcPr>
          <w:p w14:paraId="20565891">
            <w:pPr>
              <w:spacing w:line="400" w:lineRule="exact"/>
              <w:jc w:val="center"/>
              <w:rPr>
                <w:rFonts w:ascii="宋体" w:hAnsi="宋体"/>
                <w:color w:val="auto"/>
                <w:szCs w:val="21"/>
                <w:highlight w:val="none"/>
              </w:rPr>
            </w:pPr>
            <w:r>
              <w:rPr>
                <w:rFonts w:ascii="宋体" w:hAnsi="宋体"/>
                <w:color w:val="auto"/>
                <w:szCs w:val="21"/>
                <w:highlight w:val="none"/>
              </w:rPr>
              <w:t>备注</w:t>
            </w:r>
          </w:p>
        </w:tc>
      </w:tr>
      <w:tr w14:paraId="59C2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110CF40F">
            <w:pPr>
              <w:spacing w:line="400" w:lineRule="exact"/>
              <w:jc w:val="center"/>
              <w:rPr>
                <w:rFonts w:ascii="宋体" w:hAnsi="宋体"/>
                <w:color w:val="auto"/>
                <w:szCs w:val="21"/>
                <w:highlight w:val="none"/>
              </w:rPr>
            </w:pPr>
          </w:p>
        </w:tc>
        <w:tc>
          <w:tcPr>
            <w:tcW w:w="1059" w:type="dxa"/>
            <w:noWrap w:val="0"/>
            <w:vAlign w:val="top"/>
          </w:tcPr>
          <w:p w14:paraId="6B9FC1C9">
            <w:pPr>
              <w:spacing w:line="400" w:lineRule="exact"/>
              <w:jc w:val="center"/>
              <w:rPr>
                <w:rFonts w:ascii="宋体" w:hAnsi="宋体"/>
                <w:color w:val="auto"/>
                <w:szCs w:val="21"/>
                <w:highlight w:val="none"/>
              </w:rPr>
            </w:pPr>
          </w:p>
        </w:tc>
        <w:tc>
          <w:tcPr>
            <w:tcW w:w="741" w:type="dxa"/>
            <w:noWrap w:val="0"/>
            <w:vAlign w:val="top"/>
          </w:tcPr>
          <w:p w14:paraId="6F855001">
            <w:pPr>
              <w:spacing w:line="400" w:lineRule="exact"/>
              <w:jc w:val="center"/>
              <w:rPr>
                <w:rFonts w:ascii="宋体" w:hAnsi="宋体"/>
                <w:color w:val="auto"/>
                <w:szCs w:val="21"/>
                <w:highlight w:val="none"/>
              </w:rPr>
            </w:pPr>
          </w:p>
        </w:tc>
        <w:tc>
          <w:tcPr>
            <w:tcW w:w="965" w:type="dxa"/>
            <w:noWrap w:val="0"/>
            <w:vAlign w:val="top"/>
          </w:tcPr>
          <w:p w14:paraId="38C32A32">
            <w:pPr>
              <w:spacing w:line="400" w:lineRule="exact"/>
              <w:jc w:val="center"/>
              <w:rPr>
                <w:rFonts w:ascii="宋体" w:hAnsi="宋体"/>
                <w:color w:val="auto"/>
                <w:szCs w:val="21"/>
                <w:highlight w:val="none"/>
              </w:rPr>
            </w:pPr>
          </w:p>
        </w:tc>
        <w:tc>
          <w:tcPr>
            <w:tcW w:w="654" w:type="dxa"/>
            <w:noWrap w:val="0"/>
            <w:vAlign w:val="top"/>
          </w:tcPr>
          <w:p w14:paraId="748192ED">
            <w:pPr>
              <w:spacing w:line="400" w:lineRule="exact"/>
              <w:jc w:val="center"/>
              <w:rPr>
                <w:rFonts w:ascii="宋体" w:hAnsi="宋体"/>
                <w:color w:val="auto"/>
                <w:szCs w:val="21"/>
                <w:highlight w:val="none"/>
              </w:rPr>
            </w:pPr>
          </w:p>
        </w:tc>
        <w:tc>
          <w:tcPr>
            <w:tcW w:w="719" w:type="dxa"/>
            <w:noWrap w:val="0"/>
            <w:vAlign w:val="top"/>
          </w:tcPr>
          <w:p w14:paraId="6AAEA92A">
            <w:pPr>
              <w:spacing w:line="400" w:lineRule="exact"/>
              <w:jc w:val="center"/>
              <w:rPr>
                <w:rFonts w:ascii="宋体" w:hAnsi="宋体"/>
                <w:color w:val="auto"/>
                <w:szCs w:val="21"/>
                <w:highlight w:val="none"/>
              </w:rPr>
            </w:pPr>
          </w:p>
        </w:tc>
        <w:tc>
          <w:tcPr>
            <w:tcW w:w="1181" w:type="dxa"/>
            <w:noWrap w:val="0"/>
            <w:vAlign w:val="top"/>
          </w:tcPr>
          <w:p w14:paraId="4C307696">
            <w:pPr>
              <w:spacing w:line="400" w:lineRule="exact"/>
              <w:jc w:val="center"/>
              <w:rPr>
                <w:rFonts w:ascii="宋体" w:hAnsi="宋体"/>
                <w:color w:val="auto"/>
                <w:szCs w:val="21"/>
                <w:highlight w:val="none"/>
              </w:rPr>
            </w:pPr>
          </w:p>
        </w:tc>
        <w:tc>
          <w:tcPr>
            <w:tcW w:w="852" w:type="dxa"/>
            <w:noWrap w:val="0"/>
            <w:vAlign w:val="top"/>
          </w:tcPr>
          <w:p w14:paraId="52E17806">
            <w:pPr>
              <w:spacing w:line="400" w:lineRule="exact"/>
              <w:jc w:val="center"/>
              <w:rPr>
                <w:rFonts w:ascii="宋体" w:hAnsi="宋体"/>
                <w:color w:val="auto"/>
                <w:szCs w:val="21"/>
                <w:highlight w:val="none"/>
              </w:rPr>
            </w:pPr>
          </w:p>
        </w:tc>
        <w:tc>
          <w:tcPr>
            <w:tcW w:w="1028" w:type="dxa"/>
            <w:noWrap w:val="0"/>
            <w:vAlign w:val="top"/>
          </w:tcPr>
          <w:p w14:paraId="33B7B37E">
            <w:pPr>
              <w:spacing w:line="400" w:lineRule="exact"/>
              <w:jc w:val="center"/>
              <w:rPr>
                <w:rFonts w:ascii="宋体" w:hAnsi="宋体"/>
                <w:color w:val="auto"/>
                <w:szCs w:val="21"/>
                <w:highlight w:val="none"/>
              </w:rPr>
            </w:pPr>
          </w:p>
        </w:tc>
        <w:tc>
          <w:tcPr>
            <w:tcW w:w="673" w:type="dxa"/>
            <w:noWrap w:val="0"/>
            <w:vAlign w:val="top"/>
          </w:tcPr>
          <w:p w14:paraId="3D6CBCCE">
            <w:pPr>
              <w:spacing w:line="400" w:lineRule="exact"/>
              <w:jc w:val="center"/>
              <w:rPr>
                <w:rFonts w:ascii="宋体" w:hAnsi="宋体"/>
                <w:color w:val="auto"/>
                <w:szCs w:val="21"/>
                <w:highlight w:val="none"/>
              </w:rPr>
            </w:pPr>
          </w:p>
        </w:tc>
      </w:tr>
      <w:tr w14:paraId="6A6C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077832B7">
            <w:pPr>
              <w:spacing w:line="400" w:lineRule="exact"/>
              <w:jc w:val="center"/>
              <w:rPr>
                <w:rFonts w:ascii="宋体" w:hAnsi="宋体"/>
                <w:color w:val="auto"/>
                <w:szCs w:val="21"/>
                <w:highlight w:val="none"/>
              </w:rPr>
            </w:pPr>
          </w:p>
        </w:tc>
        <w:tc>
          <w:tcPr>
            <w:tcW w:w="1059" w:type="dxa"/>
            <w:noWrap w:val="0"/>
            <w:vAlign w:val="top"/>
          </w:tcPr>
          <w:p w14:paraId="22CF4401">
            <w:pPr>
              <w:spacing w:line="400" w:lineRule="exact"/>
              <w:jc w:val="center"/>
              <w:rPr>
                <w:rFonts w:ascii="宋体" w:hAnsi="宋体"/>
                <w:color w:val="auto"/>
                <w:szCs w:val="21"/>
                <w:highlight w:val="none"/>
              </w:rPr>
            </w:pPr>
          </w:p>
        </w:tc>
        <w:tc>
          <w:tcPr>
            <w:tcW w:w="741" w:type="dxa"/>
            <w:noWrap w:val="0"/>
            <w:vAlign w:val="top"/>
          </w:tcPr>
          <w:p w14:paraId="4096B2CE">
            <w:pPr>
              <w:spacing w:line="400" w:lineRule="exact"/>
              <w:jc w:val="center"/>
              <w:rPr>
                <w:rFonts w:ascii="宋体" w:hAnsi="宋体"/>
                <w:color w:val="auto"/>
                <w:szCs w:val="21"/>
                <w:highlight w:val="none"/>
              </w:rPr>
            </w:pPr>
          </w:p>
        </w:tc>
        <w:tc>
          <w:tcPr>
            <w:tcW w:w="965" w:type="dxa"/>
            <w:noWrap w:val="0"/>
            <w:vAlign w:val="top"/>
          </w:tcPr>
          <w:p w14:paraId="405E9509">
            <w:pPr>
              <w:spacing w:line="400" w:lineRule="exact"/>
              <w:jc w:val="center"/>
              <w:rPr>
                <w:rFonts w:ascii="宋体" w:hAnsi="宋体"/>
                <w:color w:val="auto"/>
                <w:szCs w:val="21"/>
                <w:highlight w:val="none"/>
              </w:rPr>
            </w:pPr>
          </w:p>
        </w:tc>
        <w:tc>
          <w:tcPr>
            <w:tcW w:w="654" w:type="dxa"/>
            <w:noWrap w:val="0"/>
            <w:vAlign w:val="top"/>
          </w:tcPr>
          <w:p w14:paraId="6946F4C6">
            <w:pPr>
              <w:spacing w:line="400" w:lineRule="exact"/>
              <w:jc w:val="center"/>
              <w:rPr>
                <w:rFonts w:ascii="宋体" w:hAnsi="宋体"/>
                <w:color w:val="auto"/>
                <w:szCs w:val="21"/>
                <w:highlight w:val="none"/>
              </w:rPr>
            </w:pPr>
          </w:p>
        </w:tc>
        <w:tc>
          <w:tcPr>
            <w:tcW w:w="719" w:type="dxa"/>
            <w:noWrap w:val="0"/>
            <w:vAlign w:val="top"/>
          </w:tcPr>
          <w:p w14:paraId="05B36D78">
            <w:pPr>
              <w:spacing w:line="400" w:lineRule="exact"/>
              <w:jc w:val="center"/>
              <w:rPr>
                <w:rFonts w:ascii="宋体" w:hAnsi="宋体"/>
                <w:color w:val="auto"/>
                <w:szCs w:val="21"/>
                <w:highlight w:val="none"/>
              </w:rPr>
            </w:pPr>
          </w:p>
        </w:tc>
        <w:tc>
          <w:tcPr>
            <w:tcW w:w="1181" w:type="dxa"/>
            <w:noWrap w:val="0"/>
            <w:vAlign w:val="top"/>
          </w:tcPr>
          <w:p w14:paraId="323E6C04">
            <w:pPr>
              <w:spacing w:line="400" w:lineRule="exact"/>
              <w:jc w:val="center"/>
              <w:rPr>
                <w:rFonts w:ascii="宋体" w:hAnsi="宋体"/>
                <w:color w:val="auto"/>
                <w:szCs w:val="21"/>
                <w:highlight w:val="none"/>
              </w:rPr>
            </w:pPr>
          </w:p>
        </w:tc>
        <w:tc>
          <w:tcPr>
            <w:tcW w:w="852" w:type="dxa"/>
            <w:noWrap w:val="0"/>
            <w:vAlign w:val="top"/>
          </w:tcPr>
          <w:p w14:paraId="2C8D326D">
            <w:pPr>
              <w:spacing w:line="400" w:lineRule="exact"/>
              <w:jc w:val="center"/>
              <w:rPr>
                <w:rFonts w:ascii="宋体" w:hAnsi="宋体"/>
                <w:color w:val="auto"/>
                <w:szCs w:val="21"/>
                <w:highlight w:val="none"/>
              </w:rPr>
            </w:pPr>
          </w:p>
        </w:tc>
        <w:tc>
          <w:tcPr>
            <w:tcW w:w="1028" w:type="dxa"/>
            <w:noWrap w:val="0"/>
            <w:vAlign w:val="top"/>
          </w:tcPr>
          <w:p w14:paraId="70B51518">
            <w:pPr>
              <w:spacing w:line="400" w:lineRule="exact"/>
              <w:jc w:val="center"/>
              <w:rPr>
                <w:rFonts w:ascii="宋体" w:hAnsi="宋体"/>
                <w:color w:val="auto"/>
                <w:szCs w:val="21"/>
                <w:highlight w:val="none"/>
              </w:rPr>
            </w:pPr>
          </w:p>
        </w:tc>
        <w:tc>
          <w:tcPr>
            <w:tcW w:w="673" w:type="dxa"/>
            <w:noWrap w:val="0"/>
            <w:vAlign w:val="top"/>
          </w:tcPr>
          <w:p w14:paraId="528577CA">
            <w:pPr>
              <w:spacing w:line="400" w:lineRule="exact"/>
              <w:jc w:val="center"/>
              <w:rPr>
                <w:rFonts w:ascii="宋体" w:hAnsi="宋体"/>
                <w:color w:val="auto"/>
                <w:szCs w:val="21"/>
                <w:highlight w:val="none"/>
              </w:rPr>
            </w:pPr>
          </w:p>
        </w:tc>
      </w:tr>
      <w:tr w14:paraId="09BA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3442393E">
            <w:pPr>
              <w:spacing w:line="400" w:lineRule="exact"/>
              <w:jc w:val="center"/>
              <w:rPr>
                <w:rFonts w:ascii="宋体" w:hAnsi="宋体"/>
                <w:color w:val="auto"/>
                <w:szCs w:val="21"/>
                <w:highlight w:val="none"/>
              </w:rPr>
            </w:pPr>
          </w:p>
        </w:tc>
        <w:tc>
          <w:tcPr>
            <w:tcW w:w="1059" w:type="dxa"/>
            <w:noWrap w:val="0"/>
            <w:vAlign w:val="top"/>
          </w:tcPr>
          <w:p w14:paraId="340986A9">
            <w:pPr>
              <w:spacing w:line="400" w:lineRule="exact"/>
              <w:jc w:val="center"/>
              <w:rPr>
                <w:rFonts w:ascii="宋体" w:hAnsi="宋体"/>
                <w:color w:val="auto"/>
                <w:szCs w:val="21"/>
                <w:highlight w:val="none"/>
              </w:rPr>
            </w:pPr>
          </w:p>
        </w:tc>
        <w:tc>
          <w:tcPr>
            <w:tcW w:w="741" w:type="dxa"/>
            <w:noWrap w:val="0"/>
            <w:vAlign w:val="top"/>
          </w:tcPr>
          <w:p w14:paraId="561129CE">
            <w:pPr>
              <w:spacing w:line="400" w:lineRule="exact"/>
              <w:jc w:val="center"/>
              <w:rPr>
                <w:rFonts w:ascii="宋体" w:hAnsi="宋体"/>
                <w:color w:val="auto"/>
                <w:szCs w:val="21"/>
                <w:highlight w:val="none"/>
              </w:rPr>
            </w:pPr>
          </w:p>
        </w:tc>
        <w:tc>
          <w:tcPr>
            <w:tcW w:w="965" w:type="dxa"/>
            <w:noWrap w:val="0"/>
            <w:vAlign w:val="top"/>
          </w:tcPr>
          <w:p w14:paraId="36A9D7D9">
            <w:pPr>
              <w:spacing w:line="400" w:lineRule="exact"/>
              <w:jc w:val="center"/>
              <w:rPr>
                <w:rFonts w:ascii="宋体" w:hAnsi="宋体"/>
                <w:color w:val="auto"/>
                <w:szCs w:val="21"/>
                <w:highlight w:val="none"/>
              </w:rPr>
            </w:pPr>
          </w:p>
        </w:tc>
        <w:tc>
          <w:tcPr>
            <w:tcW w:w="654" w:type="dxa"/>
            <w:noWrap w:val="0"/>
            <w:vAlign w:val="top"/>
          </w:tcPr>
          <w:p w14:paraId="0C04D6E0">
            <w:pPr>
              <w:spacing w:line="400" w:lineRule="exact"/>
              <w:jc w:val="center"/>
              <w:rPr>
                <w:rFonts w:ascii="宋体" w:hAnsi="宋体"/>
                <w:color w:val="auto"/>
                <w:szCs w:val="21"/>
                <w:highlight w:val="none"/>
              </w:rPr>
            </w:pPr>
          </w:p>
        </w:tc>
        <w:tc>
          <w:tcPr>
            <w:tcW w:w="719" w:type="dxa"/>
            <w:noWrap w:val="0"/>
            <w:vAlign w:val="top"/>
          </w:tcPr>
          <w:p w14:paraId="37EF043A">
            <w:pPr>
              <w:spacing w:line="400" w:lineRule="exact"/>
              <w:jc w:val="center"/>
              <w:rPr>
                <w:rFonts w:ascii="宋体" w:hAnsi="宋体"/>
                <w:color w:val="auto"/>
                <w:szCs w:val="21"/>
                <w:highlight w:val="none"/>
              </w:rPr>
            </w:pPr>
          </w:p>
        </w:tc>
        <w:tc>
          <w:tcPr>
            <w:tcW w:w="1181" w:type="dxa"/>
            <w:noWrap w:val="0"/>
            <w:vAlign w:val="top"/>
          </w:tcPr>
          <w:p w14:paraId="4F846CDF">
            <w:pPr>
              <w:spacing w:line="400" w:lineRule="exact"/>
              <w:jc w:val="center"/>
              <w:rPr>
                <w:rFonts w:ascii="宋体" w:hAnsi="宋体"/>
                <w:color w:val="auto"/>
                <w:szCs w:val="21"/>
                <w:highlight w:val="none"/>
              </w:rPr>
            </w:pPr>
          </w:p>
        </w:tc>
        <w:tc>
          <w:tcPr>
            <w:tcW w:w="852" w:type="dxa"/>
            <w:noWrap w:val="0"/>
            <w:vAlign w:val="top"/>
          </w:tcPr>
          <w:p w14:paraId="4E907D21">
            <w:pPr>
              <w:spacing w:line="400" w:lineRule="exact"/>
              <w:jc w:val="center"/>
              <w:rPr>
                <w:rFonts w:ascii="宋体" w:hAnsi="宋体"/>
                <w:color w:val="auto"/>
                <w:szCs w:val="21"/>
                <w:highlight w:val="none"/>
              </w:rPr>
            </w:pPr>
          </w:p>
        </w:tc>
        <w:tc>
          <w:tcPr>
            <w:tcW w:w="1028" w:type="dxa"/>
            <w:noWrap w:val="0"/>
            <w:vAlign w:val="top"/>
          </w:tcPr>
          <w:p w14:paraId="0AF5CE30">
            <w:pPr>
              <w:spacing w:line="400" w:lineRule="exact"/>
              <w:jc w:val="center"/>
              <w:rPr>
                <w:rFonts w:ascii="宋体" w:hAnsi="宋体"/>
                <w:color w:val="auto"/>
                <w:szCs w:val="21"/>
                <w:highlight w:val="none"/>
              </w:rPr>
            </w:pPr>
          </w:p>
        </w:tc>
        <w:tc>
          <w:tcPr>
            <w:tcW w:w="673" w:type="dxa"/>
            <w:noWrap w:val="0"/>
            <w:vAlign w:val="top"/>
          </w:tcPr>
          <w:p w14:paraId="01719C1B">
            <w:pPr>
              <w:spacing w:line="400" w:lineRule="exact"/>
              <w:jc w:val="center"/>
              <w:rPr>
                <w:rFonts w:ascii="宋体" w:hAnsi="宋体"/>
                <w:color w:val="auto"/>
                <w:szCs w:val="21"/>
                <w:highlight w:val="none"/>
              </w:rPr>
            </w:pPr>
          </w:p>
        </w:tc>
      </w:tr>
      <w:tr w14:paraId="437C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009B6EA0">
            <w:pPr>
              <w:spacing w:line="400" w:lineRule="exact"/>
              <w:jc w:val="center"/>
              <w:rPr>
                <w:rFonts w:ascii="宋体" w:hAnsi="宋体"/>
                <w:color w:val="auto"/>
                <w:szCs w:val="21"/>
                <w:highlight w:val="none"/>
              </w:rPr>
            </w:pPr>
          </w:p>
        </w:tc>
        <w:tc>
          <w:tcPr>
            <w:tcW w:w="1059" w:type="dxa"/>
            <w:noWrap w:val="0"/>
            <w:vAlign w:val="top"/>
          </w:tcPr>
          <w:p w14:paraId="5FAB6248">
            <w:pPr>
              <w:spacing w:line="400" w:lineRule="exact"/>
              <w:jc w:val="center"/>
              <w:rPr>
                <w:rFonts w:ascii="宋体" w:hAnsi="宋体"/>
                <w:color w:val="auto"/>
                <w:szCs w:val="21"/>
                <w:highlight w:val="none"/>
              </w:rPr>
            </w:pPr>
          </w:p>
        </w:tc>
        <w:tc>
          <w:tcPr>
            <w:tcW w:w="741" w:type="dxa"/>
            <w:noWrap w:val="0"/>
            <w:vAlign w:val="top"/>
          </w:tcPr>
          <w:p w14:paraId="73E41634">
            <w:pPr>
              <w:spacing w:line="400" w:lineRule="exact"/>
              <w:jc w:val="center"/>
              <w:rPr>
                <w:rFonts w:ascii="宋体" w:hAnsi="宋体"/>
                <w:color w:val="auto"/>
                <w:szCs w:val="21"/>
                <w:highlight w:val="none"/>
              </w:rPr>
            </w:pPr>
          </w:p>
        </w:tc>
        <w:tc>
          <w:tcPr>
            <w:tcW w:w="965" w:type="dxa"/>
            <w:noWrap w:val="0"/>
            <w:vAlign w:val="top"/>
          </w:tcPr>
          <w:p w14:paraId="02B7A5A3">
            <w:pPr>
              <w:spacing w:line="400" w:lineRule="exact"/>
              <w:jc w:val="center"/>
              <w:rPr>
                <w:rFonts w:ascii="宋体" w:hAnsi="宋体"/>
                <w:color w:val="auto"/>
                <w:szCs w:val="21"/>
                <w:highlight w:val="none"/>
              </w:rPr>
            </w:pPr>
          </w:p>
        </w:tc>
        <w:tc>
          <w:tcPr>
            <w:tcW w:w="654" w:type="dxa"/>
            <w:noWrap w:val="0"/>
            <w:vAlign w:val="top"/>
          </w:tcPr>
          <w:p w14:paraId="2BDDA9F5">
            <w:pPr>
              <w:spacing w:line="400" w:lineRule="exact"/>
              <w:jc w:val="center"/>
              <w:rPr>
                <w:rFonts w:ascii="宋体" w:hAnsi="宋体"/>
                <w:color w:val="auto"/>
                <w:szCs w:val="21"/>
                <w:highlight w:val="none"/>
              </w:rPr>
            </w:pPr>
          </w:p>
        </w:tc>
        <w:tc>
          <w:tcPr>
            <w:tcW w:w="719" w:type="dxa"/>
            <w:noWrap w:val="0"/>
            <w:vAlign w:val="top"/>
          </w:tcPr>
          <w:p w14:paraId="276D575E">
            <w:pPr>
              <w:spacing w:line="400" w:lineRule="exact"/>
              <w:jc w:val="center"/>
              <w:rPr>
                <w:rFonts w:ascii="宋体" w:hAnsi="宋体"/>
                <w:color w:val="auto"/>
                <w:szCs w:val="21"/>
                <w:highlight w:val="none"/>
              </w:rPr>
            </w:pPr>
          </w:p>
        </w:tc>
        <w:tc>
          <w:tcPr>
            <w:tcW w:w="1181" w:type="dxa"/>
            <w:noWrap w:val="0"/>
            <w:vAlign w:val="top"/>
          </w:tcPr>
          <w:p w14:paraId="1A160DEC">
            <w:pPr>
              <w:spacing w:line="400" w:lineRule="exact"/>
              <w:jc w:val="center"/>
              <w:rPr>
                <w:rFonts w:ascii="宋体" w:hAnsi="宋体"/>
                <w:color w:val="auto"/>
                <w:szCs w:val="21"/>
                <w:highlight w:val="none"/>
              </w:rPr>
            </w:pPr>
          </w:p>
        </w:tc>
        <w:tc>
          <w:tcPr>
            <w:tcW w:w="852" w:type="dxa"/>
            <w:noWrap w:val="0"/>
            <w:vAlign w:val="top"/>
          </w:tcPr>
          <w:p w14:paraId="38542EB6">
            <w:pPr>
              <w:spacing w:line="400" w:lineRule="exact"/>
              <w:jc w:val="center"/>
              <w:rPr>
                <w:rFonts w:ascii="宋体" w:hAnsi="宋体"/>
                <w:color w:val="auto"/>
                <w:szCs w:val="21"/>
                <w:highlight w:val="none"/>
              </w:rPr>
            </w:pPr>
          </w:p>
        </w:tc>
        <w:tc>
          <w:tcPr>
            <w:tcW w:w="1028" w:type="dxa"/>
            <w:noWrap w:val="0"/>
            <w:vAlign w:val="top"/>
          </w:tcPr>
          <w:p w14:paraId="45D46263">
            <w:pPr>
              <w:spacing w:line="400" w:lineRule="exact"/>
              <w:jc w:val="center"/>
              <w:rPr>
                <w:rFonts w:ascii="宋体" w:hAnsi="宋体"/>
                <w:color w:val="auto"/>
                <w:szCs w:val="21"/>
                <w:highlight w:val="none"/>
              </w:rPr>
            </w:pPr>
          </w:p>
        </w:tc>
        <w:tc>
          <w:tcPr>
            <w:tcW w:w="673" w:type="dxa"/>
            <w:noWrap w:val="0"/>
            <w:vAlign w:val="top"/>
          </w:tcPr>
          <w:p w14:paraId="4147AC48">
            <w:pPr>
              <w:spacing w:line="400" w:lineRule="exact"/>
              <w:jc w:val="center"/>
              <w:rPr>
                <w:rFonts w:ascii="宋体" w:hAnsi="宋体"/>
                <w:color w:val="auto"/>
                <w:szCs w:val="21"/>
                <w:highlight w:val="none"/>
              </w:rPr>
            </w:pPr>
          </w:p>
        </w:tc>
      </w:tr>
      <w:tr w14:paraId="48ED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EC8F097">
            <w:pPr>
              <w:spacing w:line="400" w:lineRule="exact"/>
              <w:jc w:val="center"/>
              <w:rPr>
                <w:rFonts w:ascii="宋体" w:hAnsi="宋体"/>
                <w:color w:val="auto"/>
                <w:szCs w:val="21"/>
                <w:highlight w:val="none"/>
              </w:rPr>
            </w:pPr>
          </w:p>
        </w:tc>
        <w:tc>
          <w:tcPr>
            <w:tcW w:w="1059" w:type="dxa"/>
            <w:noWrap w:val="0"/>
            <w:vAlign w:val="top"/>
          </w:tcPr>
          <w:p w14:paraId="424AE988">
            <w:pPr>
              <w:spacing w:line="400" w:lineRule="exact"/>
              <w:jc w:val="center"/>
              <w:rPr>
                <w:rFonts w:ascii="宋体" w:hAnsi="宋体"/>
                <w:color w:val="auto"/>
                <w:szCs w:val="21"/>
                <w:highlight w:val="none"/>
              </w:rPr>
            </w:pPr>
          </w:p>
        </w:tc>
        <w:tc>
          <w:tcPr>
            <w:tcW w:w="741" w:type="dxa"/>
            <w:noWrap w:val="0"/>
            <w:vAlign w:val="top"/>
          </w:tcPr>
          <w:p w14:paraId="32A0A4DB">
            <w:pPr>
              <w:spacing w:line="400" w:lineRule="exact"/>
              <w:jc w:val="center"/>
              <w:rPr>
                <w:rFonts w:ascii="宋体" w:hAnsi="宋体"/>
                <w:color w:val="auto"/>
                <w:szCs w:val="21"/>
                <w:highlight w:val="none"/>
              </w:rPr>
            </w:pPr>
          </w:p>
        </w:tc>
        <w:tc>
          <w:tcPr>
            <w:tcW w:w="965" w:type="dxa"/>
            <w:noWrap w:val="0"/>
            <w:vAlign w:val="top"/>
          </w:tcPr>
          <w:p w14:paraId="680701B6">
            <w:pPr>
              <w:spacing w:line="400" w:lineRule="exact"/>
              <w:jc w:val="center"/>
              <w:rPr>
                <w:rFonts w:ascii="宋体" w:hAnsi="宋体"/>
                <w:color w:val="auto"/>
                <w:szCs w:val="21"/>
                <w:highlight w:val="none"/>
              </w:rPr>
            </w:pPr>
          </w:p>
        </w:tc>
        <w:tc>
          <w:tcPr>
            <w:tcW w:w="654" w:type="dxa"/>
            <w:noWrap w:val="0"/>
            <w:vAlign w:val="top"/>
          </w:tcPr>
          <w:p w14:paraId="58CD925E">
            <w:pPr>
              <w:spacing w:line="400" w:lineRule="exact"/>
              <w:jc w:val="center"/>
              <w:rPr>
                <w:rFonts w:ascii="宋体" w:hAnsi="宋体"/>
                <w:color w:val="auto"/>
                <w:szCs w:val="21"/>
                <w:highlight w:val="none"/>
              </w:rPr>
            </w:pPr>
          </w:p>
        </w:tc>
        <w:tc>
          <w:tcPr>
            <w:tcW w:w="719" w:type="dxa"/>
            <w:noWrap w:val="0"/>
            <w:vAlign w:val="top"/>
          </w:tcPr>
          <w:p w14:paraId="33F2929D">
            <w:pPr>
              <w:spacing w:line="400" w:lineRule="exact"/>
              <w:jc w:val="center"/>
              <w:rPr>
                <w:rFonts w:ascii="宋体" w:hAnsi="宋体"/>
                <w:color w:val="auto"/>
                <w:szCs w:val="21"/>
                <w:highlight w:val="none"/>
              </w:rPr>
            </w:pPr>
          </w:p>
        </w:tc>
        <w:tc>
          <w:tcPr>
            <w:tcW w:w="1181" w:type="dxa"/>
            <w:noWrap w:val="0"/>
            <w:vAlign w:val="top"/>
          </w:tcPr>
          <w:p w14:paraId="713792C0">
            <w:pPr>
              <w:spacing w:line="400" w:lineRule="exact"/>
              <w:jc w:val="center"/>
              <w:rPr>
                <w:rFonts w:ascii="宋体" w:hAnsi="宋体"/>
                <w:color w:val="auto"/>
                <w:szCs w:val="21"/>
                <w:highlight w:val="none"/>
              </w:rPr>
            </w:pPr>
          </w:p>
        </w:tc>
        <w:tc>
          <w:tcPr>
            <w:tcW w:w="852" w:type="dxa"/>
            <w:noWrap w:val="0"/>
            <w:vAlign w:val="top"/>
          </w:tcPr>
          <w:p w14:paraId="72CA1580">
            <w:pPr>
              <w:spacing w:line="400" w:lineRule="exact"/>
              <w:jc w:val="center"/>
              <w:rPr>
                <w:rFonts w:ascii="宋体" w:hAnsi="宋体"/>
                <w:color w:val="auto"/>
                <w:szCs w:val="21"/>
                <w:highlight w:val="none"/>
              </w:rPr>
            </w:pPr>
          </w:p>
        </w:tc>
        <w:tc>
          <w:tcPr>
            <w:tcW w:w="1028" w:type="dxa"/>
            <w:noWrap w:val="0"/>
            <w:vAlign w:val="top"/>
          </w:tcPr>
          <w:p w14:paraId="26B78FC9">
            <w:pPr>
              <w:spacing w:line="400" w:lineRule="exact"/>
              <w:jc w:val="center"/>
              <w:rPr>
                <w:rFonts w:ascii="宋体" w:hAnsi="宋体"/>
                <w:color w:val="auto"/>
                <w:szCs w:val="21"/>
                <w:highlight w:val="none"/>
              </w:rPr>
            </w:pPr>
          </w:p>
        </w:tc>
        <w:tc>
          <w:tcPr>
            <w:tcW w:w="673" w:type="dxa"/>
            <w:noWrap w:val="0"/>
            <w:vAlign w:val="top"/>
          </w:tcPr>
          <w:p w14:paraId="474D5F02">
            <w:pPr>
              <w:spacing w:line="400" w:lineRule="exact"/>
              <w:jc w:val="center"/>
              <w:rPr>
                <w:rFonts w:ascii="宋体" w:hAnsi="宋体"/>
                <w:color w:val="auto"/>
                <w:szCs w:val="21"/>
                <w:highlight w:val="none"/>
              </w:rPr>
            </w:pPr>
          </w:p>
        </w:tc>
      </w:tr>
      <w:tr w14:paraId="0BEF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C04E81B">
            <w:pPr>
              <w:spacing w:line="400" w:lineRule="exact"/>
              <w:jc w:val="center"/>
              <w:rPr>
                <w:rFonts w:ascii="宋体" w:hAnsi="宋体"/>
                <w:color w:val="auto"/>
                <w:szCs w:val="21"/>
                <w:highlight w:val="none"/>
              </w:rPr>
            </w:pPr>
          </w:p>
        </w:tc>
        <w:tc>
          <w:tcPr>
            <w:tcW w:w="1059" w:type="dxa"/>
            <w:noWrap w:val="0"/>
            <w:vAlign w:val="top"/>
          </w:tcPr>
          <w:p w14:paraId="3D4050DB">
            <w:pPr>
              <w:spacing w:line="400" w:lineRule="exact"/>
              <w:jc w:val="center"/>
              <w:rPr>
                <w:rFonts w:ascii="宋体" w:hAnsi="宋体"/>
                <w:color w:val="auto"/>
                <w:szCs w:val="21"/>
                <w:highlight w:val="none"/>
              </w:rPr>
            </w:pPr>
          </w:p>
        </w:tc>
        <w:tc>
          <w:tcPr>
            <w:tcW w:w="741" w:type="dxa"/>
            <w:noWrap w:val="0"/>
            <w:vAlign w:val="top"/>
          </w:tcPr>
          <w:p w14:paraId="2C8AE2B9">
            <w:pPr>
              <w:spacing w:line="400" w:lineRule="exact"/>
              <w:jc w:val="center"/>
              <w:rPr>
                <w:rFonts w:ascii="宋体" w:hAnsi="宋体"/>
                <w:color w:val="auto"/>
                <w:szCs w:val="21"/>
                <w:highlight w:val="none"/>
              </w:rPr>
            </w:pPr>
          </w:p>
        </w:tc>
        <w:tc>
          <w:tcPr>
            <w:tcW w:w="965" w:type="dxa"/>
            <w:noWrap w:val="0"/>
            <w:vAlign w:val="top"/>
          </w:tcPr>
          <w:p w14:paraId="33EE3E7C">
            <w:pPr>
              <w:spacing w:line="400" w:lineRule="exact"/>
              <w:jc w:val="center"/>
              <w:rPr>
                <w:rFonts w:ascii="宋体" w:hAnsi="宋体"/>
                <w:color w:val="auto"/>
                <w:szCs w:val="21"/>
                <w:highlight w:val="none"/>
              </w:rPr>
            </w:pPr>
          </w:p>
        </w:tc>
        <w:tc>
          <w:tcPr>
            <w:tcW w:w="654" w:type="dxa"/>
            <w:noWrap w:val="0"/>
            <w:vAlign w:val="top"/>
          </w:tcPr>
          <w:p w14:paraId="05291BF8">
            <w:pPr>
              <w:spacing w:line="400" w:lineRule="exact"/>
              <w:jc w:val="center"/>
              <w:rPr>
                <w:rFonts w:ascii="宋体" w:hAnsi="宋体"/>
                <w:color w:val="auto"/>
                <w:szCs w:val="21"/>
                <w:highlight w:val="none"/>
              </w:rPr>
            </w:pPr>
          </w:p>
        </w:tc>
        <w:tc>
          <w:tcPr>
            <w:tcW w:w="719" w:type="dxa"/>
            <w:noWrap w:val="0"/>
            <w:vAlign w:val="top"/>
          </w:tcPr>
          <w:p w14:paraId="0BAC6056">
            <w:pPr>
              <w:spacing w:line="400" w:lineRule="exact"/>
              <w:jc w:val="center"/>
              <w:rPr>
                <w:rFonts w:ascii="宋体" w:hAnsi="宋体"/>
                <w:color w:val="auto"/>
                <w:szCs w:val="21"/>
                <w:highlight w:val="none"/>
              </w:rPr>
            </w:pPr>
          </w:p>
        </w:tc>
        <w:tc>
          <w:tcPr>
            <w:tcW w:w="1181" w:type="dxa"/>
            <w:noWrap w:val="0"/>
            <w:vAlign w:val="top"/>
          </w:tcPr>
          <w:p w14:paraId="2AD98400">
            <w:pPr>
              <w:spacing w:line="400" w:lineRule="exact"/>
              <w:jc w:val="center"/>
              <w:rPr>
                <w:rFonts w:ascii="宋体" w:hAnsi="宋体"/>
                <w:color w:val="auto"/>
                <w:szCs w:val="21"/>
                <w:highlight w:val="none"/>
              </w:rPr>
            </w:pPr>
          </w:p>
        </w:tc>
        <w:tc>
          <w:tcPr>
            <w:tcW w:w="852" w:type="dxa"/>
            <w:noWrap w:val="0"/>
            <w:vAlign w:val="top"/>
          </w:tcPr>
          <w:p w14:paraId="5E6C74B2">
            <w:pPr>
              <w:spacing w:line="400" w:lineRule="exact"/>
              <w:jc w:val="center"/>
              <w:rPr>
                <w:rFonts w:ascii="宋体" w:hAnsi="宋体"/>
                <w:color w:val="auto"/>
                <w:szCs w:val="21"/>
                <w:highlight w:val="none"/>
              </w:rPr>
            </w:pPr>
          </w:p>
        </w:tc>
        <w:tc>
          <w:tcPr>
            <w:tcW w:w="1028" w:type="dxa"/>
            <w:noWrap w:val="0"/>
            <w:vAlign w:val="top"/>
          </w:tcPr>
          <w:p w14:paraId="2F2141D6">
            <w:pPr>
              <w:spacing w:line="400" w:lineRule="exact"/>
              <w:jc w:val="center"/>
              <w:rPr>
                <w:rFonts w:ascii="宋体" w:hAnsi="宋体"/>
                <w:color w:val="auto"/>
                <w:szCs w:val="21"/>
                <w:highlight w:val="none"/>
              </w:rPr>
            </w:pPr>
          </w:p>
        </w:tc>
        <w:tc>
          <w:tcPr>
            <w:tcW w:w="673" w:type="dxa"/>
            <w:noWrap w:val="0"/>
            <w:vAlign w:val="top"/>
          </w:tcPr>
          <w:p w14:paraId="6F3CA18B">
            <w:pPr>
              <w:spacing w:line="400" w:lineRule="exact"/>
              <w:jc w:val="center"/>
              <w:rPr>
                <w:rFonts w:ascii="宋体" w:hAnsi="宋体"/>
                <w:color w:val="auto"/>
                <w:szCs w:val="21"/>
                <w:highlight w:val="none"/>
              </w:rPr>
            </w:pPr>
          </w:p>
        </w:tc>
      </w:tr>
      <w:tr w14:paraId="673F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36881833">
            <w:pPr>
              <w:spacing w:line="400" w:lineRule="exact"/>
              <w:jc w:val="center"/>
              <w:rPr>
                <w:rFonts w:ascii="宋体" w:hAnsi="宋体"/>
                <w:color w:val="auto"/>
                <w:szCs w:val="21"/>
                <w:highlight w:val="none"/>
              </w:rPr>
            </w:pPr>
          </w:p>
        </w:tc>
        <w:tc>
          <w:tcPr>
            <w:tcW w:w="1059" w:type="dxa"/>
            <w:noWrap w:val="0"/>
            <w:vAlign w:val="top"/>
          </w:tcPr>
          <w:p w14:paraId="4E6D1849">
            <w:pPr>
              <w:spacing w:line="400" w:lineRule="exact"/>
              <w:jc w:val="center"/>
              <w:rPr>
                <w:rFonts w:ascii="宋体" w:hAnsi="宋体"/>
                <w:color w:val="auto"/>
                <w:szCs w:val="21"/>
                <w:highlight w:val="none"/>
              </w:rPr>
            </w:pPr>
          </w:p>
        </w:tc>
        <w:tc>
          <w:tcPr>
            <w:tcW w:w="741" w:type="dxa"/>
            <w:noWrap w:val="0"/>
            <w:vAlign w:val="top"/>
          </w:tcPr>
          <w:p w14:paraId="75D0713D">
            <w:pPr>
              <w:spacing w:line="400" w:lineRule="exact"/>
              <w:jc w:val="center"/>
              <w:rPr>
                <w:rFonts w:ascii="宋体" w:hAnsi="宋体"/>
                <w:color w:val="auto"/>
                <w:szCs w:val="21"/>
                <w:highlight w:val="none"/>
              </w:rPr>
            </w:pPr>
          </w:p>
        </w:tc>
        <w:tc>
          <w:tcPr>
            <w:tcW w:w="965" w:type="dxa"/>
            <w:noWrap w:val="0"/>
            <w:vAlign w:val="top"/>
          </w:tcPr>
          <w:p w14:paraId="6AFEB864">
            <w:pPr>
              <w:spacing w:line="400" w:lineRule="exact"/>
              <w:jc w:val="center"/>
              <w:rPr>
                <w:rFonts w:ascii="宋体" w:hAnsi="宋体"/>
                <w:color w:val="auto"/>
                <w:szCs w:val="21"/>
                <w:highlight w:val="none"/>
              </w:rPr>
            </w:pPr>
          </w:p>
        </w:tc>
        <w:tc>
          <w:tcPr>
            <w:tcW w:w="654" w:type="dxa"/>
            <w:noWrap w:val="0"/>
            <w:vAlign w:val="top"/>
          </w:tcPr>
          <w:p w14:paraId="321D3186">
            <w:pPr>
              <w:spacing w:line="400" w:lineRule="exact"/>
              <w:jc w:val="center"/>
              <w:rPr>
                <w:rFonts w:ascii="宋体" w:hAnsi="宋体"/>
                <w:color w:val="auto"/>
                <w:szCs w:val="21"/>
                <w:highlight w:val="none"/>
              </w:rPr>
            </w:pPr>
          </w:p>
        </w:tc>
        <w:tc>
          <w:tcPr>
            <w:tcW w:w="719" w:type="dxa"/>
            <w:noWrap w:val="0"/>
            <w:vAlign w:val="top"/>
          </w:tcPr>
          <w:p w14:paraId="3398068C">
            <w:pPr>
              <w:spacing w:line="400" w:lineRule="exact"/>
              <w:jc w:val="center"/>
              <w:rPr>
                <w:rFonts w:ascii="宋体" w:hAnsi="宋体"/>
                <w:color w:val="auto"/>
                <w:szCs w:val="21"/>
                <w:highlight w:val="none"/>
              </w:rPr>
            </w:pPr>
          </w:p>
        </w:tc>
        <w:tc>
          <w:tcPr>
            <w:tcW w:w="1181" w:type="dxa"/>
            <w:noWrap w:val="0"/>
            <w:vAlign w:val="top"/>
          </w:tcPr>
          <w:p w14:paraId="687AE054">
            <w:pPr>
              <w:spacing w:line="400" w:lineRule="exact"/>
              <w:jc w:val="center"/>
              <w:rPr>
                <w:rFonts w:ascii="宋体" w:hAnsi="宋体"/>
                <w:color w:val="auto"/>
                <w:szCs w:val="21"/>
                <w:highlight w:val="none"/>
              </w:rPr>
            </w:pPr>
          </w:p>
        </w:tc>
        <w:tc>
          <w:tcPr>
            <w:tcW w:w="852" w:type="dxa"/>
            <w:noWrap w:val="0"/>
            <w:vAlign w:val="top"/>
          </w:tcPr>
          <w:p w14:paraId="4570DC5E">
            <w:pPr>
              <w:spacing w:line="400" w:lineRule="exact"/>
              <w:jc w:val="center"/>
              <w:rPr>
                <w:rFonts w:ascii="宋体" w:hAnsi="宋体"/>
                <w:color w:val="auto"/>
                <w:szCs w:val="21"/>
                <w:highlight w:val="none"/>
              </w:rPr>
            </w:pPr>
          </w:p>
        </w:tc>
        <w:tc>
          <w:tcPr>
            <w:tcW w:w="1028" w:type="dxa"/>
            <w:noWrap w:val="0"/>
            <w:vAlign w:val="top"/>
          </w:tcPr>
          <w:p w14:paraId="2F353546">
            <w:pPr>
              <w:spacing w:line="400" w:lineRule="exact"/>
              <w:jc w:val="center"/>
              <w:rPr>
                <w:rFonts w:ascii="宋体" w:hAnsi="宋体"/>
                <w:color w:val="auto"/>
                <w:szCs w:val="21"/>
                <w:highlight w:val="none"/>
              </w:rPr>
            </w:pPr>
          </w:p>
        </w:tc>
        <w:tc>
          <w:tcPr>
            <w:tcW w:w="673" w:type="dxa"/>
            <w:noWrap w:val="0"/>
            <w:vAlign w:val="top"/>
          </w:tcPr>
          <w:p w14:paraId="712128F9">
            <w:pPr>
              <w:spacing w:line="400" w:lineRule="exact"/>
              <w:jc w:val="center"/>
              <w:rPr>
                <w:rFonts w:ascii="宋体" w:hAnsi="宋体"/>
                <w:color w:val="auto"/>
                <w:szCs w:val="21"/>
                <w:highlight w:val="none"/>
              </w:rPr>
            </w:pPr>
          </w:p>
        </w:tc>
      </w:tr>
      <w:tr w14:paraId="0348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7F91739B">
            <w:pPr>
              <w:spacing w:line="400" w:lineRule="exact"/>
              <w:jc w:val="center"/>
              <w:rPr>
                <w:rFonts w:ascii="宋体" w:hAnsi="宋体"/>
                <w:color w:val="auto"/>
                <w:szCs w:val="21"/>
                <w:highlight w:val="none"/>
              </w:rPr>
            </w:pPr>
          </w:p>
        </w:tc>
        <w:tc>
          <w:tcPr>
            <w:tcW w:w="1059" w:type="dxa"/>
            <w:noWrap w:val="0"/>
            <w:vAlign w:val="top"/>
          </w:tcPr>
          <w:p w14:paraId="4327A0F3">
            <w:pPr>
              <w:spacing w:line="400" w:lineRule="exact"/>
              <w:jc w:val="center"/>
              <w:rPr>
                <w:rFonts w:ascii="宋体" w:hAnsi="宋体"/>
                <w:color w:val="auto"/>
                <w:szCs w:val="21"/>
                <w:highlight w:val="none"/>
              </w:rPr>
            </w:pPr>
          </w:p>
        </w:tc>
        <w:tc>
          <w:tcPr>
            <w:tcW w:w="741" w:type="dxa"/>
            <w:noWrap w:val="0"/>
            <w:vAlign w:val="top"/>
          </w:tcPr>
          <w:p w14:paraId="7BAF35E4">
            <w:pPr>
              <w:spacing w:line="400" w:lineRule="exact"/>
              <w:jc w:val="center"/>
              <w:rPr>
                <w:rFonts w:ascii="宋体" w:hAnsi="宋体"/>
                <w:color w:val="auto"/>
                <w:szCs w:val="21"/>
                <w:highlight w:val="none"/>
              </w:rPr>
            </w:pPr>
          </w:p>
        </w:tc>
        <w:tc>
          <w:tcPr>
            <w:tcW w:w="965" w:type="dxa"/>
            <w:noWrap w:val="0"/>
            <w:vAlign w:val="top"/>
          </w:tcPr>
          <w:p w14:paraId="45DBD062">
            <w:pPr>
              <w:spacing w:line="400" w:lineRule="exact"/>
              <w:jc w:val="center"/>
              <w:rPr>
                <w:rFonts w:ascii="宋体" w:hAnsi="宋体"/>
                <w:color w:val="auto"/>
                <w:szCs w:val="21"/>
                <w:highlight w:val="none"/>
              </w:rPr>
            </w:pPr>
          </w:p>
        </w:tc>
        <w:tc>
          <w:tcPr>
            <w:tcW w:w="654" w:type="dxa"/>
            <w:noWrap w:val="0"/>
            <w:vAlign w:val="top"/>
          </w:tcPr>
          <w:p w14:paraId="5EBD0221">
            <w:pPr>
              <w:spacing w:line="400" w:lineRule="exact"/>
              <w:jc w:val="center"/>
              <w:rPr>
                <w:rFonts w:ascii="宋体" w:hAnsi="宋体"/>
                <w:color w:val="auto"/>
                <w:szCs w:val="21"/>
                <w:highlight w:val="none"/>
              </w:rPr>
            </w:pPr>
          </w:p>
        </w:tc>
        <w:tc>
          <w:tcPr>
            <w:tcW w:w="719" w:type="dxa"/>
            <w:noWrap w:val="0"/>
            <w:vAlign w:val="top"/>
          </w:tcPr>
          <w:p w14:paraId="7CBA6DF0">
            <w:pPr>
              <w:spacing w:line="400" w:lineRule="exact"/>
              <w:jc w:val="center"/>
              <w:rPr>
                <w:rFonts w:ascii="宋体" w:hAnsi="宋体"/>
                <w:color w:val="auto"/>
                <w:szCs w:val="21"/>
                <w:highlight w:val="none"/>
              </w:rPr>
            </w:pPr>
          </w:p>
        </w:tc>
        <w:tc>
          <w:tcPr>
            <w:tcW w:w="1181" w:type="dxa"/>
            <w:noWrap w:val="0"/>
            <w:vAlign w:val="top"/>
          </w:tcPr>
          <w:p w14:paraId="4678E0D0">
            <w:pPr>
              <w:spacing w:line="400" w:lineRule="exact"/>
              <w:jc w:val="center"/>
              <w:rPr>
                <w:rFonts w:ascii="宋体" w:hAnsi="宋体"/>
                <w:color w:val="auto"/>
                <w:szCs w:val="21"/>
                <w:highlight w:val="none"/>
              </w:rPr>
            </w:pPr>
          </w:p>
        </w:tc>
        <w:tc>
          <w:tcPr>
            <w:tcW w:w="852" w:type="dxa"/>
            <w:noWrap w:val="0"/>
            <w:vAlign w:val="top"/>
          </w:tcPr>
          <w:p w14:paraId="7ACD9008">
            <w:pPr>
              <w:spacing w:line="400" w:lineRule="exact"/>
              <w:jc w:val="center"/>
              <w:rPr>
                <w:rFonts w:ascii="宋体" w:hAnsi="宋体"/>
                <w:color w:val="auto"/>
                <w:szCs w:val="21"/>
                <w:highlight w:val="none"/>
              </w:rPr>
            </w:pPr>
          </w:p>
        </w:tc>
        <w:tc>
          <w:tcPr>
            <w:tcW w:w="1028" w:type="dxa"/>
            <w:noWrap w:val="0"/>
            <w:vAlign w:val="top"/>
          </w:tcPr>
          <w:p w14:paraId="1EAE46DA">
            <w:pPr>
              <w:spacing w:line="400" w:lineRule="exact"/>
              <w:jc w:val="center"/>
              <w:rPr>
                <w:rFonts w:ascii="宋体" w:hAnsi="宋体"/>
                <w:color w:val="auto"/>
                <w:szCs w:val="21"/>
                <w:highlight w:val="none"/>
              </w:rPr>
            </w:pPr>
          </w:p>
        </w:tc>
        <w:tc>
          <w:tcPr>
            <w:tcW w:w="673" w:type="dxa"/>
            <w:noWrap w:val="0"/>
            <w:vAlign w:val="top"/>
          </w:tcPr>
          <w:p w14:paraId="7FC4D7E5">
            <w:pPr>
              <w:spacing w:line="400" w:lineRule="exact"/>
              <w:jc w:val="center"/>
              <w:rPr>
                <w:rFonts w:ascii="宋体" w:hAnsi="宋体"/>
                <w:color w:val="auto"/>
                <w:szCs w:val="21"/>
                <w:highlight w:val="none"/>
              </w:rPr>
            </w:pPr>
          </w:p>
        </w:tc>
      </w:tr>
      <w:tr w14:paraId="7867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DD0415F">
            <w:pPr>
              <w:spacing w:line="400" w:lineRule="exact"/>
              <w:jc w:val="center"/>
              <w:rPr>
                <w:rFonts w:ascii="宋体" w:hAnsi="宋体"/>
                <w:color w:val="auto"/>
                <w:szCs w:val="21"/>
                <w:highlight w:val="none"/>
              </w:rPr>
            </w:pPr>
          </w:p>
        </w:tc>
        <w:tc>
          <w:tcPr>
            <w:tcW w:w="1059" w:type="dxa"/>
            <w:noWrap w:val="0"/>
            <w:vAlign w:val="top"/>
          </w:tcPr>
          <w:p w14:paraId="0B7A909D">
            <w:pPr>
              <w:spacing w:line="400" w:lineRule="exact"/>
              <w:jc w:val="center"/>
              <w:rPr>
                <w:rFonts w:ascii="宋体" w:hAnsi="宋体"/>
                <w:color w:val="auto"/>
                <w:szCs w:val="21"/>
                <w:highlight w:val="none"/>
              </w:rPr>
            </w:pPr>
          </w:p>
        </w:tc>
        <w:tc>
          <w:tcPr>
            <w:tcW w:w="741" w:type="dxa"/>
            <w:noWrap w:val="0"/>
            <w:vAlign w:val="top"/>
          </w:tcPr>
          <w:p w14:paraId="359617F0">
            <w:pPr>
              <w:spacing w:line="400" w:lineRule="exact"/>
              <w:jc w:val="center"/>
              <w:rPr>
                <w:rFonts w:ascii="宋体" w:hAnsi="宋体"/>
                <w:color w:val="auto"/>
                <w:szCs w:val="21"/>
                <w:highlight w:val="none"/>
              </w:rPr>
            </w:pPr>
          </w:p>
        </w:tc>
        <w:tc>
          <w:tcPr>
            <w:tcW w:w="965" w:type="dxa"/>
            <w:noWrap w:val="0"/>
            <w:vAlign w:val="top"/>
          </w:tcPr>
          <w:p w14:paraId="6CEFB52A">
            <w:pPr>
              <w:spacing w:line="400" w:lineRule="exact"/>
              <w:jc w:val="center"/>
              <w:rPr>
                <w:rFonts w:ascii="宋体" w:hAnsi="宋体"/>
                <w:color w:val="auto"/>
                <w:szCs w:val="21"/>
                <w:highlight w:val="none"/>
              </w:rPr>
            </w:pPr>
          </w:p>
        </w:tc>
        <w:tc>
          <w:tcPr>
            <w:tcW w:w="654" w:type="dxa"/>
            <w:noWrap w:val="0"/>
            <w:vAlign w:val="top"/>
          </w:tcPr>
          <w:p w14:paraId="5386917A">
            <w:pPr>
              <w:spacing w:line="400" w:lineRule="exact"/>
              <w:jc w:val="center"/>
              <w:rPr>
                <w:rFonts w:ascii="宋体" w:hAnsi="宋体"/>
                <w:color w:val="auto"/>
                <w:szCs w:val="21"/>
                <w:highlight w:val="none"/>
              </w:rPr>
            </w:pPr>
          </w:p>
        </w:tc>
        <w:tc>
          <w:tcPr>
            <w:tcW w:w="719" w:type="dxa"/>
            <w:noWrap w:val="0"/>
            <w:vAlign w:val="top"/>
          </w:tcPr>
          <w:p w14:paraId="11A5885F">
            <w:pPr>
              <w:spacing w:line="400" w:lineRule="exact"/>
              <w:jc w:val="center"/>
              <w:rPr>
                <w:rFonts w:ascii="宋体" w:hAnsi="宋体"/>
                <w:color w:val="auto"/>
                <w:szCs w:val="21"/>
                <w:highlight w:val="none"/>
              </w:rPr>
            </w:pPr>
          </w:p>
        </w:tc>
        <w:tc>
          <w:tcPr>
            <w:tcW w:w="1181" w:type="dxa"/>
            <w:noWrap w:val="0"/>
            <w:vAlign w:val="top"/>
          </w:tcPr>
          <w:p w14:paraId="01A9D4A2">
            <w:pPr>
              <w:spacing w:line="400" w:lineRule="exact"/>
              <w:jc w:val="center"/>
              <w:rPr>
                <w:rFonts w:ascii="宋体" w:hAnsi="宋体"/>
                <w:color w:val="auto"/>
                <w:szCs w:val="21"/>
                <w:highlight w:val="none"/>
              </w:rPr>
            </w:pPr>
          </w:p>
        </w:tc>
        <w:tc>
          <w:tcPr>
            <w:tcW w:w="852" w:type="dxa"/>
            <w:noWrap w:val="0"/>
            <w:vAlign w:val="top"/>
          </w:tcPr>
          <w:p w14:paraId="5C8E4844">
            <w:pPr>
              <w:spacing w:line="400" w:lineRule="exact"/>
              <w:jc w:val="center"/>
              <w:rPr>
                <w:rFonts w:ascii="宋体" w:hAnsi="宋体"/>
                <w:color w:val="auto"/>
                <w:szCs w:val="21"/>
                <w:highlight w:val="none"/>
              </w:rPr>
            </w:pPr>
          </w:p>
        </w:tc>
        <w:tc>
          <w:tcPr>
            <w:tcW w:w="1028" w:type="dxa"/>
            <w:noWrap w:val="0"/>
            <w:vAlign w:val="top"/>
          </w:tcPr>
          <w:p w14:paraId="77D1AE1D">
            <w:pPr>
              <w:spacing w:line="400" w:lineRule="exact"/>
              <w:jc w:val="center"/>
              <w:rPr>
                <w:rFonts w:ascii="宋体" w:hAnsi="宋体"/>
                <w:color w:val="auto"/>
                <w:szCs w:val="21"/>
                <w:highlight w:val="none"/>
              </w:rPr>
            </w:pPr>
          </w:p>
        </w:tc>
        <w:tc>
          <w:tcPr>
            <w:tcW w:w="673" w:type="dxa"/>
            <w:noWrap w:val="0"/>
            <w:vAlign w:val="top"/>
          </w:tcPr>
          <w:p w14:paraId="621A002A">
            <w:pPr>
              <w:spacing w:line="400" w:lineRule="exact"/>
              <w:jc w:val="center"/>
              <w:rPr>
                <w:rFonts w:ascii="宋体" w:hAnsi="宋体"/>
                <w:color w:val="auto"/>
                <w:szCs w:val="21"/>
                <w:highlight w:val="none"/>
              </w:rPr>
            </w:pPr>
          </w:p>
        </w:tc>
      </w:tr>
      <w:tr w14:paraId="1D9F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18275BC5">
            <w:pPr>
              <w:spacing w:line="400" w:lineRule="exact"/>
              <w:jc w:val="center"/>
              <w:rPr>
                <w:rFonts w:ascii="宋体" w:hAnsi="宋体"/>
                <w:color w:val="auto"/>
                <w:szCs w:val="21"/>
                <w:highlight w:val="none"/>
              </w:rPr>
            </w:pPr>
          </w:p>
        </w:tc>
        <w:tc>
          <w:tcPr>
            <w:tcW w:w="1059" w:type="dxa"/>
            <w:noWrap w:val="0"/>
            <w:vAlign w:val="top"/>
          </w:tcPr>
          <w:p w14:paraId="7A828D7C">
            <w:pPr>
              <w:spacing w:line="400" w:lineRule="exact"/>
              <w:jc w:val="center"/>
              <w:rPr>
                <w:rFonts w:ascii="宋体" w:hAnsi="宋体"/>
                <w:color w:val="auto"/>
                <w:szCs w:val="21"/>
                <w:highlight w:val="none"/>
              </w:rPr>
            </w:pPr>
          </w:p>
        </w:tc>
        <w:tc>
          <w:tcPr>
            <w:tcW w:w="741" w:type="dxa"/>
            <w:noWrap w:val="0"/>
            <w:vAlign w:val="top"/>
          </w:tcPr>
          <w:p w14:paraId="08AE4611">
            <w:pPr>
              <w:spacing w:line="400" w:lineRule="exact"/>
              <w:jc w:val="center"/>
              <w:rPr>
                <w:rFonts w:ascii="宋体" w:hAnsi="宋体"/>
                <w:color w:val="auto"/>
                <w:szCs w:val="21"/>
                <w:highlight w:val="none"/>
              </w:rPr>
            </w:pPr>
          </w:p>
        </w:tc>
        <w:tc>
          <w:tcPr>
            <w:tcW w:w="965" w:type="dxa"/>
            <w:noWrap w:val="0"/>
            <w:vAlign w:val="top"/>
          </w:tcPr>
          <w:p w14:paraId="570D641A">
            <w:pPr>
              <w:spacing w:line="400" w:lineRule="exact"/>
              <w:jc w:val="center"/>
              <w:rPr>
                <w:rFonts w:ascii="宋体" w:hAnsi="宋体"/>
                <w:color w:val="auto"/>
                <w:szCs w:val="21"/>
                <w:highlight w:val="none"/>
              </w:rPr>
            </w:pPr>
          </w:p>
        </w:tc>
        <w:tc>
          <w:tcPr>
            <w:tcW w:w="654" w:type="dxa"/>
            <w:noWrap w:val="0"/>
            <w:vAlign w:val="top"/>
          </w:tcPr>
          <w:p w14:paraId="636DC45F">
            <w:pPr>
              <w:spacing w:line="400" w:lineRule="exact"/>
              <w:jc w:val="center"/>
              <w:rPr>
                <w:rFonts w:ascii="宋体" w:hAnsi="宋体"/>
                <w:color w:val="auto"/>
                <w:szCs w:val="21"/>
                <w:highlight w:val="none"/>
              </w:rPr>
            </w:pPr>
          </w:p>
        </w:tc>
        <w:tc>
          <w:tcPr>
            <w:tcW w:w="719" w:type="dxa"/>
            <w:noWrap w:val="0"/>
            <w:vAlign w:val="top"/>
          </w:tcPr>
          <w:p w14:paraId="267CDE05">
            <w:pPr>
              <w:spacing w:line="400" w:lineRule="exact"/>
              <w:jc w:val="center"/>
              <w:rPr>
                <w:rFonts w:ascii="宋体" w:hAnsi="宋体"/>
                <w:color w:val="auto"/>
                <w:szCs w:val="21"/>
                <w:highlight w:val="none"/>
              </w:rPr>
            </w:pPr>
          </w:p>
        </w:tc>
        <w:tc>
          <w:tcPr>
            <w:tcW w:w="1181" w:type="dxa"/>
            <w:noWrap w:val="0"/>
            <w:vAlign w:val="top"/>
          </w:tcPr>
          <w:p w14:paraId="028B2251">
            <w:pPr>
              <w:spacing w:line="400" w:lineRule="exact"/>
              <w:jc w:val="center"/>
              <w:rPr>
                <w:rFonts w:ascii="宋体" w:hAnsi="宋体"/>
                <w:color w:val="auto"/>
                <w:szCs w:val="21"/>
                <w:highlight w:val="none"/>
              </w:rPr>
            </w:pPr>
          </w:p>
        </w:tc>
        <w:tc>
          <w:tcPr>
            <w:tcW w:w="852" w:type="dxa"/>
            <w:noWrap w:val="0"/>
            <w:vAlign w:val="top"/>
          </w:tcPr>
          <w:p w14:paraId="53634CCB">
            <w:pPr>
              <w:spacing w:line="400" w:lineRule="exact"/>
              <w:jc w:val="center"/>
              <w:rPr>
                <w:rFonts w:ascii="宋体" w:hAnsi="宋体"/>
                <w:color w:val="auto"/>
                <w:szCs w:val="21"/>
                <w:highlight w:val="none"/>
              </w:rPr>
            </w:pPr>
          </w:p>
        </w:tc>
        <w:tc>
          <w:tcPr>
            <w:tcW w:w="1028" w:type="dxa"/>
            <w:noWrap w:val="0"/>
            <w:vAlign w:val="top"/>
          </w:tcPr>
          <w:p w14:paraId="45926D31">
            <w:pPr>
              <w:spacing w:line="400" w:lineRule="exact"/>
              <w:jc w:val="center"/>
              <w:rPr>
                <w:rFonts w:ascii="宋体" w:hAnsi="宋体"/>
                <w:color w:val="auto"/>
                <w:szCs w:val="21"/>
                <w:highlight w:val="none"/>
              </w:rPr>
            </w:pPr>
          </w:p>
        </w:tc>
        <w:tc>
          <w:tcPr>
            <w:tcW w:w="673" w:type="dxa"/>
            <w:noWrap w:val="0"/>
            <w:vAlign w:val="top"/>
          </w:tcPr>
          <w:p w14:paraId="48FC72CE">
            <w:pPr>
              <w:spacing w:line="400" w:lineRule="exact"/>
              <w:jc w:val="center"/>
              <w:rPr>
                <w:rFonts w:ascii="宋体" w:hAnsi="宋体"/>
                <w:color w:val="auto"/>
                <w:szCs w:val="21"/>
                <w:highlight w:val="none"/>
              </w:rPr>
            </w:pPr>
          </w:p>
        </w:tc>
      </w:tr>
      <w:tr w14:paraId="132C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42A28B83">
            <w:pPr>
              <w:spacing w:line="400" w:lineRule="exact"/>
              <w:jc w:val="center"/>
              <w:rPr>
                <w:rFonts w:ascii="宋体" w:hAnsi="宋体"/>
                <w:color w:val="auto"/>
                <w:szCs w:val="21"/>
                <w:highlight w:val="none"/>
              </w:rPr>
            </w:pPr>
          </w:p>
        </w:tc>
        <w:tc>
          <w:tcPr>
            <w:tcW w:w="1059" w:type="dxa"/>
            <w:noWrap w:val="0"/>
            <w:vAlign w:val="top"/>
          </w:tcPr>
          <w:p w14:paraId="7AACCA08">
            <w:pPr>
              <w:spacing w:line="400" w:lineRule="exact"/>
              <w:jc w:val="center"/>
              <w:rPr>
                <w:rFonts w:ascii="宋体" w:hAnsi="宋体"/>
                <w:color w:val="auto"/>
                <w:szCs w:val="21"/>
                <w:highlight w:val="none"/>
              </w:rPr>
            </w:pPr>
          </w:p>
        </w:tc>
        <w:tc>
          <w:tcPr>
            <w:tcW w:w="741" w:type="dxa"/>
            <w:noWrap w:val="0"/>
            <w:vAlign w:val="top"/>
          </w:tcPr>
          <w:p w14:paraId="05013037">
            <w:pPr>
              <w:spacing w:line="400" w:lineRule="exact"/>
              <w:jc w:val="center"/>
              <w:rPr>
                <w:rFonts w:ascii="宋体" w:hAnsi="宋体"/>
                <w:color w:val="auto"/>
                <w:szCs w:val="21"/>
                <w:highlight w:val="none"/>
              </w:rPr>
            </w:pPr>
          </w:p>
        </w:tc>
        <w:tc>
          <w:tcPr>
            <w:tcW w:w="965" w:type="dxa"/>
            <w:noWrap w:val="0"/>
            <w:vAlign w:val="top"/>
          </w:tcPr>
          <w:p w14:paraId="1CB715C6">
            <w:pPr>
              <w:spacing w:line="400" w:lineRule="exact"/>
              <w:jc w:val="center"/>
              <w:rPr>
                <w:rFonts w:ascii="宋体" w:hAnsi="宋体"/>
                <w:color w:val="auto"/>
                <w:szCs w:val="21"/>
                <w:highlight w:val="none"/>
              </w:rPr>
            </w:pPr>
          </w:p>
        </w:tc>
        <w:tc>
          <w:tcPr>
            <w:tcW w:w="654" w:type="dxa"/>
            <w:noWrap w:val="0"/>
            <w:vAlign w:val="top"/>
          </w:tcPr>
          <w:p w14:paraId="23F20CA1">
            <w:pPr>
              <w:spacing w:line="400" w:lineRule="exact"/>
              <w:jc w:val="center"/>
              <w:rPr>
                <w:rFonts w:ascii="宋体" w:hAnsi="宋体"/>
                <w:color w:val="auto"/>
                <w:szCs w:val="21"/>
                <w:highlight w:val="none"/>
              </w:rPr>
            </w:pPr>
          </w:p>
        </w:tc>
        <w:tc>
          <w:tcPr>
            <w:tcW w:w="719" w:type="dxa"/>
            <w:noWrap w:val="0"/>
            <w:vAlign w:val="top"/>
          </w:tcPr>
          <w:p w14:paraId="1BEAE1C9">
            <w:pPr>
              <w:spacing w:line="400" w:lineRule="exact"/>
              <w:jc w:val="center"/>
              <w:rPr>
                <w:rFonts w:ascii="宋体" w:hAnsi="宋体"/>
                <w:color w:val="auto"/>
                <w:szCs w:val="21"/>
                <w:highlight w:val="none"/>
              </w:rPr>
            </w:pPr>
          </w:p>
        </w:tc>
        <w:tc>
          <w:tcPr>
            <w:tcW w:w="1181" w:type="dxa"/>
            <w:noWrap w:val="0"/>
            <w:vAlign w:val="top"/>
          </w:tcPr>
          <w:p w14:paraId="6F2C503E">
            <w:pPr>
              <w:spacing w:line="400" w:lineRule="exact"/>
              <w:jc w:val="center"/>
              <w:rPr>
                <w:rFonts w:ascii="宋体" w:hAnsi="宋体"/>
                <w:color w:val="auto"/>
                <w:szCs w:val="21"/>
                <w:highlight w:val="none"/>
              </w:rPr>
            </w:pPr>
          </w:p>
        </w:tc>
        <w:tc>
          <w:tcPr>
            <w:tcW w:w="852" w:type="dxa"/>
            <w:noWrap w:val="0"/>
            <w:vAlign w:val="top"/>
          </w:tcPr>
          <w:p w14:paraId="086D5667">
            <w:pPr>
              <w:spacing w:line="400" w:lineRule="exact"/>
              <w:jc w:val="center"/>
              <w:rPr>
                <w:rFonts w:ascii="宋体" w:hAnsi="宋体"/>
                <w:color w:val="auto"/>
                <w:szCs w:val="21"/>
                <w:highlight w:val="none"/>
              </w:rPr>
            </w:pPr>
          </w:p>
        </w:tc>
        <w:tc>
          <w:tcPr>
            <w:tcW w:w="1028" w:type="dxa"/>
            <w:noWrap w:val="0"/>
            <w:vAlign w:val="top"/>
          </w:tcPr>
          <w:p w14:paraId="7540B0A5">
            <w:pPr>
              <w:spacing w:line="400" w:lineRule="exact"/>
              <w:jc w:val="center"/>
              <w:rPr>
                <w:rFonts w:ascii="宋体" w:hAnsi="宋体"/>
                <w:color w:val="auto"/>
                <w:szCs w:val="21"/>
                <w:highlight w:val="none"/>
              </w:rPr>
            </w:pPr>
          </w:p>
        </w:tc>
        <w:tc>
          <w:tcPr>
            <w:tcW w:w="673" w:type="dxa"/>
            <w:noWrap w:val="0"/>
            <w:vAlign w:val="top"/>
          </w:tcPr>
          <w:p w14:paraId="26E35DD2">
            <w:pPr>
              <w:spacing w:line="400" w:lineRule="exact"/>
              <w:jc w:val="center"/>
              <w:rPr>
                <w:rFonts w:ascii="宋体" w:hAnsi="宋体"/>
                <w:color w:val="auto"/>
                <w:szCs w:val="21"/>
                <w:highlight w:val="none"/>
              </w:rPr>
            </w:pPr>
          </w:p>
        </w:tc>
      </w:tr>
      <w:tr w14:paraId="3EC2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1481BAAD">
            <w:pPr>
              <w:spacing w:line="400" w:lineRule="exact"/>
              <w:jc w:val="center"/>
              <w:rPr>
                <w:rFonts w:ascii="宋体" w:hAnsi="宋体"/>
                <w:color w:val="auto"/>
                <w:szCs w:val="21"/>
                <w:highlight w:val="none"/>
              </w:rPr>
            </w:pPr>
          </w:p>
        </w:tc>
        <w:tc>
          <w:tcPr>
            <w:tcW w:w="1059" w:type="dxa"/>
            <w:noWrap w:val="0"/>
            <w:vAlign w:val="top"/>
          </w:tcPr>
          <w:p w14:paraId="1D57C48E">
            <w:pPr>
              <w:spacing w:line="400" w:lineRule="exact"/>
              <w:jc w:val="center"/>
              <w:rPr>
                <w:rFonts w:ascii="宋体" w:hAnsi="宋体"/>
                <w:color w:val="auto"/>
                <w:szCs w:val="21"/>
                <w:highlight w:val="none"/>
              </w:rPr>
            </w:pPr>
          </w:p>
        </w:tc>
        <w:tc>
          <w:tcPr>
            <w:tcW w:w="741" w:type="dxa"/>
            <w:noWrap w:val="0"/>
            <w:vAlign w:val="top"/>
          </w:tcPr>
          <w:p w14:paraId="6DC64C05">
            <w:pPr>
              <w:spacing w:line="400" w:lineRule="exact"/>
              <w:jc w:val="center"/>
              <w:rPr>
                <w:rFonts w:ascii="宋体" w:hAnsi="宋体"/>
                <w:color w:val="auto"/>
                <w:szCs w:val="21"/>
                <w:highlight w:val="none"/>
              </w:rPr>
            </w:pPr>
          </w:p>
        </w:tc>
        <w:tc>
          <w:tcPr>
            <w:tcW w:w="965" w:type="dxa"/>
            <w:noWrap w:val="0"/>
            <w:vAlign w:val="top"/>
          </w:tcPr>
          <w:p w14:paraId="4F373FD1">
            <w:pPr>
              <w:spacing w:line="400" w:lineRule="exact"/>
              <w:jc w:val="center"/>
              <w:rPr>
                <w:rFonts w:ascii="宋体" w:hAnsi="宋体"/>
                <w:color w:val="auto"/>
                <w:szCs w:val="21"/>
                <w:highlight w:val="none"/>
              </w:rPr>
            </w:pPr>
          </w:p>
        </w:tc>
        <w:tc>
          <w:tcPr>
            <w:tcW w:w="654" w:type="dxa"/>
            <w:noWrap w:val="0"/>
            <w:vAlign w:val="top"/>
          </w:tcPr>
          <w:p w14:paraId="10BC04E5">
            <w:pPr>
              <w:spacing w:line="400" w:lineRule="exact"/>
              <w:jc w:val="center"/>
              <w:rPr>
                <w:rFonts w:ascii="宋体" w:hAnsi="宋体"/>
                <w:color w:val="auto"/>
                <w:szCs w:val="21"/>
                <w:highlight w:val="none"/>
              </w:rPr>
            </w:pPr>
          </w:p>
        </w:tc>
        <w:tc>
          <w:tcPr>
            <w:tcW w:w="719" w:type="dxa"/>
            <w:noWrap w:val="0"/>
            <w:vAlign w:val="top"/>
          </w:tcPr>
          <w:p w14:paraId="3478BEEA">
            <w:pPr>
              <w:spacing w:line="400" w:lineRule="exact"/>
              <w:jc w:val="center"/>
              <w:rPr>
                <w:rFonts w:ascii="宋体" w:hAnsi="宋体"/>
                <w:color w:val="auto"/>
                <w:szCs w:val="21"/>
                <w:highlight w:val="none"/>
              </w:rPr>
            </w:pPr>
          </w:p>
        </w:tc>
        <w:tc>
          <w:tcPr>
            <w:tcW w:w="1181" w:type="dxa"/>
            <w:noWrap w:val="0"/>
            <w:vAlign w:val="top"/>
          </w:tcPr>
          <w:p w14:paraId="19E93BC9">
            <w:pPr>
              <w:spacing w:line="400" w:lineRule="exact"/>
              <w:jc w:val="center"/>
              <w:rPr>
                <w:rFonts w:ascii="宋体" w:hAnsi="宋体"/>
                <w:color w:val="auto"/>
                <w:szCs w:val="21"/>
                <w:highlight w:val="none"/>
              </w:rPr>
            </w:pPr>
          </w:p>
        </w:tc>
        <w:tc>
          <w:tcPr>
            <w:tcW w:w="852" w:type="dxa"/>
            <w:noWrap w:val="0"/>
            <w:vAlign w:val="top"/>
          </w:tcPr>
          <w:p w14:paraId="227CC6FF">
            <w:pPr>
              <w:spacing w:line="400" w:lineRule="exact"/>
              <w:jc w:val="center"/>
              <w:rPr>
                <w:rFonts w:ascii="宋体" w:hAnsi="宋体"/>
                <w:color w:val="auto"/>
                <w:szCs w:val="21"/>
                <w:highlight w:val="none"/>
              </w:rPr>
            </w:pPr>
          </w:p>
        </w:tc>
        <w:tc>
          <w:tcPr>
            <w:tcW w:w="1028" w:type="dxa"/>
            <w:noWrap w:val="0"/>
            <w:vAlign w:val="top"/>
          </w:tcPr>
          <w:p w14:paraId="2A47EFDB">
            <w:pPr>
              <w:spacing w:line="400" w:lineRule="exact"/>
              <w:jc w:val="center"/>
              <w:rPr>
                <w:rFonts w:ascii="宋体" w:hAnsi="宋体"/>
                <w:color w:val="auto"/>
                <w:szCs w:val="21"/>
                <w:highlight w:val="none"/>
              </w:rPr>
            </w:pPr>
          </w:p>
        </w:tc>
        <w:tc>
          <w:tcPr>
            <w:tcW w:w="673" w:type="dxa"/>
            <w:noWrap w:val="0"/>
            <w:vAlign w:val="top"/>
          </w:tcPr>
          <w:p w14:paraId="54ECC751">
            <w:pPr>
              <w:spacing w:line="400" w:lineRule="exact"/>
              <w:jc w:val="center"/>
              <w:rPr>
                <w:rFonts w:ascii="宋体" w:hAnsi="宋体"/>
                <w:color w:val="auto"/>
                <w:szCs w:val="21"/>
                <w:highlight w:val="none"/>
              </w:rPr>
            </w:pPr>
          </w:p>
        </w:tc>
      </w:tr>
      <w:tr w14:paraId="6579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2B1CAE68">
            <w:pPr>
              <w:spacing w:line="400" w:lineRule="exact"/>
              <w:jc w:val="center"/>
              <w:rPr>
                <w:rFonts w:ascii="宋体" w:hAnsi="宋体"/>
                <w:color w:val="auto"/>
                <w:szCs w:val="21"/>
                <w:highlight w:val="none"/>
              </w:rPr>
            </w:pPr>
          </w:p>
        </w:tc>
        <w:tc>
          <w:tcPr>
            <w:tcW w:w="1059" w:type="dxa"/>
            <w:noWrap w:val="0"/>
            <w:vAlign w:val="top"/>
          </w:tcPr>
          <w:p w14:paraId="13260ABF">
            <w:pPr>
              <w:spacing w:line="400" w:lineRule="exact"/>
              <w:jc w:val="center"/>
              <w:rPr>
                <w:rFonts w:ascii="宋体" w:hAnsi="宋体"/>
                <w:color w:val="auto"/>
                <w:szCs w:val="21"/>
                <w:highlight w:val="none"/>
              </w:rPr>
            </w:pPr>
          </w:p>
        </w:tc>
        <w:tc>
          <w:tcPr>
            <w:tcW w:w="741" w:type="dxa"/>
            <w:noWrap w:val="0"/>
            <w:vAlign w:val="top"/>
          </w:tcPr>
          <w:p w14:paraId="1AA093FD">
            <w:pPr>
              <w:spacing w:line="400" w:lineRule="exact"/>
              <w:jc w:val="center"/>
              <w:rPr>
                <w:rFonts w:ascii="宋体" w:hAnsi="宋体"/>
                <w:color w:val="auto"/>
                <w:szCs w:val="21"/>
                <w:highlight w:val="none"/>
              </w:rPr>
            </w:pPr>
          </w:p>
        </w:tc>
        <w:tc>
          <w:tcPr>
            <w:tcW w:w="965" w:type="dxa"/>
            <w:noWrap w:val="0"/>
            <w:vAlign w:val="top"/>
          </w:tcPr>
          <w:p w14:paraId="2EB99582">
            <w:pPr>
              <w:spacing w:line="400" w:lineRule="exact"/>
              <w:jc w:val="center"/>
              <w:rPr>
                <w:rFonts w:ascii="宋体" w:hAnsi="宋体"/>
                <w:color w:val="auto"/>
                <w:szCs w:val="21"/>
                <w:highlight w:val="none"/>
              </w:rPr>
            </w:pPr>
          </w:p>
        </w:tc>
        <w:tc>
          <w:tcPr>
            <w:tcW w:w="654" w:type="dxa"/>
            <w:noWrap w:val="0"/>
            <w:vAlign w:val="top"/>
          </w:tcPr>
          <w:p w14:paraId="3972ACDD">
            <w:pPr>
              <w:spacing w:line="400" w:lineRule="exact"/>
              <w:jc w:val="center"/>
              <w:rPr>
                <w:rFonts w:ascii="宋体" w:hAnsi="宋体"/>
                <w:color w:val="auto"/>
                <w:szCs w:val="21"/>
                <w:highlight w:val="none"/>
              </w:rPr>
            </w:pPr>
          </w:p>
        </w:tc>
        <w:tc>
          <w:tcPr>
            <w:tcW w:w="719" w:type="dxa"/>
            <w:noWrap w:val="0"/>
            <w:vAlign w:val="top"/>
          </w:tcPr>
          <w:p w14:paraId="3B78D8F9">
            <w:pPr>
              <w:spacing w:line="400" w:lineRule="exact"/>
              <w:jc w:val="center"/>
              <w:rPr>
                <w:rFonts w:ascii="宋体" w:hAnsi="宋体"/>
                <w:color w:val="auto"/>
                <w:szCs w:val="21"/>
                <w:highlight w:val="none"/>
              </w:rPr>
            </w:pPr>
          </w:p>
        </w:tc>
        <w:tc>
          <w:tcPr>
            <w:tcW w:w="1181" w:type="dxa"/>
            <w:noWrap w:val="0"/>
            <w:vAlign w:val="top"/>
          </w:tcPr>
          <w:p w14:paraId="3528A15B">
            <w:pPr>
              <w:spacing w:line="400" w:lineRule="exact"/>
              <w:jc w:val="center"/>
              <w:rPr>
                <w:rFonts w:ascii="宋体" w:hAnsi="宋体"/>
                <w:color w:val="auto"/>
                <w:szCs w:val="21"/>
                <w:highlight w:val="none"/>
              </w:rPr>
            </w:pPr>
          </w:p>
        </w:tc>
        <w:tc>
          <w:tcPr>
            <w:tcW w:w="852" w:type="dxa"/>
            <w:noWrap w:val="0"/>
            <w:vAlign w:val="top"/>
          </w:tcPr>
          <w:p w14:paraId="6A6B9BCD">
            <w:pPr>
              <w:spacing w:line="400" w:lineRule="exact"/>
              <w:jc w:val="center"/>
              <w:rPr>
                <w:rFonts w:ascii="宋体" w:hAnsi="宋体"/>
                <w:color w:val="auto"/>
                <w:szCs w:val="21"/>
                <w:highlight w:val="none"/>
              </w:rPr>
            </w:pPr>
          </w:p>
        </w:tc>
        <w:tc>
          <w:tcPr>
            <w:tcW w:w="1028" w:type="dxa"/>
            <w:noWrap w:val="0"/>
            <w:vAlign w:val="top"/>
          </w:tcPr>
          <w:p w14:paraId="78C6E9C7">
            <w:pPr>
              <w:spacing w:line="400" w:lineRule="exact"/>
              <w:jc w:val="center"/>
              <w:rPr>
                <w:rFonts w:ascii="宋体" w:hAnsi="宋体"/>
                <w:color w:val="auto"/>
                <w:szCs w:val="21"/>
                <w:highlight w:val="none"/>
              </w:rPr>
            </w:pPr>
          </w:p>
        </w:tc>
        <w:tc>
          <w:tcPr>
            <w:tcW w:w="673" w:type="dxa"/>
            <w:noWrap w:val="0"/>
            <w:vAlign w:val="top"/>
          </w:tcPr>
          <w:p w14:paraId="24922E7B">
            <w:pPr>
              <w:spacing w:line="400" w:lineRule="exact"/>
              <w:jc w:val="center"/>
              <w:rPr>
                <w:rFonts w:ascii="宋体" w:hAnsi="宋体"/>
                <w:color w:val="auto"/>
                <w:szCs w:val="21"/>
                <w:highlight w:val="none"/>
              </w:rPr>
            </w:pPr>
          </w:p>
        </w:tc>
      </w:tr>
      <w:tr w14:paraId="57F8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05FC825C">
            <w:pPr>
              <w:spacing w:line="400" w:lineRule="exact"/>
              <w:jc w:val="center"/>
              <w:rPr>
                <w:rFonts w:ascii="宋体" w:hAnsi="宋体"/>
                <w:color w:val="auto"/>
                <w:szCs w:val="21"/>
                <w:highlight w:val="none"/>
              </w:rPr>
            </w:pPr>
          </w:p>
        </w:tc>
        <w:tc>
          <w:tcPr>
            <w:tcW w:w="1059" w:type="dxa"/>
            <w:noWrap w:val="0"/>
            <w:vAlign w:val="top"/>
          </w:tcPr>
          <w:p w14:paraId="14263434">
            <w:pPr>
              <w:spacing w:line="400" w:lineRule="exact"/>
              <w:jc w:val="center"/>
              <w:rPr>
                <w:rFonts w:ascii="宋体" w:hAnsi="宋体"/>
                <w:color w:val="auto"/>
                <w:szCs w:val="21"/>
                <w:highlight w:val="none"/>
              </w:rPr>
            </w:pPr>
          </w:p>
        </w:tc>
        <w:tc>
          <w:tcPr>
            <w:tcW w:w="741" w:type="dxa"/>
            <w:noWrap w:val="0"/>
            <w:vAlign w:val="top"/>
          </w:tcPr>
          <w:p w14:paraId="413C61D3">
            <w:pPr>
              <w:spacing w:line="400" w:lineRule="exact"/>
              <w:jc w:val="center"/>
              <w:rPr>
                <w:rFonts w:ascii="宋体" w:hAnsi="宋体"/>
                <w:color w:val="auto"/>
                <w:szCs w:val="21"/>
                <w:highlight w:val="none"/>
              </w:rPr>
            </w:pPr>
          </w:p>
        </w:tc>
        <w:tc>
          <w:tcPr>
            <w:tcW w:w="965" w:type="dxa"/>
            <w:noWrap w:val="0"/>
            <w:vAlign w:val="top"/>
          </w:tcPr>
          <w:p w14:paraId="50A7C521">
            <w:pPr>
              <w:spacing w:line="400" w:lineRule="exact"/>
              <w:jc w:val="center"/>
              <w:rPr>
                <w:rFonts w:ascii="宋体" w:hAnsi="宋体"/>
                <w:color w:val="auto"/>
                <w:szCs w:val="21"/>
                <w:highlight w:val="none"/>
              </w:rPr>
            </w:pPr>
          </w:p>
        </w:tc>
        <w:tc>
          <w:tcPr>
            <w:tcW w:w="654" w:type="dxa"/>
            <w:noWrap w:val="0"/>
            <w:vAlign w:val="top"/>
          </w:tcPr>
          <w:p w14:paraId="42225C2E">
            <w:pPr>
              <w:spacing w:line="400" w:lineRule="exact"/>
              <w:jc w:val="center"/>
              <w:rPr>
                <w:rFonts w:ascii="宋体" w:hAnsi="宋体"/>
                <w:color w:val="auto"/>
                <w:szCs w:val="21"/>
                <w:highlight w:val="none"/>
              </w:rPr>
            </w:pPr>
          </w:p>
        </w:tc>
        <w:tc>
          <w:tcPr>
            <w:tcW w:w="719" w:type="dxa"/>
            <w:noWrap w:val="0"/>
            <w:vAlign w:val="top"/>
          </w:tcPr>
          <w:p w14:paraId="34069725">
            <w:pPr>
              <w:spacing w:line="400" w:lineRule="exact"/>
              <w:jc w:val="center"/>
              <w:rPr>
                <w:rFonts w:ascii="宋体" w:hAnsi="宋体"/>
                <w:color w:val="auto"/>
                <w:szCs w:val="21"/>
                <w:highlight w:val="none"/>
              </w:rPr>
            </w:pPr>
          </w:p>
        </w:tc>
        <w:tc>
          <w:tcPr>
            <w:tcW w:w="1181" w:type="dxa"/>
            <w:noWrap w:val="0"/>
            <w:vAlign w:val="top"/>
          </w:tcPr>
          <w:p w14:paraId="0A14F00D">
            <w:pPr>
              <w:spacing w:line="400" w:lineRule="exact"/>
              <w:jc w:val="center"/>
              <w:rPr>
                <w:rFonts w:ascii="宋体" w:hAnsi="宋体"/>
                <w:color w:val="auto"/>
                <w:szCs w:val="21"/>
                <w:highlight w:val="none"/>
              </w:rPr>
            </w:pPr>
          </w:p>
        </w:tc>
        <w:tc>
          <w:tcPr>
            <w:tcW w:w="852" w:type="dxa"/>
            <w:noWrap w:val="0"/>
            <w:vAlign w:val="top"/>
          </w:tcPr>
          <w:p w14:paraId="25B3E136">
            <w:pPr>
              <w:spacing w:line="400" w:lineRule="exact"/>
              <w:jc w:val="center"/>
              <w:rPr>
                <w:rFonts w:ascii="宋体" w:hAnsi="宋体"/>
                <w:color w:val="auto"/>
                <w:szCs w:val="21"/>
                <w:highlight w:val="none"/>
              </w:rPr>
            </w:pPr>
          </w:p>
        </w:tc>
        <w:tc>
          <w:tcPr>
            <w:tcW w:w="1028" w:type="dxa"/>
            <w:noWrap w:val="0"/>
            <w:vAlign w:val="top"/>
          </w:tcPr>
          <w:p w14:paraId="02673FDC">
            <w:pPr>
              <w:spacing w:line="400" w:lineRule="exact"/>
              <w:jc w:val="center"/>
              <w:rPr>
                <w:rFonts w:ascii="宋体" w:hAnsi="宋体"/>
                <w:color w:val="auto"/>
                <w:szCs w:val="21"/>
                <w:highlight w:val="none"/>
              </w:rPr>
            </w:pPr>
          </w:p>
        </w:tc>
        <w:tc>
          <w:tcPr>
            <w:tcW w:w="673" w:type="dxa"/>
            <w:noWrap w:val="0"/>
            <w:vAlign w:val="top"/>
          </w:tcPr>
          <w:p w14:paraId="45E262FF">
            <w:pPr>
              <w:spacing w:line="400" w:lineRule="exact"/>
              <w:jc w:val="center"/>
              <w:rPr>
                <w:rFonts w:ascii="宋体" w:hAnsi="宋体"/>
                <w:color w:val="auto"/>
                <w:szCs w:val="21"/>
                <w:highlight w:val="none"/>
              </w:rPr>
            </w:pPr>
          </w:p>
        </w:tc>
      </w:tr>
      <w:tr w14:paraId="00BB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158E673E">
            <w:pPr>
              <w:spacing w:line="400" w:lineRule="exact"/>
              <w:jc w:val="center"/>
              <w:rPr>
                <w:rFonts w:ascii="宋体" w:hAnsi="宋体"/>
                <w:color w:val="auto"/>
                <w:szCs w:val="21"/>
                <w:highlight w:val="none"/>
              </w:rPr>
            </w:pPr>
          </w:p>
        </w:tc>
        <w:tc>
          <w:tcPr>
            <w:tcW w:w="1059" w:type="dxa"/>
            <w:noWrap w:val="0"/>
            <w:vAlign w:val="top"/>
          </w:tcPr>
          <w:p w14:paraId="51D5E429">
            <w:pPr>
              <w:spacing w:line="400" w:lineRule="exact"/>
              <w:jc w:val="center"/>
              <w:rPr>
                <w:rFonts w:ascii="宋体" w:hAnsi="宋体"/>
                <w:color w:val="auto"/>
                <w:szCs w:val="21"/>
                <w:highlight w:val="none"/>
              </w:rPr>
            </w:pPr>
          </w:p>
        </w:tc>
        <w:tc>
          <w:tcPr>
            <w:tcW w:w="741" w:type="dxa"/>
            <w:noWrap w:val="0"/>
            <w:vAlign w:val="top"/>
          </w:tcPr>
          <w:p w14:paraId="0B51711D">
            <w:pPr>
              <w:spacing w:line="400" w:lineRule="exact"/>
              <w:jc w:val="center"/>
              <w:rPr>
                <w:rFonts w:ascii="宋体" w:hAnsi="宋体"/>
                <w:color w:val="auto"/>
                <w:szCs w:val="21"/>
                <w:highlight w:val="none"/>
              </w:rPr>
            </w:pPr>
          </w:p>
        </w:tc>
        <w:tc>
          <w:tcPr>
            <w:tcW w:w="965" w:type="dxa"/>
            <w:noWrap w:val="0"/>
            <w:vAlign w:val="top"/>
          </w:tcPr>
          <w:p w14:paraId="36252CB6">
            <w:pPr>
              <w:spacing w:line="400" w:lineRule="exact"/>
              <w:jc w:val="center"/>
              <w:rPr>
                <w:rFonts w:ascii="宋体" w:hAnsi="宋体"/>
                <w:color w:val="auto"/>
                <w:szCs w:val="21"/>
                <w:highlight w:val="none"/>
              </w:rPr>
            </w:pPr>
          </w:p>
        </w:tc>
        <w:tc>
          <w:tcPr>
            <w:tcW w:w="654" w:type="dxa"/>
            <w:noWrap w:val="0"/>
            <w:vAlign w:val="top"/>
          </w:tcPr>
          <w:p w14:paraId="6186681E">
            <w:pPr>
              <w:spacing w:line="400" w:lineRule="exact"/>
              <w:jc w:val="center"/>
              <w:rPr>
                <w:rFonts w:ascii="宋体" w:hAnsi="宋体"/>
                <w:color w:val="auto"/>
                <w:szCs w:val="21"/>
                <w:highlight w:val="none"/>
              </w:rPr>
            </w:pPr>
          </w:p>
        </w:tc>
        <w:tc>
          <w:tcPr>
            <w:tcW w:w="719" w:type="dxa"/>
            <w:noWrap w:val="0"/>
            <w:vAlign w:val="top"/>
          </w:tcPr>
          <w:p w14:paraId="4D88F9F9">
            <w:pPr>
              <w:spacing w:line="400" w:lineRule="exact"/>
              <w:jc w:val="center"/>
              <w:rPr>
                <w:rFonts w:ascii="宋体" w:hAnsi="宋体"/>
                <w:color w:val="auto"/>
                <w:szCs w:val="21"/>
                <w:highlight w:val="none"/>
              </w:rPr>
            </w:pPr>
          </w:p>
        </w:tc>
        <w:tc>
          <w:tcPr>
            <w:tcW w:w="1181" w:type="dxa"/>
            <w:noWrap w:val="0"/>
            <w:vAlign w:val="top"/>
          </w:tcPr>
          <w:p w14:paraId="34876A2D">
            <w:pPr>
              <w:spacing w:line="400" w:lineRule="exact"/>
              <w:jc w:val="center"/>
              <w:rPr>
                <w:rFonts w:ascii="宋体" w:hAnsi="宋体"/>
                <w:color w:val="auto"/>
                <w:szCs w:val="21"/>
                <w:highlight w:val="none"/>
              </w:rPr>
            </w:pPr>
          </w:p>
        </w:tc>
        <w:tc>
          <w:tcPr>
            <w:tcW w:w="852" w:type="dxa"/>
            <w:noWrap w:val="0"/>
            <w:vAlign w:val="top"/>
          </w:tcPr>
          <w:p w14:paraId="088610A6">
            <w:pPr>
              <w:spacing w:line="400" w:lineRule="exact"/>
              <w:jc w:val="center"/>
              <w:rPr>
                <w:rFonts w:ascii="宋体" w:hAnsi="宋体"/>
                <w:color w:val="auto"/>
                <w:szCs w:val="21"/>
                <w:highlight w:val="none"/>
              </w:rPr>
            </w:pPr>
          </w:p>
        </w:tc>
        <w:tc>
          <w:tcPr>
            <w:tcW w:w="1028" w:type="dxa"/>
            <w:noWrap w:val="0"/>
            <w:vAlign w:val="top"/>
          </w:tcPr>
          <w:p w14:paraId="192EA7C1">
            <w:pPr>
              <w:spacing w:line="400" w:lineRule="exact"/>
              <w:jc w:val="center"/>
              <w:rPr>
                <w:rFonts w:ascii="宋体" w:hAnsi="宋体"/>
                <w:color w:val="auto"/>
                <w:szCs w:val="21"/>
                <w:highlight w:val="none"/>
              </w:rPr>
            </w:pPr>
          </w:p>
        </w:tc>
        <w:tc>
          <w:tcPr>
            <w:tcW w:w="673" w:type="dxa"/>
            <w:noWrap w:val="0"/>
            <w:vAlign w:val="top"/>
          </w:tcPr>
          <w:p w14:paraId="273414C2">
            <w:pPr>
              <w:spacing w:line="400" w:lineRule="exact"/>
              <w:jc w:val="center"/>
              <w:rPr>
                <w:rFonts w:ascii="宋体" w:hAnsi="宋体"/>
                <w:color w:val="auto"/>
                <w:szCs w:val="21"/>
                <w:highlight w:val="none"/>
              </w:rPr>
            </w:pPr>
          </w:p>
        </w:tc>
      </w:tr>
      <w:tr w14:paraId="55B4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3B83BF73">
            <w:pPr>
              <w:spacing w:line="400" w:lineRule="exact"/>
              <w:jc w:val="center"/>
              <w:rPr>
                <w:rFonts w:ascii="宋体" w:hAnsi="宋体"/>
                <w:color w:val="auto"/>
                <w:szCs w:val="21"/>
                <w:highlight w:val="none"/>
              </w:rPr>
            </w:pPr>
          </w:p>
        </w:tc>
        <w:tc>
          <w:tcPr>
            <w:tcW w:w="1059" w:type="dxa"/>
            <w:noWrap w:val="0"/>
            <w:vAlign w:val="top"/>
          </w:tcPr>
          <w:p w14:paraId="22CF5989">
            <w:pPr>
              <w:spacing w:line="400" w:lineRule="exact"/>
              <w:jc w:val="center"/>
              <w:rPr>
                <w:rFonts w:ascii="宋体" w:hAnsi="宋体"/>
                <w:color w:val="auto"/>
                <w:szCs w:val="21"/>
                <w:highlight w:val="none"/>
              </w:rPr>
            </w:pPr>
          </w:p>
        </w:tc>
        <w:tc>
          <w:tcPr>
            <w:tcW w:w="741" w:type="dxa"/>
            <w:noWrap w:val="0"/>
            <w:vAlign w:val="top"/>
          </w:tcPr>
          <w:p w14:paraId="7448D3BA">
            <w:pPr>
              <w:spacing w:line="400" w:lineRule="exact"/>
              <w:jc w:val="center"/>
              <w:rPr>
                <w:rFonts w:ascii="宋体" w:hAnsi="宋体"/>
                <w:color w:val="auto"/>
                <w:szCs w:val="21"/>
                <w:highlight w:val="none"/>
              </w:rPr>
            </w:pPr>
          </w:p>
        </w:tc>
        <w:tc>
          <w:tcPr>
            <w:tcW w:w="965" w:type="dxa"/>
            <w:noWrap w:val="0"/>
            <w:vAlign w:val="top"/>
          </w:tcPr>
          <w:p w14:paraId="7BA96D89">
            <w:pPr>
              <w:spacing w:line="400" w:lineRule="exact"/>
              <w:jc w:val="center"/>
              <w:rPr>
                <w:rFonts w:ascii="宋体" w:hAnsi="宋体"/>
                <w:color w:val="auto"/>
                <w:szCs w:val="21"/>
                <w:highlight w:val="none"/>
              </w:rPr>
            </w:pPr>
          </w:p>
        </w:tc>
        <w:tc>
          <w:tcPr>
            <w:tcW w:w="654" w:type="dxa"/>
            <w:noWrap w:val="0"/>
            <w:vAlign w:val="top"/>
          </w:tcPr>
          <w:p w14:paraId="0124A48D">
            <w:pPr>
              <w:spacing w:line="400" w:lineRule="exact"/>
              <w:jc w:val="center"/>
              <w:rPr>
                <w:rFonts w:ascii="宋体" w:hAnsi="宋体"/>
                <w:color w:val="auto"/>
                <w:szCs w:val="21"/>
                <w:highlight w:val="none"/>
              </w:rPr>
            </w:pPr>
          </w:p>
        </w:tc>
        <w:tc>
          <w:tcPr>
            <w:tcW w:w="719" w:type="dxa"/>
            <w:noWrap w:val="0"/>
            <w:vAlign w:val="top"/>
          </w:tcPr>
          <w:p w14:paraId="0399E24A">
            <w:pPr>
              <w:spacing w:line="400" w:lineRule="exact"/>
              <w:jc w:val="center"/>
              <w:rPr>
                <w:rFonts w:ascii="宋体" w:hAnsi="宋体"/>
                <w:color w:val="auto"/>
                <w:szCs w:val="21"/>
                <w:highlight w:val="none"/>
              </w:rPr>
            </w:pPr>
            <w:bookmarkStart w:id="1143" w:name="_Toc168476327"/>
            <w:bookmarkStart w:id="1144" w:name="_Toc221952073"/>
            <w:bookmarkStart w:id="1145" w:name="_Toc144974865"/>
            <w:bookmarkStart w:id="1146" w:name="_Toc168475924"/>
          </w:p>
        </w:tc>
        <w:tc>
          <w:tcPr>
            <w:tcW w:w="1181" w:type="dxa"/>
            <w:noWrap w:val="0"/>
            <w:vAlign w:val="top"/>
          </w:tcPr>
          <w:p w14:paraId="3332DE70">
            <w:pPr>
              <w:spacing w:line="400" w:lineRule="exact"/>
              <w:jc w:val="center"/>
              <w:rPr>
                <w:rFonts w:ascii="宋体" w:hAnsi="宋体"/>
                <w:color w:val="auto"/>
                <w:szCs w:val="21"/>
                <w:highlight w:val="none"/>
              </w:rPr>
            </w:pPr>
          </w:p>
        </w:tc>
        <w:tc>
          <w:tcPr>
            <w:tcW w:w="852" w:type="dxa"/>
            <w:noWrap w:val="0"/>
            <w:vAlign w:val="top"/>
          </w:tcPr>
          <w:p w14:paraId="66170964">
            <w:pPr>
              <w:spacing w:line="400" w:lineRule="exact"/>
              <w:jc w:val="center"/>
              <w:rPr>
                <w:rFonts w:ascii="宋体" w:hAnsi="宋体"/>
                <w:color w:val="auto"/>
                <w:szCs w:val="21"/>
                <w:highlight w:val="none"/>
              </w:rPr>
            </w:pPr>
          </w:p>
        </w:tc>
        <w:tc>
          <w:tcPr>
            <w:tcW w:w="1028" w:type="dxa"/>
            <w:noWrap w:val="0"/>
            <w:vAlign w:val="top"/>
          </w:tcPr>
          <w:p w14:paraId="79AE5C33">
            <w:pPr>
              <w:spacing w:line="400" w:lineRule="exact"/>
              <w:jc w:val="center"/>
              <w:rPr>
                <w:rFonts w:ascii="宋体" w:hAnsi="宋体"/>
                <w:color w:val="auto"/>
                <w:szCs w:val="21"/>
                <w:highlight w:val="none"/>
              </w:rPr>
            </w:pPr>
          </w:p>
        </w:tc>
        <w:tc>
          <w:tcPr>
            <w:tcW w:w="673" w:type="dxa"/>
            <w:noWrap w:val="0"/>
            <w:vAlign w:val="top"/>
          </w:tcPr>
          <w:p w14:paraId="0FD9E8A6">
            <w:pPr>
              <w:spacing w:line="400" w:lineRule="exact"/>
              <w:jc w:val="center"/>
              <w:rPr>
                <w:rFonts w:ascii="宋体" w:hAnsi="宋体"/>
                <w:color w:val="auto"/>
                <w:szCs w:val="21"/>
                <w:highlight w:val="none"/>
              </w:rPr>
            </w:pPr>
          </w:p>
        </w:tc>
      </w:tr>
      <w:tr w14:paraId="15AF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1AAF8161">
            <w:pPr>
              <w:spacing w:line="400" w:lineRule="exact"/>
              <w:jc w:val="center"/>
              <w:rPr>
                <w:rFonts w:ascii="宋体" w:hAnsi="宋体"/>
                <w:color w:val="auto"/>
                <w:szCs w:val="21"/>
                <w:highlight w:val="none"/>
              </w:rPr>
            </w:pPr>
          </w:p>
        </w:tc>
        <w:tc>
          <w:tcPr>
            <w:tcW w:w="1059" w:type="dxa"/>
            <w:noWrap w:val="0"/>
            <w:vAlign w:val="top"/>
          </w:tcPr>
          <w:p w14:paraId="6505BEC3">
            <w:pPr>
              <w:spacing w:line="400" w:lineRule="exact"/>
              <w:jc w:val="center"/>
              <w:rPr>
                <w:rFonts w:ascii="宋体" w:hAnsi="宋体"/>
                <w:color w:val="auto"/>
                <w:szCs w:val="21"/>
                <w:highlight w:val="none"/>
              </w:rPr>
            </w:pPr>
          </w:p>
        </w:tc>
        <w:tc>
          <w:tcPr>
            <w:tcW w:w="741" w:type="dxa"/>
            <w:noWrap w:val="0"/>
            <w:vAlign w:val="top"/>
          </w:tcPr>
          <w:p w14:paraId="5C5C71A9">
            <w:pPr>
              <w:spacing w:line="400" w:lineRule="exact"/>
              <w:jc w:val="center"/>
              <w:rPr>
                <w:rFonts w:ascii="宋体" w:hAnsi="宋体"/>
                <w:color w:val="auto"/>
                <w:szCs w:val="21"/>
                <w:highlight w:val="none"/>
              </w:rPr>
            </w:pPr>
          </w:p>
        </w:tc>
        <w:tc>
          <w:tcPr>
            <w:tcW w:w="965" w:type="dxa"/>
            <w:noWrap w:val="0"/>
            <w:vAlign w:val="top"/>
          </w:tcPr>
          <w:p w14:paraId="7BC381DD">
            <w:pPr>
              <w:spacing w:line="400" w:lineRule="exact"/>
              <w:jc w:val="center"/>
              <w:rPr>
                <w:rFonts w:ascii="宋体" w:hAnsi="宋体"/>
                <w:color w:val="auto"/>
                <w:szCs w:val="21"/>
                <w:highlight w:val="none"/>
              </w:rPr>
            </w:pPr>
          </w:p>
        </w:tc>
        <w:tc>
          <w:tcPr>
            <w:tcW w:w="654" w:type="dxa"/>
            <w:noWrap w:val="0"/>
            <w:vAlign w:val="top"/>
          </w:tcPr>
          <w:p w14:paraId="59514E6C">
            <w:pPr>
              <w:spacing w:line="400" w:lineRule="exact"/>
              <w:jc w:val="center"/>
              <w:rPr>
                <w:rFonts w:ascii="宋体" w:hAnsi="宋体"/>
                <w:color w:val="auto"/>
                <w:szCs w:val="21"/>
                <w:highlight w:val="none"/>
              </w:rPr>
            </w:pPr>
          </w:p>
        </w:tc>
        <w:tc>
          <w:tcPr>
            <w:tcW w:w="719" w:type="dxa"/>
            <w:noWrap w:val="0"/>
            <w:vAlign w:val="top"/>
          </w:tcPr>
          <w:p w14:paraId="26FE94C6">
            <w:pPr>
              <w:spacing w:line="400" w:lineRule="exact"/>
              <w:jc w:val="center"/>
              <w:rPr>
                <w:rFonts w:ascii="宋体" w:hAnsi="宋体"/>
                <w:color w:val="auto"/>
                <w:szCs w:val="21"/>
                <w:highlight w:val="none"/>
              </w:rPr>
            </w:pPr>
          </w:p>
        </w:tc>
        <w:tc>
          <w:tcPr>
            <w:tcW w:w="1181" w:type="dxa"/>
            <w:noWrap w:val="0"/>
            <w:vAlign w:val="top"/>
          </w:tcPr>
          <w:p w14:paraId="04FF73E2">
            <w:pPr>
              <w:spacing w:line="400" w:lineRule="exact"/>
              <w:jc w:val="center"/>
              <w:rPr>
                <w:rFonts w:ascii="宋体" w:hAnsi="宋体"/>
                <w:color w:val="auto"/>
                <w:szCs w:val="21"/>
                <w:highlight w:val="none"/>
              </w:rPr>
            </w:pPr>
          </w:p>
        </w:tc>
        <w:tc>
          <w:tcPr>
            <w:tcW w:w="852" w:type="dxa"/>
            <w:noWrap w:val="0"/>
            <w:vAlign w:val="top"/>
          </w:tcPr>
          <w:p w14:paraId="19F0173A">
            <w:pPr>
              <w:spacing w:line="400" w:lineRule="exact"/>
              <w:jc w:val="center"/>
              <w:rPr>
                <w:rFonts w:ascii="宋体" w:hAnsi="宋体"/>
                <w:color w:val="auto"/>
                <w:szCs w:val="21"/>
                <w:highlight w:val="none"/>
              </w:rPr>
            </w:pPr>
          </w:p>
        </w:tc>
        <w:tc>
          <w:tcPr>
            <w:tcW w:w="1028" w:type="dxa"/>
            <w:noWrap w:val="0"/>
            <w:vAlign w:val="top"/>
          </w:tcPr>
          <w:p w14:paraId="27A5BA61">
            <w:pPr>
              <w:spacing w:line="400" w:lineRule="exact"/>
              <w:jc w:val="center"/>
              <w:rPr>
                <w:rFonts w:ascii="宋体" w:hAnsi="宋体"/>
                <w:color w:val="auto"/>
                <w:szCs w:val="21"/>
                <w:highlight w:val="none"/>
              </w:rPr>
            </w:pPr>
          </w:p>
        </w:tc>
        <w:tc>
          <w:tcPr>
            <w:tcW w:w="673" w:type="dxa"/>
            <w:noWrap w:val="0"/>
            <w:vAlign w:val="top"/>
          </w:tcPr>
          <w:p w14:paraId="06EF5005">
            <w:pPr>
              <w:spacing w:line="400" w:lineRule="exact"/>
              <w:jc w:val="center"/>
              <w:rPr>
                <w:rFonts w:ascii="宋体" w:hAnsi="宋体"/>
                <w:color w:val="auto"/>
                <w:szCs w:val="21"/>
                <w:highlight w:val="none"/>
              </w:rPr>
            </w:pPr>
          </w:p>
        </w:tc>
      </w:tr>
      <w:tr w14:paraId="5C62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6707B25F">
            <w:pPr>
              <w:spacing w:line="400" w:lineRule="exact"/>
              <w:jc w:val="center"/>
              <w:rPr>
                <w:rFonts w:ascii="宋体" w:hAnsi="宋体"/>
                <w:color w:val="auto"/>
                <w:szCs w:val="21"/>
                <w:highlight w:val="none"/>
              </w:rPr>
            </w:pPr>
          </w:p>
          <w:bookmarkEnd w:id="1143"/>
          <w:bookmarkEnd w:id="1144"/>
          <w:bookmarkEnd w:id="1145"/>
          <w:bookmarkEnd w:id="1146"/>
        </w:tc>
        <w:tc>
          <w:tcPr>
            <w:tcW w:w="1059" w:type="dxa"/>
            <w:noWrap w:val="0"/>
            <w:vAlign w:val="top"/>
          </w:tcPr>
          <w:p w14:paraId="6EF7F186">
            <w:pPr>
              <w:spacing w:line="400" w:lineRule="exact"/>
              <w:jc w:val="center"/>
              <w:rPr>
                <w:rFonts w:ascii="宋体" w:hAnsi="宋体"/>
                <w:color w:val="auto"/>
                <w:szCs w:val="21"/>
                <w:highlight w:val="none"/>
              </w:rPr>
            </w:pPr>
          </w:p>
        </w:tc>
        <w:tc>
          <w:tcPr>
            <w:tcW w:w="741" w:type="dxa"/>
            <w:noWrap w:val="0"/>
            <w:vAlign w:val="top"/>
          </w:tcPr>
          <w:p w14:paraId="7186489B">
            <w:pPr>
              <w:spacing w:line="400" w:lineRule="exact"/>
              <w:jc w:val="center"/>
              <w:rPr>
                <w:rFonts w:ascii="宋体" w:hAnsi="宋体"/>
                <w:color w:val="auto"/>
                <w:szCs w:val="21"/>
                <w:highlight w:val="none"/>
              </w:rPr>
            </w:pPr>
          </w:p>
        </w:tc>
        <w:tc>
          <w:tcPr>
            <w:tcW w:w="965" w:type="dxa"/>
            <w:noWrap w:val="0"/>
            <w:vAlign w:val="top"/>
          </w:tcPr>
          <w:p w14:paraId="4E6C997E">
            <w:pPr>
              <w:spacing w:line="400" w:lineRule="exact"/>
              <w:jc w:val="center"/>
              <w:rPr>
                <w:rFonts w:ascii="宋体" w:hAnsi="宋体"/>
                <w:color w:val="auto"/>
                <w:szCs w:val="21"/>
                <w:highlight w:val="none"/>
              </w:rPr>
            </w:pPr>
            <w:bookmarkStart w:id="1147" w:name="_Toc221952074"/>
          </w:p>
        </w:tc>
        <w:tc>
          <w:tcPr>
            <w:tcW w:w="654" w:type="dxa"/>
            <w:noWrap w:val="0"/>
            <w:vAlign w:val="top"/>
          </w:tcPr>
          <w:p w14:paraId="24F7ABE0">
            <w:pPr>
              <w:spacing w:line="400" w:lineRule="exact"/>
              <w:jc w:val="center"/>
              <w:rPr>
                <w:rFonts w:ascii="宋体" w:hAnsi="宋体"/>
                <w:color w:val="auto"/>
                <w:szCs w:val="21"/>
                <w:highlight w:val="none"/>
              </w:rPr>
            </w:pPr>
          </w:p>
          <w:bookmarkEnd w:id="1147"/>
        </w:tc>
        <w:tc>
          <w:tcPr>
            <w:tcW w:w="719" w:type="dxa"/>
            <w:noWrap w:val="0"/>
            <w:vAlign w:val="top"/>
          </w:tcPr>
          <w:p w14:paraId="7528A34C">
            <w:pPr>
              <w:spacing w:line="400" w:lineRule="exact"/>
              <w:jc w:val="center"/>
              <w:rPr>
                <w:rFonts w:ascii="宋体" w:hAnsi="宋体"/>
                <w:color w:val="auto"/>
                <w:szCs w:val="21"/>
                <w:highlight w:val="none"/>
              </w:rPr>
            </w:pPr>
          </w:p>
        </w:tc>
        <w:tc>
          <w:tcPr>
            <w:tcW w:w="1181" w:type="dxa"/>
            <w:noWrap w:val="0"/>
            <w:vAlign w:val="top"/>
          </w:tcPr>
          <w:p w14:paraId="7BEC5F8B">
            <w:pPr>
              <w:spacing w:line="400" w:lineRule="exact"/>
              <w:jc w:val="center"/>
              <w:rPr>
                <w:rFonts w:ascii="宋体" w:hAnsi="宋体"/>
                <w:color w:val="auto"/>
                <w:szCs w:val="21"/>
                <w:highlight w:val="none"/>
              </w:rPr>
            </w:pPr>
            <w:bookmarkStart w:id="1148" w:name="_Toc221952075"/>
          </w:p>
        </w:tc>
        <w:tc>
          <w:tcPr>
            <w:tcW w:w="852" w:type="dxa"/>
            <w:noWrap w:val="0"/>
            <w:vAlign w:val="top"/>
          </w:tcPr>
          <w:p w14:paraId="30346A87">
            <w:pPr>
              <w:spacing w:line="400" w:lineRule="exact"/>
              <w:jc w:val="center"/>
              <w:rPr>
                <w:rFonts w:ascii="宋体" w:hAnsi="宋体"/>
                <w:color w:val="auto"/>
                <w:szCs w:val="21"/>
                <w:highlight w:val="none"/>
              </w:rPr>
            </w:pPr>
          </w:p>
        </w:tc>
        <w:tc>
          <w:tcPr>
            <w:tcW w:w="1028" w:type="dxa"/>
            <w:noWrap w:val="0"/>
            <w:vAlign w:val="top"/>
          </w:tcPr>
          <w:p w14:paraId="7FC8701A">
            <w:pPr>
              <w:spacing w:line="400" w:lineRule="exact"/>
              <w:jc w:val="center"/>
              <w:rPr>
                <w:rFonts w:ascii="宋体" w:hAnsi="宋体"/>
                <w:color w:val="auto"/>
                <w:szCs w:val="21"/>
                <w:highlight w:val="none"/>
              </w:rPr>
            </w:pPr>
          </w:p>
        </w:tc>
        <w:tc>
          <w:tcPr>
            <w:tcW w:w="673" w:type="dxa"/>
            <w:noWrap w:val="0"/>
            <w:vAlign w:val="top"/>
          </w:tcPr>
          <w:p w14:paraId="69AEC821">
            <w:pPr>
              <w:spacing w:line="400" w:lineRule="exact"/>
              <w:jc w:val="center"/>
              <w:rPr>
                <w:rFonts w:ascii="宋体" w:hAnsi="宋体"/>
                <w:color w:val="auto"/>
                <w:szCs w:val="21"/>
                <w:highlight w:val="none"/>
              </w:rPr>
            </w:pPr>
          </w:p>
          <w:bookmarkEnd w:id="1148"/>
        </w:tc>
      </w:tr>
      <w:tr w14:paraId="5712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68F063CE">
            <w:pPr>
              <w:spacing w:line="400" w:lineRule="exact"/>
              <w:jc w:val="center"/>
              <w:rPr>
                <w:rFonts w:ascii="宋体" w:hAnsi="宋体"/>
                <w:color w:val="auto"/>
                <w:szCs w:val="21"/>
                <w:highlight w:val="none"/>
              </w:rPr>
            </w:pPr>
            <w:bookmarkStart w:id="1149" w:name="_Toc221952076"/>
          </w:p>
        </w:tc>
        <w:tc>
          <w:tcPr>
            <w:tcW w:w="1059" w:type="dxa"/>
            <w:noWrap w:val="0"/>
            <w:vAlign w:val="top"/>
          </w:tcPr>
          <w:p w14:paraId="619D2871">
            <w:pPr>
              <w:spacing w:line="400" w:lineRule="exact"/>
              <w:jc w:val="center"/>
              <w:rPr>
                <w:rFonts w:ascii="宋体" w:hAnsi="宋体"/>
                <w:color w:val="auto"/>
                <w:szCs w:val="21"/>
                <w:highlight w:val="none"/>
              </w:rPr>
            </w:pPr>
          </w:p>
          <w:bookmarkEnd w:id="1149"/>
        </w:tc>
        <w:tc>
          <w:tcPr>
            <w:tcW w:w="741" w:type="dxa"/>
            <w:noWrap w:val="0"/>
            <w:vAlign w:val="top"/>
          </w:tcPr>
          <w:p w14:paraId="61A0F4E3">
            <w:pPr>
              <w:spacing w:line="400" w:lineRule="exact"/>
              <w:jc w:val="center"/>
              <w:rPr>
                <w:rFonts w:ascii="宋体" w:hAnsi="宋体"/>
                <w:color w:val="auto"/>
                <w:szCs w:val="21"/>
                <w:highlight w:val="none"/>
              </w:rPr>
            </w:pPr>
          </w:p>
        </w:tc>
        <w:tc>
          <w:tcPr>
            <w:tcW w:w="965" w:type="dxa"/>
            <w:noWrap w:val="0"/>
            <w:vAlign w:val="top"/>
          </w:tcPr>
          <w:p w14:paraId="5BD85E97">
            <w:pPr>
              <w:spacing w:line="400" w:lineRule="exact"/>
              <w:jc w:val="center"/>
              <w:rPr>
                <w:rFonts w:ascii="宋体" w:hAnsi="宋体"/>
                <w:color w:val="auto"/>
                <w:szCs w:val="21"/>
                <w:highlight w:val="none"/>
              </w:rPr>
            </w:pPr>
            <w:bookmarkStart w:id="1150" w:name="_Toc221952077"/>
          </w:p>
        </w:tc>
        <w:tc>
          <w:tcPr>
            <w:tcW w:w="654" w:type="dxa"/>
            <w:noWrap w:val="0"/>
            <w:vAlign w:val="top"/>
          </w:tcPr>
          <w:p w14:paraId="175A464E">
            <w:pPr>
              <w:spacing w:line="400" w:lineRule="exact"/>
              <w:jc w:val="center"/>
              <w:rPr>
                <w:rFonts w:ascii="宋体" w:hAnsi="宋体"/>
                <w:color w:val="auto"/>
                <w:szCs w:val="21"/>
                <w:highlight w:val="none"/>
              </w:rPr>
            </w:pPr>
          </w:p>
          <w:bookmarkEnd w:id="1150"/>
        </w:tc>
        <w:tc>
          <w:tcPr>
            <w:tcW w:w="719" w:type="dxa"/>
            <w:noWrap w:val="0"/>
            <w:vAlign w:val="top"/>
          </w:tcPr>
          <w:p w14:paraId="228B0E51">
            <w:pPr>
              <w:spacing w:line="400" w:lineRule="exact"/>
              <w:jc w:val="center"/>
              <w:rPr>
                <w:rFonts w:ascii="宋体" w:hAnsi="宋体"/>
                <w:color w:val="auto"/>
                <w:szCs w:val="21"/>
                <w:highlight w:val="none"/>
              </w:rPr>
            </w:pPr>
          </w:p>
        </w:tc>
        <w:tc>
          <w:tcPr>
            <w:tcW w:w="1181" w:type="dxa"/>
            <w:noWrap w:val="0"/>
            <w:vAlign w:val="top"/>
          </w:tcPr>
          <w:p w14:paraId="2F3A5765">
            <w:pPr>
              <w:spacing w:line="400" w:lineRule="exact"/>
              <w:jc w:val="center"/>
              <w:rPr>
                <w:rFonts w:ascii="宋体" w:hAnsi="宋体"/>
                <w:color w:val="auto"/>
                <w:szCs w:val="21"/>
                <w:highlight w:val="none"/>
              </w:rPr>
            </w:pPr>
            <w:bookmarkStart w:id="1151" w:name="_Toc221952078"/>
          </w:p>
        </w:tc>
        <w:tc>
          <w:tcPr>
            <w:tcW w:w="852" w:type="dxa"/>
            <w:noWrap w:val="0"/>
            <w:vAlign w:val="top"/>
          </w:tcPr>
          <w:p w14:paraId="568DC0AF">
            <w:pPr>
              <w:spacing w:line="400" w:lineRule="exact"/>
              <w:jc w:val="center"/>
              <w:rPr>
                <w:rFonts w:ascii="宋体" w:hAnsi="宋体"/>
                <w:color w:val="auto"/>
                <w:szCs w:val="21"/>
                <w:highlight w:val="none"/>
              </w:rPr>
            </w:pPr>
          </w:p>
          <w:bookmarkEnd w:id="1151"/>
        </w:tc>
        <w:tc>
          <w:tcPr>
            <w:tcW w:w="1028" w:type="dxa"/>
            <w:noWrap w:val="0"/>
            <w:vAlign w:val="top"/>
          </w:tcPr>
          <w:p w14:paraId="382DBE93">
            <w:pPr>
              <w:spacing w:line="400" w:lineRule="exact"/>
              <w:jc w:val="center"/>
              <w:rPr>
                <w:rFonts w:ascii="宋体" w:hAnsi="宋体"/>
                <w:color w:val="auto"/>
                <w:szCs w:val="21"/>
                <w:highlight w:val="none"/>
              </w:rPr>
            </w:pPr>
          </w:p>
        </w:tc>
        <w:tc>
          <w:tcPr>
            <w:tcW w:w="673" w:type="dxa"/>
            <w:noWrap w:val="0"/>
            <w:vAlign w:val="top"/>
          </w:tcPr>
          <w:p w14:paraId="653C5AB0">
            <w:pPr>
              <w:spacing w:line="400" w:lineRule="exact"/>
              <w:jc w:val="center"/>
              <w:rPr>
                <w:rFonts w:ascii="宋体" w:hAnsi="宋体"/>
                <w:color w:val="auto"/>
                <w:szCs w:val="21"/>
                <w:highlight w:val="none"/>
              </w:rPr>
            </w:pPr>
            <w:bookmarkStart w:id="1152" w:name="_Toc221952079"/>
          </w:p>
        </w:tc>
      </w:tr>
      <w:bookmarkEnd w:id="1152"/>
      <w:tr w14:paraId="2964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00510A6E">
            <w:pPr>
              <w:spacing w:line="400" w:lineRule="exact"/>
              <w:jc w:val="center"/>
              <w:rPr>
                <w:rFonts w:ascii="宋体" w:hAnsi="宋体"/>
                <w:color w:val="auto"/>
                <w:szCs w:val="21"/>
                <w:highlight w:val="none"/>
              </w:rPr>
            </w:pPr>
          </w:p>
        </w:tc>
        <w:tc>
          <w:tcPr>
            <w:tcW w:w="1059" w:type="dxa"/>
            <w:noWrap w:val="0"/>
            <w:vAlign w:val="top"/>
          </w:tcPr>
          <w:p w14:paraId="70033A66">
            <w:pPr>
              <w:spacing w:line="400" w:lineRule="exact"/>
              <w:jc w:val="center"/>
              <w:rPr>
                <w:rFonts w:ascii="宋体" w:hAnsi="宋体"/>
                <w:color w:val="auto"/>
                <w:szCs w:val="21"/>
                <w:highlight w:val="none"/>
              </w:rPr>
            </w:pPr>
            <w:bookmarkStart w:id="1153" w:name="_Toc221952080"/>
          </w:p>
        </w:tc>
        <w:tc>
          <w:tcPr>
            <w:tcW w:w="741" w:type="dxa"/>
            <w:noWrap w:val="0"/>
            <w:vAlign w:val="top"/>
          </w:tcPr>
          <w:p w14:paraId="5571787A">
            <w:pPr>
              <w:spacing w:line="400" w:lineRule="exact"/>
              <w:jc w:val="center"/>
              <w:rPr>
                <w:rFonts w:ascii="宋体" w:hAnsi="宋体"/>
                <w:color w:val="auto"/>
                <w:szCs w:val="21"/>
                <w:highlight w:val="none"/>
              </w:rPr>
            </w:pPr>
          </w:p>
          <w:bookmarkEnd w:id="1153"/>
        </w:tc>
        <w:tc>
          <w:tcPr>
            <w:tcW w:w="965" w:type="dxa"/>
            <w:noWrap w:val="0"/>
            <w:vAlign w:val="top"/>
          </w:tcPr>
          <w:p w14:paraId="1CC81D62">
            <w:pPr>
              <w:spacing w:line="400" w:lineRule="exact"/>
              <w:jc w:val="center"/>
              <w:rPr>
                <w:rFonts w:ascii="宋体" w:hAnsi="宋体"/>
                <w:color w:val="auto"/>
                <w:szCs w:val="21"/>
                <w:highlight w:val="none"/>
              </w:rPr>
            </w:pPr>
          </w:p>
        </w:tc>
        <w:tc>
          <w:tcPr>
            <w:tcW w:w="654" w:type="dxa"/>
            <w:noWrap w:val="0"/>
            <w:vAlign w:val="top"/>
          </w:tcPr>
          <w:p w14:paraId="464D7099">
            <w:pPr>
              <w:spacing w:line="400" w:lineRule="exact"/>
              <w:jc w:val="center"/>
              <w:rPr>
                <w:rFonts w:ascii="宋体" w:hAnsi="宋体"/>
                <w:color w:val="auto"/>
                <w:szCs w:val="21"/>
                <w:highlight w:val="none"/>
              </w:rPr>
            </w:pPr>
            <w:bookmarkStart w:id="1154" w:name="_Toc221952081"/>
          </w:p>
        </w:tc>
        <w:tc>
          <w:tcPr>
            <w:tcW w:w="719" w:type="dxa"/>
            <w:noWrap w:val="0"/>
            <w:vAlign w:val="top"/>
          </w:tcPr>
          <w:p w14:paraId="2F06BED0">
            <w:pPr>
              <w:spacing w:line="400" w:lineRule="exact"/>
              <w:jc w:val="center"/>
              <w:rPr>
                <w:rFonts w:ascii="宋体" w:hAnsi="宋体"/>
                <w:color w:val="auto"/>
                <w:szCs w:val="21"/>
                <w:highlight w:val="none"/>
              </w:rPr>
            </w:pPr>
          </w:p>
          <w:bookmarkEnd w:id="1154"/>
        </w:tc>
        <w:tc>
          <w:tcPr>
            <w:tcW w:w="1181" w:type="dxa"/>
            <w:noWrap w:val="0"/>
            <w:vAlign w:val="top"/>
          </w:tcPr>
          <w:p w14:paraId="1BC81AB3">
            <w:pPr>
              <w:spacing w:line="400" w:lineRule="exact"/>
              <w:jc w:val="center"/>
              <w:rPr>
                <w:rFonts w:ascii="宋体" w:hAnsi="宋体"/>
                <w:color w:val="auto"/>
                <w:szCs w:val="21"/>
                <w:highlight w:val="none"/>
              </w:rPr>
            </w:pPr>
          </w:p>
        </w:tc>
        <w:tc>
          <w:tcPr>
            <w:tcW w:w="852" w:type="dxa"/>
            <w:noWrap w:val="0"/>
            <w:vAlign w:val="top"/>
          </w:tcPr>
          <w:p w14:paraId="16A31073">
            <w:pPr>
              <w:spacing w:line="400" w:lineRule="exact"/>
              <w:jc w:val="center"/>
              <w:rPr>
                <w:rFonts w:ascii="宋体" w:hAnsi="宋体"/>
                <w:color w:val="auto"/>
                <w:szCs w:val="21"/>
                <w:highlight w:val="none"/>
              </w:rPr>
            </w:pPr>
            <w:bookmarkStart w:id="1155" w:name="_Toc221952082"/>
          </w:p>
        </w:tc>
        <w:tc>
          <w:tcPr>
            <w:tcW w:w="1028" w:type="dxa"/>
            <w:noWrap w:val="0"/>
            <w:vAlign w:val="top"/>
          </w:tcPr>
          <w:p w14:paraId="6C46C61A">
            <w:pPr>
              <w:spacing w:line="400" w:lineRule="exact"/>
              <w:jc w:val="center"/>
              <w:rPr>
                <w:rFonts w:ascii="宋体" w:hAnsi="宋体"/>
                <w:color w:val="auto"/>
                <w:szCs w:val="21"/>
                <w:highlight w:val="none"/>
              </w:rPr>
            </w:pPr>
          </w:p>
          <w:bookmarkEnd w:id="1155"/>
        </w:tc>
        <w:tc>
          <w:tcPr>
            <w:tcW w:w="673" w:type="dxa"/>
            <w:noWrap w:val="0"/>
            <w:vAlign w:val="top"/>
          </w:tcPr>
          <w:p w14:paraId="41F72B03">
            <w:pPr>
              <w:spacing w:line="400" w:lineRule="exact"/>
              <w:jc w:val="center"/>
              <w:rPr>
                <w:rFonts w:ascii="宋体" w:hAnsi="宋体"/>
                <w:color w:val="auto"/>
                <w:szCs w:val="21"/>
                <w:highlight w:val="none"/>
              </w:rPr>
            </w:pPr>
          </w:p>
        </w:tc>
        <w:bookmarkStart w:id="1156" w:name="_Toc221952083"/>
      </w:tr>
      <w:tr w14:paraId="76CA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3A06F1BF">
            <w:pPr>
              <w:spacing w:line="400" w:lineRule="exact"/>
              <w:jc w:val="center"/>
              <w:rPr>
                <w:rFonts w:ascii="宋体" w:hAnsi="宋体"/>
                <w:color w:val="auto"/>
                <w:szCs w:val="21"/>
                <w:highlight w:val="none"/>
              </w:rPr>
            </w:pPr>
          </w:p>
        </w:tc>
        <w:tc>
          <w:tcPr>
            <w:tcW w:w="1059" w:type="dxa"/>
            <w:noWrap w:val="0"/>
            <w:vAlign w:val="top"/>
          </w:tcPr>
          <w:p w14:paraId="51E71FB6">
            <w:pPr>
              <w:spacing w:line="400" w:lineRule="exact"/>
              <w:jc w:val="center"/>
              <w:rPr>
                <w:rFonts w:ascii="宋体" w:hAnsi="宋体"/>
                <w:color w:val="auto"/>
                <w:szCs w:val="21"/>
                <w:highlight w:val="none"/>
              </w:rPr>
            </w:pPr>
          </w:p>
        </w:tc>
        <w:tc>
          <w:tcPr>
            <w:tcW w:w="741" w:type="dxa"/>
            <w:noWrap w:val="0"/>
            <w:vAlign w:val="top"/>
          </w:tcPr>
          <w:p w14:paraId="2283061B">
            <w:pPr>
              <w:spacing w:line="400" w:lineRule="exact"/>
              <w:jc w:val="center"/>
              <w:rPr>
                <w:rFonts w:ascii="宋体" w:hAnsi="宋体"/>
                <w:color w:val="auto"/>
                <w:szCs w:val="21"/>
                <w:highlight w:val="none"/>
              </w:rPr>
            </w:pPr>
          </w:p>
        </w:tc>
        <w:tc>
          <w:tcPr>
            <w:tcW w:w="965" w:type="dxa"/>
            <w:noWrap w:val="0"/>
            <w:vAlign w:val="top"/>
          </w:tcPr>
          <w:p w14:paraId="258DBE29">
            <w:pPr>
              <w:spacing w:line="400" w:lineRule="exact"/>
              <w:jc w:val="center"/>
              <w:rPr>
                <w:rFonts w:ascii="宋体" w:hAnsi="宋体"/>
                <w:color w:val="auto"/>
                <w:szCs w:val="21"/>
                <w:highlight w:val="none"/>
              </w:rPr>
            </w:pPr>
          </w:p>
        </w:tc>
        <w:tc>
          <w:tcPr>
            <w:tcW w:w="654" w:type="dxa"/>
            <w:noWrap w:val="0"/>
            <w:vAlign w:val="top"/>
          </w:tcPr>
          <w:p w14:paraId="0F1B9B9B">
            <w:pPr>
              <w:spacing w:line="400" w:lineRule="exact"/>
              <w:jc w:val="center"/>
              <w:rPr>
                <w:rFonts w:ascii="宋体" w:hAnsi="宋体"/>
                <w:color w:val="auto"/>
                <w:szCs w:val="21"/>
                <w:highlight w:val="none"/>
              </w:rPr>
            </w:pPr>
          </w:p>
        </w:tc>
        <w:tc>
          <w:tcPr>
            <w:tcW w:w="719" w:type="dxa"/>
            <w:noWrap w:val="0"/>
            <w:vAlign w:val="top"/>
          </w:tcPr>
          <w:p w14:paraId="71025138">
            <w:pPr>
              <w:spacing w:line="400" w:lineRule="exact"/>
              <w:jc w:val="center"/>
              <w:rPr>
                <w:rFonts w:ascii="宋体" w:hAnsi="宋体"/>
                <w:color w:val="auto"/>
                <w:szCs w:val="21"/>
                <w:highlight w:val="none"/>
              </w:rPr>
            </w:pPr>
          </w:p>
        </w:tc>
        <w:tc>
          <w:tcPr>
            <w:tcW w:w="1181" w:type="dxa"/>
            <w:noWrap w:val="0"/>
            <w:vAlign w:val="top"/>
          </w:tcPr>
          <w:p w14:paraId="2F2C4695">
            <w:pPr>
              <w:spacing w:line="400" w:lineRule="exact"/>
              <w:jc w:val="center"/>
              <w:rPr>
                <w:rFonts w:ascii="宋体" w:hAnsi="宋体"/>
                <w:color w:val="auto"/>
                <w:szCs w:val="21"/>
                <w:highlight w:val="none"/>
              </w:rPr>
            </w:pPr>
          </w:p>
          <w:bookmarkEnd w:id="1156"/>
        </w:tc>
        <w:tc>
          <w:tcPr>
            <w:tcW w:w="852" w:type="dxa"/>
            <w:noWrap w:val="0"/>
            <w:vAlign w:val="top"/>
          </w:tcPr>
          <w:p w14:paraId="54B5B8E6">
            <w:pPr>
              <w:spacing w:line="400" w:lineRule="exact"/>
              <w:jc w:val="center"/>
              <w:rPr>
                <w:rFonts w:ascii="宋体" w:hAnsi="宋体"/>
                <w:color w:val="auto"/>
                <w:szCs w:val="21"/>
                <w:highlight w:val="none"/>
              </w:rPr>
            </w:pPr>
          </w:p>
        </w:tc>
        <w:tc>
          <w:tcPr>
            <w:tcW w:w="1028" w:type="dxa"/>
            <w:noWrap w:val="0"/>
            <w:vAlign w:val="top"/>
          </w:tcPr>
          <w:p w14:paraId="0A15BCA6">
            <w:pPr>
              <w:spacing w:line="400" w:lineRule="exact"/>
              <w:jc w:val="center"/>
              <w:rPr>
                <w:rFonts w:ascii="宋体" w:hAnsi="宋体"/>
                <w:color w:val="auto"/>
                <w:szCs w:val="21"/>
                <w:highlight w:val="none"/>
              </w:rPr>
            </w:pPr>
            <w:bookmarkStart w:id="1157" w:name="_Toc221952084"/>
          </w:p>
        </w:tc>
        <w:tc>
          <w:tcPr>
            <w:tcW w:w="673" w:type="dxa"/>
            <w:noWrap w:val="0"/>
            <w:vAlign w:val="top"/>
          </w:tcPr>
          <w:p w14:paraId="77C1D2EB">
            <w:pPr>
              <w:spacing w:line="400" w:lineRule="exact"/>
              <w:jc w:val="center"/>
              <w:rPr>
                <w:rFonts w:ascii="宋体" w:hAnsi="宋体"/>
                <w:color w:val="auto"/>
                <w:szCs w:val="21"/>
                <w:highlight w:val="none"/>
              </w:rPr>
            </w:pPr>
          </w:p>
          <w:bookmarkEnd w:id="1157"/>
        </w:tc>
      </w:tr>
      <w:tr w14:paraId="37D1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15596BF">
            <w:pPr>
              <w:spacing w:line="400" w:lineRule="exact"/>
              <w:jc w:val="center"/>
              <w:rPr>
                <w:rFonts w:ascii="宋体" w:hAnsi="宋体"/>
                <w:color w:val="auto"/>
                <w:szCs w:val="21"/>
                <w:highlight w:val="none"/>
              </w:rPr>
            </w:pPr>
            <w:bookmarkStart w:id="1158" w:name="_Toc221952085"/>
          </w:p>
        </w:tc>
        <w:tc>
          <w:tcPr>
            <w:tcW w:w="1059" w:type="dxa"/>
            <w:noWrap w:val="0"/>
            <w:vAlign w:val="top"/>
          </w:tcPr>
          <w:p w14:paraId="47549DDF">
            <w:pPr>
              <w:spacing w:line="400" w:lineRule="exact"/>
              <w:jc w:val="center"/>
              <w:rPr>
                <w:rFonts w:ascii="宋体" w:hAnsi="宋体"/>
                <w:color w:val="auto"/>
                <w:szCs w:val="21"/>
                <w:highlight w:val="none"/>
              </w:rPr>
            </w:pPr>
          </w:p>
          <w:bookmarkEnd w:id="1158"/>
        </w:tc>
        <w:tc>
          <w:tcPr>
            <w:tcW w:w="741" w:type="dxa"/>
            <w:noWrap w:val="0"/>
            <w:vAlign w:val="top"/>
          </w:tcPr>
          <w:p w14:paraId="5045DB47">
            <w:pPr>
              <w:spacing w:line="400" w:lineRule="exact"/>
              <w:jc w:val="center"/>
              <w:rPr>
                <w:rFonts w:ascii="宋体" w:hAnsi="宋体"/>
                <w:color w:val="auto"/>
                <w:szCs w:val="21"/>
                <w:highlight w:val="none"/>
              </w:rPr>
            </w:pPr>
          </w:p>
        </w:tc>
        <w:tc>
          <w:tcPr>
            <w:tcW w:w="965" w:type="dxa"/>
            <w:noWrap w:val="0"/>
            <w:vAlign w:val="top"/>
          </w:tcPr>
          <w:p w14:paraId="22F074AF">
            <w:pPr>
              <w:spacing w:line="400" w:lineRule="exact"/>
              <w:jc w:val="center"/>
              <w:rPr>
                <w:rFonts w:ascii="宋体" w:hAnsi="宋体"/>
                <w:color w:val="auto"/>
                <w:szCs w:val="21"/>
                <w:highlight w:val="none"/>
              </w:rPr>
            </w:pPr>
            <w:bookmarkStart w:id="1159" w:name="_Toc221952086"/>
          </w:p>
        </w:tc>
        <w:tc>
          <w:tcPr>
            <w:tcW w:w="654" w:type="dxa"/>
            <w:noWrap w:val="0"/>
            <w:vAlign w:val="top"/>
          </w:tcPr>
          <w:p w14:paraId="49F9A944">
            <w:pPr>
              <w:spacing w:line="400" w:lineRule="exact"/>
              <w:jc w:val="center"/>
              <w:rPr>
                <w:rFonts w:ascii="宋体" w:hAnsi="宋体"/>
                <w:color w:val="auto"/>
                <w:szCs w:val="21"/>
                <w:highlight w:val="none"/>
              </w:rPr>
            </w:pPr>
          </w:p>
        </w:tc>
        <w:tc>
          <w:tcPr>
            <w:tcW w:w="719" w:type="dxa"/>
            <w:noWrap w:val="0"/>
            <w:vAlign w:val="top"/>
          </w:tcPr>
          <w:p w14:paraId="44C7CE88">
            <w:pPr>
              <w:spacing w:line="400" w:lineRule="exact"/>
              <w:jc w:val="center"/>
              <w:rPr>
                <w:rFonts w:ascii="宋体" w:hAnsi="宋体"/>
                <w:color w:val="auto"/>
                <w:szCs w:val="21"/>
                <w:highlight w:val="none"/>
              </w:rPr>
            </w:pPr>
          </w:p>
        </w:tc>
        <w:tc>
          <w:tcPr>
            <w:tcW w:w="1181" w:type="dxa"/>
            <w:noWrap w:val="0"/>
            <w:vAlign w:val="top"/>
          </w:tcPr>
          <w:p w14:paraId="46B37E3A">
            <w:pPr>
              <w:spacing w:line="400" w:lineRule="exact"/>
              <w:jc w:val="center"/>
              <w:rPr>
                <w:rFonts w:ascii="宋体" w:hAnsi="宋体"/>
                <w:color w:val="auto"/>
                <w:szCs w:val="21"/>
                <w:highlight w:val="none"/>
              </w:rPr>
            </w:pPr>
          </w:p>
        </w:tc>
        <w:tc>
          <w:tcPr>
            <w:tcW w:w="852" w:type="dxa"/>
            <w:noWrap w:val="0"/>
            <w:vAlign w:val="top"/>
          </w:tcPr>
          <w:p w14:paraId="03BA911D">
            <w:pPr>
              <w:spacing w:line="400" w:lineRule="exact"/>
              <w:jc w:val="center"/>
              <w:rPr>
                <w:rFonts w:ascii="宋体" w:hAnsi="宋体"/>
                <w:color w:val="auto"/>
                <w:szCs w:val="21"/>
                <w:highlight w:val="none"/>
              </w:rPr>
            </w:pPr>
          </w:p>
        </w:tc>
        <w:tc>
          <w:tcPr>
            <w:tcW w:w="1028" w:type="dxa"/>
            <w:noWrap w:val="0"/>
            <w:vAlign w:val="top"/>
          </w:tcPr>
          <w:p w14:paraId="09610526">
            <w:pPr>
              <w:spacing w:line="400" w:lineRule="exact"/>
              <w:jc w:val="center"/>
              <w:rPr>
                <w:rFonts w:ascii="宋体" w:hAnsi="宋体"/>
                <w:color w:val="auto"/>
                <w:szCs w:val="21"/>
                <w:highlight w:val="none"/>
              </w:rPr>
            </w:pPr>
          </w:p>
          <w:bookmarkEnd w:id="1159"/>
        </w:tc>
        <w:tc>
          <w:tcPr>
            <w:tcW w:w="673" w:type="dxa"/>
            <w:noWrap w:val="0"/>
            <w:vAlign w:val="top"/>
          </w:tcPr>
          <w:p w14:paraId="1BE6BB99">
            <w:pPr>
              <w:spacing w:line="400" w:lineRule="exact"/>
              <w:jc w:val="center"/>
              <w:rPr>
                <w:rFonts w:ascii="宋体" w:hAnsi="宋体"/>
                <w:color w:val="auto"/>
                <w:szCs w:val="21"/>
                <w:highlight w:val="none"/>
              </w:rPr>
            </w:pPr>
          </w:p>
        </w:tc>
        <w:bookmarkStart w:id="1160" w:name="_Toc221952087"/>
      </w:tr>
      <w:tr w14:paraId="7CA1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628290F2">
            <w:pPr>
              <w:spacing w:line="400" w:lineRule="exact"/>
              <w:jc w:val="center"/>
              <w:rPr>
                <w:rFonts w:ascii="宋体" w:hAnsi="宋体"/>
                <w:color w:val="auto"/>
                <w:szCs w:val="21"/>
                <w:highlight w:val="none"/>
              </w:rPr>
            </w:pPr>
          </w:p>
          <w:bookmarkEnd w:id="1160"/>
        </w:tc>
        <w:tc>
          <w:tcPr>
            <w:tcW w:w="1059" w:type="dxa"/>
            <w:noWrap w:val="0"/>
            <w:vAlign w:val="top"/>
          </w:tcPr>
          <w:p w14:paraId="4D5062DF">
            <w:pPr>
              <w:spacing w:line="400" w:lineRule="exact"/>
              <w:jc w:val="center"/>
              <w:rPr>
                <w:rFonts w:ascii="宋体" w:hAnsi="宋体"/>
                <w:color w:val="auto"/>
                <w:szCs w:val="21"/>
                <w:highlight w:val="none"/>
              </w:rPr>
            </w:pPr>
          </w:p>
        </w:tc>
        <w:tc>
          <w:tcPr>
            <w:tcW w:w="741" w:type="dxa"/>
            <w:noWrap w:val="0"/>
            <w:vAlign w:val="top"/>
          </w:tcPr>
          <w:p w14:paraId="2A9F6B91">
            <w:pPr>
              <w:spacing w:line="400" w:lineRule="exact"/>
              <w:jc w:val="center"/>
              <w:rPr>
                <w:rFonts w:ascii="宋体" w:hAnsi="宋体"/>
                <w:color w:val="auto"/>
                <w:szCs w:val="21"/>
                <w:highlight w:val="none"/>
              </w:rPr>
            </w:pPr>
          </w:p>
        </w:tc>
        <w:tc>
          <w:tcPr>
            <w:tcW w:w="965" w:type="dxa"/>
            <w:noWrap w:val="0"/>
            <w:vAlign w:val="top"/>
          </w:tcPr>
          <w:p w14:paraId="67AC2DCA">
            <w:pPr>
              <w:spacing w:line="400" w:lineRule="exact"/>
              <w:jc w:val="center"/>
              <w:rPr>
                <w:rFonts w:ascii="宋体" w:hAnsi="宋体"/>
                <w:color w:val="auto"/>
                <w:szCs w:val="21"/>
                <w:highlight w:val="none"/>
              </w:rPr>
            </w:pPr>
          </w:p>
        </w:tc>
        <w:tc>
          <w:tcPr>
            <w:tcW w:w="654" w:type="dxa"/>
            <w:noWrap w:val="0"/>
            <w:vAlign w:val="top"/>
          </w:tcPr>
          <w:p w14:paraId="61CB9971">
            <w:pPr>
              <w:spacing w:line="400" w:lineRule="exact"/>
              <w:jc w:val="center"/>
              <w:rPr>
                <w:rFonts w:ascii="宋体" w:hAnsi="宋体"/>
                <w:color w:val="auto"/>
                <w:szCs w:val="21"/>
                <w:highlight w:val="none"/>
              </w:rPr>
            </w:pPr>
          </w:p>
        </w:tc>
        <w:tc>
          <w:tcPr>
            <w:tcW w:w="719" w:type="dxa"/>
            <w:noWrap w:val="0"/>
            <w:vAlign w:val="top"/>
          </w:tcPr>
          <w:p w14:paraId="78A5EF5E">
            <w:pPr>
              <w:spacing w:line="400" w:lineRule="exact"/>
              <w:jc w:val="center"/>
              <w:rPr>
                <w:rFonts w:ascii="宋体" w:hAnsi="宋体"/>
                <w:color w:val="auto"/>
                <w:szCs w:val="21"/>
                <w:highlight w:val="none"/>
              </w:rPr>
            </w:pPr>
          </w:p>
        </w:tc>
        <w:tc>
          <w:tcPr>
            <w:tcW w:w="1181" w:type="dxa"/>
            <w:noWrap w:val="0"/>
            <w:vAlign w:val="top"/>
          </w:tcPr>
          <w:p w14:paraId="15F67640">
            <w:pPr>
              <w:spacing w:line="400" w:lineRule="exact"/>
              <w:jc w:val="center"/>
              <w:rPr>
                <w:rFonts w:ascii="宋体" w:hAnsi="宋体"/>
                <w:color w:val="auto"/>
                <w:szCs w:val="21"/>
                <w:highlight w:val="none"/>
              </w:rPr>
            </w:pPr>
          </w:p>
        </w:tc>
        <w:tc>
          <w:tcPr>
            <w:tcW w:w="852" w:type="dxa"/>
            <w:noWrap w:val="0"/>
            <w:vAlign w:val="top"/>
          </w:tcPr>
          <w:p w14:paraId="5FC2F0C6">
            <w:pPr>
              <w:spacing w:line="400" w:lineRule="exact"/>
              <w:jc w:val="center"/>
              <w:rPr>
                <w:rFonts w:ascii="宋体" w:hAnsi="宋体"/>
                <w:color w:val="auto"/>
                <w:szCs w:val="21"/>
                <w:highlight w:val="none"/>
              </w:rPr>
            </w:pPr>
          </w:p>
        </w:tc>
        <w:tc>
          <w:tcPr>
            <w:tcW w:w="1028" w:type="dxa"/>
            <w:noWrap w:val="0"/>
            <w:vAlign w:val="top"/>
          </w:tcPr>
          <w:p w14:paraId="13D4CB22">
            <w:pPr>
              <w:spacing w:line="400" w:lineRule="exact"/>
              <w:jc w:val="center"/>
              <w:rPr>
                <w:rFonts w:ascii="宋体" w:hAnsi="宋体"/>
                <w:color w:val="auto"/>
                <w:szCs w:val="21"/>
                <w:highlight w:val="none"/>
              </w:rPr>
            </w:pPr>
          </w:p>
        </w:tc>
        <w:tc>
          <w:tcPr>
            <w:tcW w:w="673" w:type="dxa"/>
            <w:noWrap w:val="0"/>
            <w:vAlign w:val="top"/>
          </w:tcPr>
          <w:p w14:paraId="5270434C">
            <w:pPr>
              <w:spacing w:line="400" w:lineRule="exact"/>
              <w:jc w:val="center"/>
              <w:rPr>
                <w:rFonts w:ascii="宋体" w:hAnsi="宋体"/>
                <w:color w:val="auto"/>
                <w:szCs w:val="21"/>
                <w:highlight w:val="none"/>
              </w:rPr>
            </w:pPr>
          </w:p>
        </w:tc>
      </w:tr>
    </w:tbl>
    <w:p w14:paraId="6F273ABB">
      <w:pPr>
        <w:spacing w:line="400" w:lineRule="exact"/>
        <w:rPr>
          <w:rFonts w:eastAsia="黑体"/>
          <w:color w:val="auto"/>
          <w:sz w:val="19"/>
          <w:szCs w:val="19"/>
          <w:highlight w:val="none"/>
        </w:rPr>
      </w:pPr>
    </w:p>
    <w:p w14:paraId="2E4BD758">
      <w:pPr>
        <w:spacing w:line="400" w:lineRule="exact"/>
        <w:rPr>
          <w:rFonts w:eastAsia="黑体"/>
          <w:color w:val="auto"/>
          <w:sz w:val="19"/>
          <w:szCs w:val="19"/>
          <w:highlight w:val="none"/>
        </w:rPr>
      </w:pPr>
      <w:r>
        <w:rPr>
          <w:rFonts w:eastAsia="黑体"/>
          <w:color w:val="auto"/>
          <w:sz w:val="19"/>
          <w:szCs w:val="19"/>
          <w:highlight w:val="none"/>
        </w:rPr>
        <w:br w:type="page"/>
      </w:r>
    </w:p>
    <w:p w14:paraId="248B0880">
      <w:pPr>
        <w:spacing w:line="400" w:lineRule="exact"/>
        <w:jc w:val="center"/>
        <w:outlineLvl w:val="3"/>
        <w:rPr>
          <w:rFonts w:ascii="宋体" w:hAnsi="宋体"/>
          <w:b/>
          <w:color w:val="auto"/>
          <w:sz w:val="24"/>
          <w:szCs w:val="31"/>
          <w:highlight w:val="none"/>
        </w:rPr>
      </w:pPr>
      <w:r>
        <w:rPr>
          <w:rFonts w:ascii="宋体" w:hAnsi="宋体"/>
          <w:b/>
          <w:color w:val="auto"/>
          <w:sz w:val="24"/>
          <w:szCs w:val="31"/>
          <w:highlight w:val="none"/>
        </w:rPr>
        <w:t>附表二：拟</w:t>
      </w:r>
      <w:r>
        <w:rPr>
          <w:rFonts w:hint="eastAsia" w:ascii="宋体" w:hAnsi="宋体"/>
          <w:b/>
          <w:color w:val="auto"/>
          <w:sz w:val="24"/>
          <w:szCs w:val="31"/>
          <w:highlight w:val="none"/>
        </w:rPr>
        <w:t>投入</w:t>
      </w:r>
      <w:r>
        <w:rPr>
          <w:rFonts w:ascii="宋体" w:hAnsi="宋体"/>
          <w:b/>
          <w:color w:val="auto"/>
          <w:sz w:val="24"/>
          <w:szCs w:val="31"/>
          <w:highlight w:val="none"/>
        </w:rPr>
        <w:t>本标段的</w:t>
      </w:r>
      <w:r>
        <w:rPr>
          <w:rFonts w:hint="eastAsia" w:ascii="宋体" w:hAnsi="宋体"/>
          <w:b/>
          <w:color w:val="auto"/>
          <w:sz w:val="24"/>
          <w:szCs w:val="31"/>
          <w:highlight w:val="none"/>
        </w:rPr>
        <w:t>试</w:t>
      </w:r>
      <w:r>
        <w:rPr>
          <w:rFonts w:ascii="宋体" w:hAnsi="宋体"/>
          <w:b/>
          <w:color w:val="auto"/>
          <w:sz w:val="24"/>
          <w:szCs w:val="31"/>
          <w:highlight w:val="none"/>
        </w:rPr>
        <w:t>验和检测仪器设备表</w:t>
      </w:r>
    </w:p>
    <w:p w14:paraId="4628B419">
      <w:pPr>
        <w:spacing w:line="400" w:lineRule="exact"/>
        <w:rPr>
          <w:color w:val="auto"/>
          <w:sz w:val="19"/>
          <w:szCs w:val="19"/>
          <w:highlight w:val="none"/>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094"/>
        <w:gridCol w:w="881"/>
        <w:gridCol w:w="881"/>
        <w:gridCol w:w="677"/>
        <w:gridCol w:w="743"/>
        <w:gridCol w:w="1220"/>
        <w:gridCol w:w="1663"/>
        <w:gridCol w:w="690"/>
      </w:tblGrid>
      <w:tr w14:paraId="2B3E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3ED6626D">
            <w:pPr>
              <w:spacing w:line="400" w:lineRule="exact"/>
              <w:jc w:val="center"/>
              <w:rPr>
                <w:rFonts w:ascii="宋体" w:hAnsi="宋体"/>
                <w:color w:val="auto"/>
                <w:szCs w:val="21"/>
                <w:highlight w:val="none"/>
              </w:rPr>
            </w:pPr>
            <w:r>
              <w:rPr>
                <w:rFonts w:ascii="宋体" w:hAnsi="宋体"/>
                <w:color w:val="auto"/>
                <w:szCs w:val="21"/>
                <w:highlight w:val="none"/>
              </w:rPr>
              <w:t>序号</w:t>
            </w:r>
          </w:p>
        </w:tc>
        <w:tc>
          <w:tcPr>
            <w:tcW w:w="1094" w:type="dxa"/>
            <w:noWrap w:val="0"/>
            <w:vAlign w:val="top"/>
          </w:tcPr>
          <w:p w14:paraId="429A3002">
            <w:pPr>
              <w:spacing w:line="400" w:lineRule="exact"/>
              <w:jc w:val="center"/>
              <w:rPr>
                <w:rFonts w:ascii="宋体" w:hAnsi="宋体"/>
                <w:color w:val="auto"/>
                <w:szCs w:val="21"/>
                <w:highlight w:val="none"/>
              </w:rPr>
            </w:pPr>
            <w:r>
              <w:rPr>
                <w:rFonts w:ascii="宋体" w:hAnsi="宋体"/>
                <w:color w:val="auto"/>
                <w:szCs w:val="21"/>
                <w:highlight w:val="none"/>
              </w:rPr>
              <w:t>仪器设备名称</w:t>
            </w:r>
          </w:p>
        </w:tc>
        <w:tc>
          <w:tcPr>
            <w:tcW w:w="881" w:type="dxa"/>
            <w:noWrap w:val="0"/>
            <w:vAlign w:val="top"/>
          </w:tcPr>
          <w:p w14:paraId="3BF7F8ED">
            <w:pPr>
              <w:spacing w:line="400" w:lineRule="exact"/>
              <w:jc w:val="center"/>
              <w:rPr>
                <w:rFonts w:ascii="宋体" w:hAnsi="宋体"/>
                <w:color w:val="auto"/>
                <w:szCs w:val="21"/>
                <w:highlight w:val="none"/>
              </w:rPr>
            </w:pPr>
            <w:r>
              <w:rPr>
                <w:rFonts w:ascii="宋体" w:hAnsi="宋体"/>
                <w:color w:val="auto"/>
                <w:szCs w:val="21"/>
                <w:highlight w:val="none"/>
              </w:rPr>
              <w:t>型号</w:t>
            </w:r>
          </w:p>
          <w:p w14:paraId="5AEF8699">
            <w:pPr>
              <w:spacing w:line="400" w:lineRule="exact"/>
              <w:jc w:val="center"/>
              <w:rPr>
                <w:rFonts w:ascii="宋体" w:hAnsi="宋体"/>
                <w:color w:val="auto"/>
                <w:szCs w:val="21"/>
                <w:highlight w:val="none"/>
              </w:rPr>
            </w:pPr>
            <w:r>
              <w:rPr>
                <w:rFonts w:ascii="宋体" w:hAnsi="宋体"/>
                <w:color w:val="auto"/>
                <w:szCs w:val="21"/>
                <w:highlight w:val="none"/>
              </w:rPr>
              <w:t>规格</w:t>
            </w:r>
          </w:p>
        </w:tc>
        <w:tc>
          <w:tcPr>
            <w:tcW w:w="881" w:type="dxa"/>
            <w:noWrap w:val="0"/>
            <w:vAlign w:val="top"/>
          </w:tcPr>
          <w:p w14:paraId="178792CD">
            <w:pPr>
              <w:spacing w:line="400" w:lineRule="exact"/>
              <w:jc w:val="center"/>
              <w:rPr>
                <w:rFonts w:ascii="宋体" w:hAnsi="宋体"/>
                <w:color w:val="auto"/>
                <w:szCs w:val="21"/>
                <w:highlight w:val="none"/>
              </w:rPr>
            </w:pPr>
            <w:r>
              <w:rPr>
                <w:rFonts w:ascii="宋体" w:hAnsi="宋体"/>
                <w:color w:val="auto"/>
                <w:szCs w:val="21"/>
                <w:highlight w:val="none"/>
              </w:rPr>
              <w:t>数量</w:t>
            </w:r>
          </w:p>
        </w:tc>
        <w:tc>
          <w:tcPr>
            <w:tcW w:w="677" w:type="dxa"/>
            <w:noWrap w:val="0"/>
            <w:vAlign w:val="top"/>
          </w:tcPr>
          <w:p w14:paraId="3B0E6382">
            <w:pPr>
              <w:spacing w:line="400" w:lineRule="exact"/>
              <w:jc w:val="center"/>
              <w:rPr>
                <w:rFonts w:ascii="宋体" w:hAnsi="宋体"/>
                <w:color w:val="auto"/>
                <w:szCs w:val="21"/>
                <w:highlight w:val="none"/>
              </w:rPr>
            </w:pPr>
            <w:r>
              <w:rPr>
                <w:rFonts w:ascii="宋体" w:hAnsi="宋体"/>
                <w:color w:val="auto"/>
                <w:szCs w:val="21"/>
                <w:highlight w:val="none"/>
              </w:rPr>
              <w:t>国别</w:t>
            </w:r>
          </w:p>
          <w:p w14:paraId="67F6A963">
            <w:pPr>
              <w:spacing w:line="400" w:lineRule="exact"/>
              <w:jc w:val="center"/>
              <w:rPr>
                <w:rFonts w:ascii="宋体" w:hAnsi="宋体"/>
                <w:color w:val="auto"/>
                <w:szCs w:val="21"/>
                <w:highlight w:val="none"/>
              </w:rPr>
            </w:pPr>
            <w:r>
              <w:rPr>
                <w:rFonts w:ascii="宋体" w:hAnsi="宋体"/>
                <w:color w:val="auto"/>
                <w:szCs w:val="21"/>
                <w:highlight w:val="none"/>
              </w:rPr>
              <w:t>产地</w:t>
            </w:r>
          </w:p>
        </w:tc>
        <w:tc>
          <w:tcPr>
            <w:tcW w:w="743" w:type="dxa"/>
            <w:noWrap w:val="0"/>
            <w:vAlign w:val="top"/>
          </w:tcPr>
          <w:p w14:paraId="26455720">
            <w:pPr>
              <w:spacing w:line="400" w:lineRule="exact"/>
              <w:jc w:val="center"/>
              <w:rPr>
                <w:rFonts w:ascii="宋体" w:hAnsi="宋体"/>
                <w:color w:val="auto"/>
                <w:szCs w:val="21"/>
                <w:highlight w:val="none"/>
              </w:rPr>
            </w:pPr>
            <w:r>
              <w:rPr>
                <w:rFonts w:ascii="宋体" w:hAnsi="宋体"/>
                <w:color w:val="auto"/>
                <w:szCs w:val="21"/>
                <w:highlight w:val="none"/>
              </w:rPr>
              <w:t>制造</w:t>
            </w:r>
          </w:p>
          <w:p w14:paraId="04EF3C98">
            <w:pPr>
              <w:spacing w:line="400" w:lineRule="exact"/>
              <w:jc w:val="center"/>
              <w:rPr>
                <w:rFonts w:ascii="宋体" w:hAnsi="宋体"/>
                <w:color w:val="auto"/>
                <w:szCs w:val="21"/>
                <w:highlight w:val="none"/>
              </w:rPr>
            </w:pPr>
            <w:r>
              <w:rPr>
                <w:rFonts w:ascii="宋体" w:hAnsi="宋体"/>
                <w:color w:val="auto"/>
                <w:szCs w:val="21"/>
                <w:highlight w:val="none"/>
              </w:rPr>
              <w:t>年份</w:t>
            </w:r>
          </w:p>
        </w:tc>
        <w:tc>
          <w:tcPr>
            <w:tcW w:w="1220" w:type="dxa"/>
            <w:noWrap w:val="0"/>
            <w:vAlign w:val="top"/>
          </w:tcPr>
          <w:p w14:paraId="7D095837">
            <w:pPr>
              <w:spacing w:line="400" w:lineRule="exact"/>
              <w:jc w:val="center"/>
              <w:rPr>
                <w:rFonts w:ascii="宋体" w:hAnsi="宋体"/>
                <w:color w:val="auto"/>
                <w:szCs w:val="21"/>
                <w:highlight w:val="none"/>
              </w:rPr>
            </w:pPr>
            <w:r>
              <w:rPr>
                <w:rFonts w:ascii="宋体" w:hAnsi="宋体"/>
                <w:color w:val="auto"/>
                <w:szCs w:val="21"/>
                <w:highlight w:val="none"/>
              </w:rPr>
              <w:t>已使用台时数</w:t>
            </w:r>
          </w:p>
        </w:tc>
        <w:tc>
          <w:tcPr>
            <w:tcW w:w="1663" w:type="dxa"/>
            <w:noWrap w:val="0"/>
            <w:vAlign w:val="top"/>
          </w:tcPr>
          <w:p w14:paraId="0E9D7E57">
            <w:pPr>
              <w:spacing w:line="400" w:lineRule="exact"/>
              <w:jc w:val="center"/>
              <w:rPr>
                <w:rFonts w:ascii="宋体" w:hAnsi="宋体"/>
                <w:color w:val="auto"/>
                <w:szCs w:val="21"/>
                <w:highlight w:val="none"/>
              </w:rPr>
            </w:pPr>
            <w:r>
              <w:rPr>
                <w:rFonts w:ascii="宋体" w:hAnsi="宋体"/>
                <w:color w:val="auto"/>
                <w:szCs w:val="21"/>
                <w:highlight w:val="none"/>
              </w:rPr>
              <w:t>用途</w:t>
            </w:r>
          </w:p>
        </w:tc>
        <w:tc>
          <w:tcPr>
            <w:tcW w:w="690" w:type="dxa"/>
            <w:noWrap w:val="0"/>
            <w:vAlign w:val="top"/>
          </w:tcPr>
          <w:p w14:paraId="6EEAA193">
            <w:pPr>
              <w:spacing w:line="400" w:lineRule="exact"/>
              <w:jc w:val="center"/>
              <w:rPr>
                <w:rFonts w:ascii="宋体" w:hAnsi="宋体"/>
                <w:color w:val="auto"/>
                <w:szCs w:val="21"/>
                <w:highlight w:val="none"/>
              </w:rPr>
            </w:pPr>
            <w:r>
              <w:rPr>
                <w:rFonts w:ascii="宋体" w:hAnsi="宋体"/>
                <w:color w:val="auto"/>
                <w:szCs w:val="21"/>
                <w:highlight w:val="none"/>
              </w:rPr>
              <w:t>备注</w:t>
            </w:r>
          </w:p>
        </w:tc>
      </w:tr>
      <w:tr w14:paraId="70B1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123D52F7">
            <w:pPr>
              <w:spacing w:line="400" w:lineRule="exact"/>
              <w:jc w:val="center"/>
              <w:rPr>
                <w:rFonts w:ascii="宋体" w:hAnsi="宋体"/>
                <w:color w:val="auto"/>
                <w:szCs w:val="21"/>
                <w:highlight w:val="none"/>
              </w:rPr>
            </w:pPr>
          </w:p>
        </w:tc>
        <w:tc>
          <w:tcPr>
            <w:tcW w:w="1094" w:type="dxa"/>
            <w:noWrap w:val="0"/>
            <w:vAlign w:val="top"/>
          </w:tcPr>
          <w:p w14:paraId="74E2D5FE">
            <w:pPr>
              <w:spacing w:line="400" w:lineRule="exact"/>
              <w:jc w:val="center"/>
              <w:rPr>
                <w:rFonts w:ascii="宋体" w:hAnsi="宋体"/>
                <w:color w:val="auto"/>
                <w:szCs w:val="21"/>
                <w:highlight w:val="none"/>
              </w:rPr>
            </w:pPr>
          </w:p>
        </w:tc>
        <w:tc>
          <w:tcPr>
            <w:tcW w:w="881" w:type="dxa"/>
            <w:noWrap w:val="0"/>
            <w:vAlign w:val="top"/>
          </w:tcPr>
          <w:p w14:paraId="365A897D">
            <w:pPr>
              <w:spacing w:line="400" w:lineRule="exact"/>
              <w:jc w:val="center"/>
              <w:rPr>
                <w:rFonts w:ascii="宋体" w:hAnsi="宋体"/>
                <w:color w:val="auto"/>
                <w:szCs w:val="21"/>
                <w:highlight w:val="none"/>
              </w:rPr>
            </w:pPr>
          </w:p>
        </w:tc>
        <w:tc>
          <w:tcPr>
            <w:tcW w:w="881" w:type="dxa"/>
            <w:noWrap w:val="0"/>
            <w:vAlign w:val="top"/>
          </w:tcPr>
          <w:p w14:paraId="24415128">
            <w:pPr>
              <w:spacing w:line="400" w:lineRule="exact"/>
              <w:jc w:val="center"/>
              <w:rPr>
                <w:rFonts w:ascii="宋体" w:hAnsi="宋体"/>
                <w:color w:val="auto"/>
                <w:szCs w:val="21"/>
                <w:highlight w:val="none"/>
              </w:rPr>
            </w:pPr>
          </w:p>
        </w:tc>
        <w:tc>
          <w:tcPr>
            <w:tcW w:w="677" w:type="dxa"/>
            <w:noWrap w:val="0"/>
            <w:vAlign w:val="top"/>
          </w:tcPr>
          <w:p w14:paraId="3D832EB0">
            <w:pPr>
              <w:spacing w:line="400" w:lineRule="exact"/>
              <w:jc w:val="center"/>
              <w:rPr>
                <w:rFonts w:ascii="宋体" w:hAnsi="宋体"/>
                <w:color w:val="auto"/>
                <w:szCs w:val="21"/>
                <w:highlight w:val="none"/>
              </w:rPr>
            </w:pPr>
          </w:p>
        </w:tc>
        <w:tc>
          <w:tcPr>
            <w:tcW w:w="743" w:type="dxa"/>
            <w:noWrap w:val="0"/>
            <w:vAlign w:val="top"/>
          </w:tcPr>
          <w:p w14:paraId="50CE0DF0">
            <w:pPr>
              <w:spacing w:line="400" w:lineRule="exact"/>
              <w:jc w:val="center"/>
              <w:rPr>
                <w:rFonts w:ascii="宋体" w:hAnsi="宋体"/>
                <w:color w:val="auto"/>
                <w:szCs w:val="21"/>
                <w:highlight w:val="none"/>
              </w:rPr>
            </w:pPr>
          </w:p>
        </w:tc>
        <w:tc>
          <w:tcPr>
            <w:tcW w:w="1220" w:type="dxa"/>
            <w:noWrap w:val="0"/>
            <w:vAlign w:val="top"/>
          </w:tcPr>
          <w:p w14:paraId="61E12F52">
            <w:pPr>
              <w:spacing w:line="400" w:lineRule="exact"/>
              <w:jc w:val="center"/>
              <w:rPr>
                <w:rFonts w:ascii="宋体" w:hAnsi="宋体"/>
                <w:color w:val="auto"/>
                <w:szCs w:val="21"/>
                <w:highlight w:val="none"/>
              </w:rPr>
            </w:pPr>
          </w:p>
        </w:tc>
        <w:tc>
          <w:tcPr>
            <w:tcW w:w="1663" w:type="dxa"/>
            <w:noWrap w:val="0"/>
            <w:vAlign w:val="top"/>
          </w:tcPr>
          <w:p w14:paraId="46450CA3">
            <w:pPr>
              <w:spacing w:line="400" w:lineRule="exact"/>
              <w:jc w:val="center"/>
              <w:rPr>
                <w:rFonts w:ascii="宋体" w:hAnsi="宋体"/>
                <w:color w:val="auto"/>
                <w:szCs w:val="21"/>
                <w:highlight w:val="none"/>
              </w:rPr>
            </w:pPr>
          </w:p>
        </w:tc>
        <w:tc>
          <w:tcPr>
            <w:tcW w:w="690" w:type="dxa"/>
            <w:noWrap w:val="0"/>
            <w:vAlign w:val="top"/>
          </w:tcPr>
          <w:p w14:paraId="345D136A">
            <w:pPr>
              <w:spacing w:line="400" w:lineRule="exact"/>
              <w:jc w:val="center"/>
              <w:rPr>
                <w:rFonts w:ascii="宋体" w:hAnsi="宋体"/>
                <w:color w:val="auto"/>
                <w:szCs w:val="21"/>
                <w:highlight w:val="none"/>
              </w:rPr>
            </w:pPr>
          </w:p>
        </w:tc>
      </w:tr>
      <w:tr w14:paraId="7F4C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22389806">
            <w:pPr>
              <w:spacing w:line="400" w:lineRule="exact"/>
              <w:jc w:val="center"/>
              <w:rPr>
                <w:rFonts w:ascii="宋体" w:hAnsi="宋体"/>
                <w:color w:val="auto"/>
                <w:szCs w:val="21"/>
                <w:highlight w:val="none"/>
              </w:rPr>
            </w:pPr>
          </w:p>
        </w:tc>
        <w:tc>
          <w:tcPr>
            <w:tcW w:w="1094" w:type="dxa"/>
            <w:noWrap w:val="0"/>
            <w:vAlign w:val="top"/>
          </w:tcPr>
          <w:p w14:paraId="7DC47363">
            <w:pPr>
              <w:spacing w:line="400" w:lineRule="exact"/>
              <w:jc w:val="center"/>
              <w:rPr>
                <w:rFonts w:ascii="宋体" w:hAnsi="宋体"/>
                <w:color w:val="auto"/>
                <w:szCs w:val="21"/>
                <w:highlight w:val="none"/>
              </w:rPr>
            </w:pPr>
          </w:p>
        </w:tc>
        <w:tc>
          <w:tcPr>
            <w:tcW w:w="881" w:type="dxa"/>
            <w:noWrap w:val="0"/>
            <w:vAlign w:val="top"/>
          </w:tcPr>
          <w:p w14:paraId="34416A5B">
            <w:pPr>
              <w:spacing w:line="400" w:lineRule="exact"/>
              <w:jc w:val="center"/>
              <w:rPr>
                <w:rFonts w:ascii="宋体" w:hAnsi="宋体"/>
                <w:color w:val="auto"/>
                <w:szCs w:val="21"/>
                <w:highlight w:val="none"/>
              </w:rPr>
            </w:pPr>
          </w:p>
        </w:tc>
        <w:tc>
          <w:tcPr>
            <w:tcW w:w="881" w:type="dxa"/>
            <w:noWrap w:val="0"/>
            <w:vAlign w:val="top"/>
          </w:tcPr>
          <w:p w14:paraId="744E93D5">
            <w:pPr>
              <w:spacing w:line="400" w:lineRule="exact"/>
              <w:jc w:val="center"/>
              <w:rPr>
                <w:rFonts w:ascii="宋体" w:hAnsi="宋体"/>
                <w:color w:val="auto"/>
                <w:szCs w:val="21"/>
                <w:highlight w:val="none"/>
              </w:rPr>
            </w:pPr>
          </w:p>
        </w:tc>
        <w:tc>
          <w:tcPr>
            <w:tcW w:w="677" w:type="dxa"/>
            <w:noWrap w:val="0"/>
            <w:vAlign w:val="top"/>
          </w:tcPr>
          <w:p w14:paraId="42DC984E">
            <w:pPr>
              <w:spacing w:line="400" w:lineRule="exact"/>
              <w:jc w:val="center"/>
              <w:rPr>
                <w:rFonts w:ascii="宋体" w:hAnsi="宋体"/>
                <w:color w:val="auto"/>
                <w:szCs w:val="21"/>
                <w:highlight w:val="none"/>
              </w:rPr>
            </w:pPr>
          </w:p>
        </w:tc>
        <w:tc>
          <w:tcPr>
            <w:tcW w:w="743" w:type="dxa"/>
            <w:noWrap w:val="0"/>
            <w:vAlign w:val="top"/>
          </w:tcPr>
          <w:p w14:paraId="7AF97313">
            <w:pPr>
              <w:spacing w:line="400" w:lineRule="exact"/>
              <w:jc w:val="center"/>
              <w:rPr>
                <w:rFonts w:ascii="宋体" w:hAnsi="宋体"/>
                <w:color w:val="auto"/>
                <w:szCs w:val="21"/>
                <w:highlight w:val="none"/>
              </w:rPr>
            </w:pPr>
          </w:p>
        </w:tc>
        <w:tc>
          <w:tcPr>
            <w:tcW w:w="1220" w:type="dxa"/>
            <w:noWrap w:val="0"/>
            <w:vAlign w:val="top"/>
          </w:tcPr>
          <w:p w14:paraId="47460952">
            <w:pPr>
              <w:spacing w:line="400" w:lineRule="exact"/>
              <w:jc w:val="center"/>
              <w:rPr>
                <w:rFonts w:ascii="宋体" w:hAnsi="宋体"/>
                <w:color w:val="auto"/>
                <w:szCs w:val="21"/>
                <w:highlight w:val="none"/>
              </w:rPr>
            </w:pPr>
          </w:p>
        </w:tc>
        <w:tc>
          <w:tcPr>
            <w:tcW w:w="1663" w:type="dxa"/>
            <w:noWrap w:val="0"/>
            <w:vAlign w:val="top"/>
          </w:tcPr>
          <w:p w14:paraId="6F12DB20">
            <w:pPr>
              <w:spacing w:line="400" w:lineRule="exact"/>
              <w:jc w:val="center"/>
              <w:rPr>
                <w:rFonts w:ascii="宋体" w:hAnsi="宋体"/>
                <w:color w:val="auto"/>
                <w:szCs w:val="21"/>
                <w:highlight w:val="none"/>
              </w:rPr>
            </w:pPr>
          </w:p>
        </w:tc>
        <w:tc>
          <w:tcPr>
            <w:tcW w:w="690" w:type="dxa"/>
            <w:noWrap w:val="0"/>
            <w:vAlign w:val="top"/>
          </w:tcPr>
          <w:p w14:paraId="2A520209">
            <w:pPr>
              <w:spacing w:line="400" w:lineRule="exact"/>
              <w:jc w:val="center"/>
              <w:rPr>
                <w:rFonts w:ascii="宋体" w:hAnsi="宋体"/>
                <w:color w:val="auto"/>
                <w:szCs w:val="21"/>
                <w:highlight w:val="none"/>
              </w:rPr>
            </w:pPr>
          </w:p>
        </w:tc>
      </w:tr>
      <w:tr w14:paraId="2768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1B0B4393">
            <w:pPr>
              <w:spacing w:line="400" w:lineRule="exact"/>
              <w:jc w:val="center"/>
              <w:rPr>
                <w:rFonts w:ascii="宋体" w:hAnsi="宋体"/>
                <w:color w:val="auto"/>
                <w:szCs w:val="21"/>
                <w:highlight w:val="none"/>
              </w:rPr>
            </w:pPr>
          </w:p>
        </w:tc>
        <w:tc>
          <w:tcPr>
            <w:tcW w:w="1094" w:type="dxa"/>
            <w:noWrap w:val="0"/>
            <w:vAlign w:val="top"/>
          </w:tcPr>
          <w:p w14:paraId="2109C578">
            <w:pPr>
              <w:spacing w:line="400" w:lineRule="exact"/>
              <w:jc w:val="center"/>
              <w:rPr>
                <w:rFonts w:ascii="宋体" w:hAnsi="宋体"/>
                <w:color w:val="auto"/>
                <w:szCs w:val="21"/>
                <w:highlight w:val="none"/>
              </w:rPr>
            </w:pPr>
          </w:p>
        </w:tc>
        <w:tc>
          <w:tcPr>
            <w:tcW w:w="881" w:type="dxa"/>
            <w:noWrap w:val="0"/>
            <w:vAlign w:val="top"/>
          </w:tcPr>
          <w:p w14:paraId="01EBEC85">
            <w:pPr>
              <w:spacing w:line="400" w:lineRule="exact"/>
              <w:jc w:val="center"/>
              <w:rPr>
                <w:rFonts w:ascii="宋体" w:hAnsi="宋体"/>
                <w:color w:val="auto"/>
                <w:szCs w:val="21"/>
                <w:highlight w:val="none"/>
              </w:rPr>
            </w:pPr>
          </w:p>
        </w:tc>
        <w:tc>
          <w:tcPr>
            <w:tcW w:w="881" w:type="dxa"/>
            <w:noWrap w:val="0"/>
            <w:vAlign w:val="top"/>
          </w:tcPr>
          <w:p w14:paraId="1D9C248D">
            <w:pPr>
              <w:spacing w:line="400" w:lineRule="exact"/>
              <w:jc w:val="center"/>
              <w:rPr>
                <w:rFonts w:ascii="宋体" w:hAnsi="宋体"/>
                <w:color w:val="auto"/>
                <w:szCs w:val="21"/>
                <w:highlight w:val="none"/>
              </w:rPr>
            </w:pPr>
          </w:p>
        </w:tc>
        <w:tc>
          <w:tcPr>
            <w:tcW w:w="677" w:type="dxa"/>
            <w:noWrap w:val="0"/>
            <w:vAlign w:val="top"/>
          </w:tcPr>
          <w:p w14:paraId="4C586B48">
            <w:pPr>
              <w:spacing w:line="400" w:lineRule="exact"/>
              <w:jc w:val="center"/>
              <w:rPr>
                <w:rFonts w:ascii="宋体" w:hAnsi="宋体"/>
                <w:color w:val="auto"/>
                <w:szCs w:val="21"/>
                <w:highlight w:val="none"/>
              </w:rPr>
            </w:pPr>
          </w:p>
        </w:tc>
        <w:tc>
          <w:tcPr>
            <w:tcW w:w="743" w:type="dxa"/>
            <w:noWrap w:val="0"/>
            <w:vAlign w:val="top"/>
          </w:tcPr>
          <w:p w14:paraId="10991E8C">
            <w:pPr>
              <w:spacing w:line="400" w:lineRule="exact"/>
              <w:jc w:val="center"/>
              <w:rPr>
                <w:rFonts w:ascii="宋体" w:hAnsi="宋体"/>
                <w:color w:val="auto"/>
                <w:szCs w:val="21"/>
                <w:highlight w:val="none"/>
              </w:rPr>
            </w:pPr>
          </w:p>
        </w:tc>
        <w:tc>
          <w:tcPr>
            <w:tcW w:w="1220" w:type="dxa"/>
            <w:noWrap w:val="0"/>
            <w:vAlign w:val="top"/>
          </w:tcPr>
          <w:p w14:paraId="012893E5">
            <w:pPr>
              <w:spacing w:line="400" w:lineRule="exact"/>
              <w:jc w:val="center"/>
              <w:rPr>
                <w:rFonts w:ascii="宋体" w:hAnsi="宋体"/>
                <w:color w:val="auto"/>
                <w:szCs w:val="21"/>
                <w:highlight w:val="none"/>
              </w:rPr>
            </w:pPr>
          </w:p>
        </w:tc>
        <w:tc>
          <w:tcPr>
            <w:tcW w:w="1663" w:type="dxa"/>
            <w:noWrap w:val="0"/>
            <w:vAlign w:val="top"/>
          </w:tcPr>
          <w:p w14:paraId="5ABBF908">
            <w:pPr>
              <w:spacing w:line="400" w:lineRule="exact"/>
              <w:jc w:val="center"/>
              <w:rPr>
                <w:rFonts w:ascii="宋体" w:hAnsi="宋体"/>
                <w:color w:val="auto"/>
                <w:szCs w:val="21"/>
                <w:highlight w:val="none"/>
              </w:rPr>
            </w:pPr>
          </w:p>
        </w:tc>
        <w:tc>
          <w:tcPr>
            <w:tcW w:w="690" w:type="dxa"/>
            <w:noWrap w:val="0"/>
            <w:vAlign w:val="top"/>
          </w:tcPr>
          <w:p w14:paraId="196B04B0">
            <w:pPr>
              <w:spacing w:line="400" w:lineRule="exact"/>
              <w:jc w:val="center"/>
              <w:rPr>
                <w:rFonts w:ascii="宋体" w:hAnsi="宋体"/>
                <w:color w:val="auto"/>
                <w:szCs w:val="21"/>
                <w:highlight w:val="none"/>
              </w:rPr>
            </w:pPr>
          </w:p>
        </w:tc>
      </w:tr>
      <w:tr w14:paraId="48F0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0709006C">
            <w:pPr>
              <w:spacing w:line="400" w:lineRule="exact"/>
              <w:jc w:val="center"/>
              <w:rPr>
                <w:rFonts w:ascii="宋体" w:hAnsi="宋体"/>
                <w:color w:val="auto"/>
                <w:szCs w:val="21"/>
                <w:highlight w:val="none"/>
              </w:rPr>
            </w:pPr>
          </w:p>
        </w:tc>
        <w:tc>
          <w:tcPr>
            <w:tcW w:w="1094" w:type="dxa"/>
            <w:noWrap w:val="0"/>
            <w:vAlign w:val="top"/>
          </w:tcPr>
          <w:p w14:paraId="276756EB">
            <w:pPr>
              <w:spacing w:line="400" w:lineRule="exact"/>
              <w:jc w:val="center"/>
              <w:rPr>
                <w:rFonts w:ascii="宋体" w:hAnsi="宋体"/>
                <w:color w:val="auto"/>
                <w:szCs w:val="21"/>
                <w:highlight w:val="none"/>
              </w:rPr>
            </w:pPr>
          </w:p>
        </w:tc>
        <w:tc>
          <w:tcPr>
            <w:tcW w:w="881" w:type="dxa"/>
            <w:noWrap w:val="0"/>
            <w:vAlign w:val="top"/>
          </w:tcPr>
          <w:p w14:paraId="3EF1FAC4">
            <w:pPr>
              <w:spacing w:line="400" w:lineRule="exact"/>
              <w:jc w:val="center"/>
              <w:rPr>
                <w:rFonts w:ascii="宋体" w:hAnsi="宋体"/>
                <w:color w:val="auto"/>
                <w:szCs w:val="21"/>
                <w:highlight w:val="none"/>
              </w:rPr>
            </w:pPr>
          </w:p>
        </w:tc>
        <w:tc>
          <w:tcPr>
            <w:tcW w:w="881" w:type="dxa"/>
            <w:noWrap w:val="0"/>
            <w:vAlign w:val="top"/>
          </w:tcPr>
          <w:p w14:paraId="6D381A3B">
            <w:pPr>
              <w:spacing w:line="400" w:lineRule="exact"/>
              <w:jc w:val="center"/>
              <w:rPr>
                <w:rFonts w:ascii="宋体" w:hAnsi="宋体"/>
                <w:color w:val="auto"/>
                <w:szCs w:val="21"/>
                <w:highlight w:val="none"/>
              </w:rPr>
            </w:pPr>
          </w:p>
        </w:tc>
        <w:tc>
          <w:tcPr>
            <w:tcW w:w="677" w:type="dxa"/>
            <w:noWrap w:val="0"/>
            <w:vAlign w:val="top"/>
          </w:tcPr>
          <w:p w14:paraId="2757A527">
            <w:pPr>
              <w:spacing w:line="400" w:lineRule="exact"/>
              <w:jc w:val="center"/>
              <w:rPr>
                <w:rFonts w:ascii="宋体" w:hAnsi="宋体"/>
                <w:color w:val="auto"/>
                <w:szCs w:val="21"/>
                <w:highlight w:val="none"/>
              </w:rPr>
            </w:pPr>
          </w:p>
        </w:tc>
        <w:tc>
          <w:tcPr>
            <w:tcW w:w="743" w:type="dxa"/>
            <w:noWrap w:val="0"/>
            <w:vAlign w:val="top"/>
          </w:tcPr>
          <w:p w14:paraId="51A23EB4">
            <w:pPr>
              <w:spacing w:line="400" w:lineRule="exact"/>
              <w:jc w:val="center"/>
              <w:rPr>
                <w:rFonts w:ascii="宋体" w:hAnsi="宋体"/>
                <w:color w:val="auto"/>
                <w:szCs w:val="21"/>
                <w:highlight w:val="none"/>
              </w:rPr>
            </w:pPr>
          </w:p>
        </w:tc>
        <w:tc>
          <w:tcPr>
            <w:tcW w:w="1220" w:type="dxa"/>
            <w:noWrap w:val="0"/>
            <w:vAlign w:val="top"/>
          </w:tcPr>
          <w:p w14:paraId="7FB75150">
            <w:pPr>
              <w:spacing w:line="400" w:lineRule="exact"/>
              <w:jc w:val="center"/>
              <w:rPr>
                <w:rFonts w:ascii="宋体" w:hAnsi="宋体"/>
                <w:color w:val="auto"/>
                <w:szCs w:val="21"/>
                <w:highlight w:val="none"/>
              </w:rPr>
            </w:pPr>
          </w:p>
        </w:tc>
        <w:tc>
          <w:tcPr>
            <w:tcW w:w="1663" w:type="dxa"/>
            <w:noWrap w:val="0"/>
            <w:vAlign w:val="top"/>
          </w:tcPr>
          <w:p w14:paraId="55B05F06">
            <w:pPr>
              <w:spacing w:line="400" w:lineRule="exact"/>
              <w:jc w:val="center"/>
              <w:rPr>
                <w:rFonts w:ascii="宋体" w:hAnsi="宋体"/>
                <w:color w:val="auto"/>
                <w:szCs w:val="21"/>
                <w:highlight w:val="none"/>
              </w:rPr>
            </w:pPr>
          </w:p>
        </w:tc>
        <w:tc>
          <w:tcPr>
            <w:tcW w:w="690" w:type="dxa"/>
            <w:noWrap w:val="0"/>
            <w:vAlign w:val="top"/>
          </w:tcPr>
          <w:p w14:paraId="532588F8">
            <w:pPr>
              <w:spacing w:line="400" w:lineRule="exact"/>
              <w:jc w:val="center"/>
              <w:rPr>
                <w:rFonts w:ascii="宋体" w:hAnsi="宋体"/>
                <w:color w:val="auto"/>
                <w:szCs w:val="21"/>
                <w:highlight w:val="none"/>
              </w:rPr>
            </w:pPr>
          </w:p>
        </w:tc>
      </w:tr>
      <w:tr w14:paraId="2E69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176A6839">
            <w:pPr>
              <w:spacing w:line="400" w:lineRule="exact"/>
              <w:jc w:val="center"/>
              <w:rPr>
                <w:rFonts w:ascii="宋体" w:hAnsi="宋体"/>
                <w:color w:val="auto"/>
                <w:szCs w:val="21"/>
                <w:highlight w:val="none"/>
              </w:rPr>
            </w:pPr>
          </w:p>
        </w:tc>
        <w:tc>
          <w:tcPr>
            <w:tcW w:w="1094" w:type="dxa"/>
            <w:noWrap w:val="0"/>
            <w:vAlign w:val="top"/>
          </w:tcPr>
          <w:p w14:paraId="58178B8E">
            <w:pPr>
              <w:spacing w:line="400" w:lineRule="exact"/>
              <w:jc w:val="center"/>
              <w:rPr>
                <w:rFonts w:ascii="宋体" w:hAnsi="宋体"/>
                <w:color w:val="auto"/>
                <w:szCs w:val="21"/>
                <w:highlight w:val="none"/>
              </w:rPr>
            </w:pPr>
          </w:p>
        </w:tc>
        <w:tc>
          <w:tcPr>
            <w:tcW w:w="881" w:type="dxa"/>
            <w:noWrap w:val="0"/>
            <w:vAlign w:val="top"/>
          </w:tcPr>
          <w:p w14:paraId="68CDE0D2">
            <w:pPr>
              <w:spacing w:line="400" w:lineRule="exact"/>
              <w:jc w:val="center"/>
              <w:rPr>
                <w:rFonts w:ascii="宋体" w:hAnsi="宋体"/>
                <w:color w:val="auto"/>
                <w:szCs w:val="21"/>
                <w:highlight w:val="none"/>
              </w:rPr>
            </w:pPr>
          </w:p>
        </w:tc>
        <w:tc>
          <w:tcPr>
            <w:tcW w:w="881" w:type="dxa"/>
            <w:noWrap w:val="0"/>
            <w:vAlign w:val="top"/>
          </w:tcPr>
          <w:p w14:paraId="3955A4BB">
            <w:pPr>
              <w:spacing w:line="400" w:lineRule="exact"/>
              <w:jc w:val="center"/>
              <w:rPr>
                <w:rFonts w:ascii="宋体" w:hAnsi="宋体"/>
                <w:color w:val="auto"/>
                <w:szCs w:val="21"/>
                <w:highlight w:val="none"/>
              </w:rPr>
            </w:pPr>
          </w:p>
        </w:tc>
        <w:tc>
          <w:tcPr>
            <w:tcW w:w="677" w:type="dxa"/>
            <w:noWrap w:val="0"/>
            <w:vAlign w:val="top"/>
          </w:tcPr>
          <w:p w14:paraId="372077EB">
            <w:pPr>
              <w:spacing w:line="400" w:lineRule="exact"/>
              <w:jc w:val="center"/>
              <w:rPr>
                <w:rFonts w:ascii="宋体" w:hAnsi="宋体"/>
                <w:color w:val="auto"/>
                <w:szCs w:val="21"/>
                <w:highlight w:val="none"/>
              </w:rPr>
            </w:pPr>
          </w:p>
        </w:tc>
        <w:tc>
          <w:tcPr>
            <w:tcW w:w="743" w:type="dxa"/>
            <w:noWrap w:val="0"/>
            <w:vAlign w:val="top"/>
          </w:tcPr>
          <w:p w14:paraId="3D4FCAC5">
            <w:pPr>
              <w:spacing w:line="400" w:lineRule="exact"/>
              <w:jc w:val="center"/>
              <w:rPr>
                <w:rFonts w:ascii="宋体" w:hAnsi="宋体"/>
                <w:color w:val="auto"/>
                <w:szCs w:val="21"/>
                <w:highlight w:val="none"/>
              </w:rPr>
            </w:pPr>
          </w:p>
        </w:tc>
        <w:tc>
          <w:tcPr>
            <w:tcW w:w="1220" w:type="dxa"/>
            <w:noWrap w:val="0"/>
            <w:vAlign w:val="top"/>
          </w:tcPr>
          <w:p w14:paraId="28D25A83">
            <w:pPr>
              <w:spacing w:line="400" w:lineRule="exact"/>
              <w:jc w:val="center"/>
              <w:rPr>
                <w:rFonts w:ascii="宋体" w:hAnsi="宋体"/>
                <w:color w:val="auto"/>
                <w:szCs w:val="21"/>
                <w:highlight w:val="none"/>
              </w:rPr>
            </w:pPr>
          </w:p>
        </w:tc>
        <w:tc>
          <w:tcPr>
            <w:tcW w:w="1663" w:type="dxa"/>
            <w:noWrap w:val="0"/>
            <w:vAlign w:val="top"/>
          </w:tcPr>
          <w:p w14:paraId="77059536">
            <w:pPr>
              <w:spacing w:line="400" w:lineRule="exact"/>
              <w:jc w:val="center"/>
              <w:rPr>
                <w:rFonts w:ascii="宋体" w:hAnsi="宋体"/>
                <w:color w:val="auto"/>
                <w:szCs w:val="21"/>
                <w:highlight w:val="none"/>
              </w:rPr>
            </w:pPr>
          </w:p>
        </w:tc>
        <w:tc>
          <w:tcPr>
            <w:tcW w:w="690" w:type="dxa"/>
            <w:noWrap w:val="0"/>
            <w:vAlign w:val="top"/>
          </w:tcPr>
          <w:p w14:paraId="1C4DDF23">
            <w:pPr>
              <w:spacing w:line="400" w:lineRule="exact"/>
              <w:jc w:val="center"/>
              <w:rPr>
                <w:rFonts w:ascii="宋体" w:hAnsi="宋体"/>
                <w:color w:val="auto"/>
                <w:szCs w:val="21"/>
                <w:highlight w:val="none"/>
              </w:rPr>
            </w:pPr>
          </w:p>
        </w:tc>
      </w:tr>
      <w:tr w14:paraId="0E0A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00365932">
            <w:pPr>
              <w:spacing w:line="400" w:lineRule="exact"/>
              <w:jc w:val="center"/>
              <w:rPr>
                <w:rFonts w:ascii="宋体" w:hAnsi="宋体"/>
                <w:color w:val="auto"/>
                <w:szCs w:val="21"/>
                <w:highlight w:val="none"/>
              </w:rPr>
            </w:pPr>
          </w:p>
        </w:tc>
        <w:tc>
          <w:tcPr>
            <w:tcW w:w="1094" w:type="dxa"/>
            <w:noWrap w:val="0"/>
            <w:vAlign w:val="top"/>
          </w:tcPr>
          <w:p w14:paraId="4FB9939A">
            <w:pPr>
              <w:spacing w:line="400" w:lineRule="exact"/>
              <w:jc w:val="center"/>
              <w:rPr>
                <w:rFonts w:ascii="宋体" w:hAnsi="宋体"/>
                <w:color w:val="auto"/>
                <w:szCs w:val="21"/>
                <w:highlight w:val="none"/>
              </w:rPr>
            </w:pPr>
          </w:p>
        </w:tc>
        <w:tc>
          <w:tcPr>
            <w:tcW w:w="881" w:type="dxa"/>
            <w:noWrap w:val="0"/>
            <w:vAlign w:val="top"/>
          </w:tcPr>
          <w:p w14:paraId="0020E722">
            <w:pPr>
              <w:spacing w:line="400" w:lineRule="exact"/>
              <w:jc w:val="center"/>
              <w:rPr>
                <w:rFonts w:ascii="宋体" w:hAnsi="宋体"/>
                <w:color w:val="auto"/>
                <w:szCs w:val="21"/>
                <w:highlight w:val="none"/>
              </w:rPr>
            </w:pPr>
          </w:p>
        </w:tc>
        <w:tc>
          <w:tcPr>
            <w:tcW w:w="881" w:type="dxa"/>
            <w:noWrap w:val="0"/>
            <w:vAlign w:val="top"/>
          </w:tcPr>
          <w:p w14:paraId="0F6FA246">
            <w:pPr>
              <w:spacing w:line="400" w:lineRule="exact"/>
              <w:jc w:val="center"/>
              <w:rPr>
                <w:rFonts w:ascii="宋体" w:hAnsi="宋体"/>
                <w:color w:val="auto"/>
                <w:szCs w:val="21"/>
                <w:highlight w:val="none"/>
              </w:rPr>
            </w:pPr>
          </w:p>
        </w:tc>
        <w:tc>
          <w:tcPr>
            <w:tcW w:w="677" w:type="dxa"/>
            <w:noWrap w:val="0"/>
            <w:vAlign w:val="top"/>
          </w:tcPr>
          <w:p w14:paraId="4AF49CA1">
            <w:pPr>
              <w:spacing w:line="400" w:lineRule="exact"/>
              <w:jc w:val="center"/>
              <w:rPr>
                <w:rFonts w:ascii="宋体" w:hAnsi="宋体"/>
                <w:color w:val="auto"/>
                <w:szCs w:val="21"/>
                <w:highlight w:val="none"/>
              </w:rPr>
            </w:pPr>
          </w:p>
        </w:tc>
        <w:tc>
          <w:tcPr>
            <w:tcW w:w="743" w:type="dxa"/>
            <w:noWrap w:val="0"/>
            <w:vAlign w:val="top"/>
          </w:tcPr>
          <w:p w14:paraId="2C5C0D30">
            <w:pPr>
              <w:spacing w:line="400" w:lineRule="exact"/>
              <w:jc w:val="center"/>
              <w:rPr>
                <w:rFonts w:ascii="宋体" w:hAnsi="宋体"/>
                <w:color w:val="auto"/>
                <w:szCs w:val="21"/>
                <w:highlight w:val="none"/>
              </w:rPr>
            </w:pPr>
          </w:p>
        </w:tc>
        <w:tc>
          <w:tcPr>
            <w:tcW w:w="1220" w:type="dxa"/>
            <w:noWrap w:val="0"/>
            <w:vAlign w:val="top"/>
          </w:tcPr>
          <w:p w14:paraId="7132BD81">
            <w:pPr>
              <w:spacing w:line="400" w:lineRule="exact"/>
              <w:jc w:val="center"/>
              <w:rPr>
                <w:rFonts w:ascii="宋体" w:hAnsi="宋体"/>
                <w:color w:val="auto"/>
                <w:szCs w:val="21"/>
                <w:highlight w:val="none"/>
              </w:rPr>
            </w:pPr>
          </w:p>
        </w:tc>
        <w:tc>
          <w:tcPr>
            <w:tcW w:w="1663" w:type="dxa"/>
            <w:noWrap w:val="0"/>
            <w:vAlign w:val="top"/>
          </w:tcPr>
          <w:p w14:paraId="12A2806A">
            <w:pPr>
              <w:spacing w:line="400" w:lineRule="exact"/>
              <w:jc w:val="center"/>
              <w:rPr>
                <w:rFonts w:ascii="宋体" w:hAnsi="宋体"/>
                <w:color w:val="auto"/>
                <w:szCs w:val="21"/>
                <w:highlight w:val="none"/>
              </w:rPr>
            </w:pPr>
          </w:p>
        </w:tc>
        <w:tc>
          <w:tcPr>
            <w:tcW w:w="690" w:type="dxa"/>
            <w:noWrap w:val="0"/>
            <w:vAlign w:val="top"/>
          </w:tcPr>
          <w:p w14:paraId="49499CA2">
            <w:pPr>
              <w:spacing w:line="400" w:lineRule="exact"/>
              <w:jc w:val="center"/>
              <w:rPr>
                <w:rFonts w:ascii="宋体" w:hAnsi="宋体"/>
                <w:color w:val="auto"/>
                <w:szCs w:val="21"/>
                <w:highlight w:val="none"/>
              </w:rPr>
            </w:pPr>
          </w:p>
        </w:tc>
      </w:tr>
      <w:tr w14:paraId="3D22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0737BFEF">
            <w:pPr>
              <w:spacing w:line="400" w:lineRule="exact"/>
              <w:jc w:val="center"/>
              <w:rPr>
                <w:rFonts w:ascii="宋体" w:hAnsi="宋体"/>
                <w:color w:val="auto"/>
                <w:szCs w:val="21"/>
                <w:highlight w:val="none"/>
              </w:rPr>
            </w:pPr>
          </w:p>
        </w:tc>
        <w:tc>
          <w:tcPr>
            <w:tcW w:w="1094" w:type="dxa"/>
            <w:noWrap w:val="0"/>
            <w:vAlign w:val="top"/>
          </w:tcPr>
          <w:p w14:paraId="50B22B57">
            <w:pPr>
              <w:spacing w:line="400" w:lineRule="exact"/>
              <w:jc w:val="center"/>
              <w:rPr>
                <w:rFonts w:ascii="宋体" w:hAnsi="宋体"/>
                <w:color w:val="auto"/>
                <w:szCs w:val="21"/>
                <w:highlight w:val="none"/>
              </w:rPr>
            </w:pPr>
          </w:p>
        </w:tc>
        <w:tc>
          <w:tcPr>
            <w:tcW w:w="881" w:type="dxa"/>
            <w:noWrap w:val="0"/>
            <w:vAlign w:val="top"/>
          </w:tcPr>
          <w:p w14:paraId="681EC8FD">
            <w:pPr>
              <w:spacing w:line="400" w:lineRule="exact"/>
              <w:jc w:val="center"/>
              <w:rPr>
                <w:rFonts w:ascii="宋体" w:hAnsi="宋体"/>
                <w:color w:val="auto"/>
                <w:szCs w:val="21"/>
                <w:highlight w:val="none"/>
              </w:rPr>
            </w:pPr>
          </w:p>
        </w:tc>
        <w:tc>
          <w:tcPr>
            <w:tcW w:w="881" w:type="dxa"/>
            <w:noWrap w:val="0"/>
            <w:vAlign w:val="top"/>
          </w:tcPr>
          <w:p w14:paraId="5BF0FF79">
            <w:pPr>
              <w:spacing w:line="400" w:lineRule="exact"/>
              <w:jc w:val="center"/>
              <w:rPr>
                <w:rFonts w:ascii="宋体" w:hAnsi="宋体"/>
                <w:color w:val="auto"/>
                <w:szCs w:val="21"/>
                <w:highlight w:val="none"/>
              </w:rPr>
            </w:pPr>
          </w:p>
        </w:tc>
        <w:tc>
          <w:tcPr>
            <w:tcW w:w="677" w:type="dxa"/>
            <w:noWrap w:val="0"/>
            <w:vAlign w:val="top"/>
          </w:tcPr>
          <w:p w14:paraId="7CDC5E44">
            <w:pPr>
              <w:spacing w:line="400" w:lineRule="exact"/>
              <w:jc w:val="center"/>
              <w:rPr>
                <w:rFonts w:ascii="宋体" w:hAnsi="宋体"/>
                <w:color w:val="auto"/>
                <w:szCs w:val="21"/>
                <w:highlight w:val="none"/>
              </w:rPr>
            </w:pPr>
          </w:p>
        </w:tc>
        <w:tc>
          <w:tcPr>
            <w:tcW w:w="743" w:type="dxa"/>
            <w:noWrap w:val="0"/>
            <w:vAlign w:val="top"/>
          </w:tcPr>
          <w:p w14:paraId="6C47B34F">
            <w:pPr>
              <w:spacing w:line="400" w:lineRule="exact"/>
              <w:jc w:val="center"/>
              <w:rPr>
                <w:rFonts w:ascii="宋体" w:hAnsi="宋体"/>
                <w:color w:val="auto"/>
                <w:szCs w:val="21"/>
                <w:highlight w:val="none"/>
              </w:rPr>
            </w:pPr>
          </w:p>
        </w:tc>
        <w:tc>
          <w:tcPr>
            <w:tcW w:w="1220" w:type="dxa"/>
            <w:noWrap w:val="0"/>
            <w:vAlign w:val="top"/>
          </w:tcPr>
          <w:p w14:paraId="77142A4D">
            <w:pPr>
              <w:spacing w:line="400" w:lineRule="exact"/>
              <w:jc w:val="center"/>
              <w:rPr>
                <w:rFonts w:ascii="宋体" w:hAnsi="宋体"/>
                <w:color w:val="auto"/>
                <w:szCs w:val="21"/>
                <w:highlight w:val="none"/>
              </w:rPr>
            </w:pPr>
          </w:p>
        </w:tc>
        <w:tc>
          <w:tcPr>
            <w:tcW w:w="1663" w:type="dxa"/>
            <w:noWrap w:val="0"/>
            <w:vAlign w:val="top"/>
          </w:tcPr>
          <w:p w14:paraId="39737DC0">
            <w:pPr>
              <w:spacing w:line="400" w:lineRule="exact"/>
              <w:jc w:val="center"/>
              <w:rPr>
                <w:rFonts w:ascii="宋体" w:hAnsi="宋体"/>
                <w:color w:val="auto"/>
                <w:szCs w:val="21"/>
                <w:highlight w:val="none"/>
              </w:rPr>
            </w:pPr>
          </w:p>
        </w:tc>
        <w:tc>
          <w:tcPr>
            <w:tcW w:w="690" w:type="dxa"/>
            <w:noWrap w:val="0"/>
            <w:vAlign w:val="top"/>
          </w:tcPr>
          <w:p w14:paraId="77A86C32">
            <w:pPr>
              <w:spacing w:line="400" w:lineRule="exact"/>
              <w:jc w:val="center"/>
              <w:rPr>
                <w:rFonts w:ascii="宋体" w:hAnsi="宋体"/>
                <w:color w:val="auto"/>
                <w:szCs w:val="21"/>
                <w:highlight w:val="none"/>
              </w:rPr>
            </w:pPr>
          </w:p>
        </w:tc>
      </w:tr>
      <w:tr w14:paraId="1502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733A0060">
            <w:pPr>
              <w:spacing w:line="400" w:lineRule="exact"/>
              <w:jc w:val="center"/>
              <w:rPr>
                <w:rFonts w:ascii="宋体" w:hAnsi="宋体"/>
                <w:color w:val="auto"/>
                <w:szCs w:val="21"/>
                <w:highlight w:val="none"/>
              </w:rPr>
            </w:pPr>
          </w:p>
        </w:tc>
        <w:tc>
          <w:tcPr>
            <w:tcW w:w="1094" w:type="dxa"/>
            <w:noWrap w:val="0"/>
            <w:vAlign w:val="top"/>
          </w:tcPr>
          <w:p w14:paraId="516D2022">
            <w:pPr>
              <w:spacing w:line="400" w:lineRule="exact"/>
              <w:jc w:val="center"/>
              <w:rPr>
                <w:rFonts w:ascii="宋体" w:hAnsi="宋体"/>
                <w:color w:val="auto"/>
                <w:szCs w:val="21"/>
                <w:highlight w:val="none"/>
              </w:rPr>
            </w:pPr>
          </w:p>
        </w:tc>
        <w:tc>
          <w:tcPr>
            <w:tcW w:w="881" w:type="dxa"/>
            <w:noWrap w:val="0"/>
            <w:vAlign w:val="top"/>
          </w:tcPr>
          <w:p w14:paraId="57031517">
            <w:pPr>
              <w:spacing w:line="400" w:lineRule="exact"/>
              <w:jc w:val="center"/>
              <w:rPr>
                <w:rFonts w:ascii="宋体" w:hAnsi="宋体"/>
                <w:color w:val="auto"/>
                <w:szCs w:val="21"/>
                <w:highlight w:val="none"/>
              </w:rPr>
            </w:pPr>
          </w:p>
        </w:tc>
        <w:tc>
          <w:tcPr>
            <w:tcW w:w="881" w:type="dxa"/>
            <w:noWrap w:val="0"/>
            <w:vAlign w:val="top"/>
          </w:tcPr>
          <w:p w14:paraId="272E7131">
            <w:pPr>
              <w:spacing w:line="400" w:lineRule="exact"/>
              <w:jc w:val="center"/>
              <w:rPr>
                <w:rFonts w:ascii="宋体" w:hAnsi="宋体"/>
                <w:color w:val="auto"/>
                <w:szCs w:val="21"/>
                <w:highlight w:val="none"/>
              </w:rPr>
            </w:pPr>
          </w:p>
        </w:tc>
        <w:tc>
          <w:tcPr>
            <w:tcW w:w="677" w:type="dxa"/>
            <w:noWrap w:val="0"/>
            <w:vAlign w:val="top"/>
          </w:tcPr>
          <w:p w14:paraId="1B19C905">
            <w:pPr>
              <w:spacing w:line="400" w:lineRule="exact"/>
              <w:jc w:val="center"/>
              <w:rPr>
                <w:rFonts w:ascii="宋体" w:hAnsi="宋体"/>
                <w:color w:val="auto"/>
                <w:szCs w:val="21"/>
                <w:highlight w:val="none"/>
              </w:rPr>
            </w:pPr>
          </w:p>
        </w:tc>
        <w:tc>
          <w:tcPr>
            <w:tcW w:w="743" w:type="dxa"/>
            <w:noWrap w:val="0"/>
            <w:vAlign w:val="top"/>
          </w:tcPr>
          <w:p w14:paraId="392128CB">
            <w:pPr>
              <w:spacing w:line="400" w:lineRule="exact"/>
              <w:jc w:val="center"/>
              <w:rPr>
                <w:rFonts w:ascii="宋体" w:hAnsi="宋体"/>
                <w:color w:val="auto"/>
                <w:szCs w:val="21"/>
                <w:highlight w:val="none"/>
              </w:rPr>
            </w:pPr>
          </w:p>
        </w:tc>
        <w:tc>
          <w:tcPr>
            <w:tcW w:w="1220" w:type="dxa"/>
            <w:noWrap w:val="0"/>
            <w:vAlign w:val="top"/>
          </w:tcPr>
          <w:p w14:paraId="1A251BDD">
            <w:pPr>
              <w:spacing w:line="400" w:lineRule="exact"/>
              <w:jc w:val="center"/>
              <w:rPr>
                <w:rFonts w:ascii="宋体" w:hAnsi="宋体"/>
                <w:color w:val="auto"/>
                <w:szCs w:val="21"/>
                <w:highlight w:val="none"/>
              </w:rPr>
            </w:pPr>
          </w:p>
        </w:tc>
        <w:tc>
          <w:tcPr>
            <w:tcW w:w="1663" w:type="dxa"/>
            <w:noWrap w:val="0"/>
            <w:vAlign w:val="top"/>
          </w:tcPr>
          <w:p w14:paraId="1D88D955">
            <w:pPr>
              <w:spacing w:line="400" w:lineRule="exact"/>
              <w:jc w:val="center"/>
              <w:rPr>
                <w:rFonts w:ascii="宋体" w:hAnsi="宋体"/>
                <w:color w:val="auto"/>
                <w:szCs w:val="21"/>
                <w:highlight w:val="none"/>
              </w:rPr>
            </w:pPr>
          </w:p>
        </w:tc>
        <w:tc>
          <w:tcPr>
            <w:tcW w:w="690" w:type="dxa"/>
            <w:noWrap w:val="0"/>
            <w:vAlign w:val="top"/>
          </w:tcPr>
          <w:p w14:paraId="13F22E85">
            <w:pPr>
              <w:spacing w:line="400" w:lineRule="exact"/>
              <w:jc w:val="center"/>
              <w:rPr>
                <w:rFonts w:ascii="宋体" w:hAnsi="宋体"/>
                <w:color w:val="auto"/>
                <w:szCs w:val="21"/>
                <w:highlight w:val="none"/>
              </w:rPr>
            </w:pPr>
          </w:p>
        </w:tc>
      </w:tr>
      <w:tr w14:paraId="2341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31ACDBA7">
            <w:pPr>
              <w:spacing w:line="400" w:lineRule="exact"/>
              <w:jc w:val="center"/>
              <w:rPr>
                <w:rFonts w:ascii="宋体" w:hAnsi="宋体"/>
                <w:color w:val="auto"/>
                <w:szCs w:val="21"/>
                <w:highlight w:val="none"/>
              </w:rPr>
            </w:pPr>
          </w:p>
        </w:tc>
        <w:tc>
          <w:tcPr>
            <w:tcW w:w="1094" w:type="dxa"/>
            <w:noWrap w:val="0"/>
            <w:vAlign w:val="top"/>
          </w:tcPr>
          <w:p w14:paraId="2616F235">
            <w:pPr>
              <w:spacing w:line="400" w:lineRule="exact"/>
              <w:jc w:val="center"/>
              <w:rPr>
                <w:rFonts w:ascii="宋体" w:hAnsi="宋体"/>
                <w:color w:val="auto"/>
                <w:szCs w:val="21"/>
                <w:highlight w:val="none"/>
              </w:rPr>
            </w:pPr>
          </w:p>
        </w:tc>
        <w:tc>
          <w:tcPr>
            <w:tcW w:w="881" w:type="dxa"/>
            <w:noWrap w:val="0"/>
            <w:vAlign w:val="top"/>
          </w:tcPr>
          <w:p w14:paraId="664CA529">
            <w:pPr>
              <w:spacing w:line="400" w:lineRule="exact"/>
              <w:jc w:val="center"/>
              <w:rPr>
                <w:rFonts w:ascii="宋体" w:hAnsi="宋体"/>
                <w:color w:val="auto"/>
                <w:szCs w:val="21"/>
                <w:highlight w:val="none"/>
              </w:rPr>
            </w:pPr>
          </w:p>
        </w:tc>
        <w:tc>
          <w:tcPr>
            <w:tcW w:w="881" w:type="dxa"/>
            <w:noWrap w:val="0"/>
            <w:vAlign w:val="top"/>
          </w:tcPr>
          <w:p w14:paraId="1A5993BE">
            <w:pPr>
              <w:spacing w:line="400" w:lineRule="exact"/>
              <w:jc w:val="center"/>
              <w:rPr>
                <w:rFonts w:ascii="宋体" w:hAnsi="宋体"/>
                <w:color w:val="auto"/>
                <w:szCs w:val="21"/>
                <w:highlight w:val="none"/>
              </w:rPr>
            </w:pPr>
          </w:p>
        </w:tc>
        <w:tc>
          <w:tcPr>
            <w:tcW w:w="677" w:type="dxa"/>
            <w:noWrap w:val="0"/>
            <w:vAlign w:val="top"/>
          </w:tcPr>
          <w:p w14:paraId="4102DFF0">
            <w:pPr>
              <w:spacing w:line="400" w:lineRule="exact"/>
              <w:jc w:val="center"/>
              <w:rPr>
                <w:rFonts w:ascii="宋体" w:hAnsi="宋体"/>
                <w:color w:val="auto"/>
                <w:szCs w:val="21"/>
                <w:highlight w:val="none"/>
              </w:rPr>
            </w:pPr>
          </w:p>
        </w:tc>
        <w:tc>
          <w:tcPr>
            <w:tcW w:w="743" w:type="dxa"/>
            <w:noWrap w:val="0"/>
            <w:vAlign w:val="top"/>
          </w:tcPr>
          <w:p w14:paraId="7D47E339">
            <w:pPr>
              <w:spacing w:line="400" w:lineRule="exact"/>
              <w:jc w:val="center"/>
              <w:rPr>
                <w:rFonts w:ascii="宋体" w:hAnsi="宋体"/>
                <w:color w:val="auto"/>
                <w:szCs w:val="21"/>
                <w:highlight w:val="none"/>
              </w:rPr>
            </w:pPr>
          </w:p>
        </w:tc>
        <w:tc>
          <w:tcPr>
            <w:tcW w:w="1220" w:type="dxa"/>
            <w:noWrap w:val="0"/>
            <w:vAlign w:val="top"/>
          </w:tcPr>
          <w:p w14:paraId="751A4ECE">
            <w:pPr>
              <w:spacing w:line="400" w:lineRule="exact"/>
              <w:jc w:val="center"/>
              <w:rPr>
                <w:rFonts w:ascii="宋体" w:hAnsi="宋体"/>
                <w:color w:val="auto"/>
                <w:szCs w:val="21"/>
                <w:highlight w:val="none"/>
              </w:rPr>
            </w:pPr>
          </w:p>
        </w:tc>
        <w:tc>
          <w:tcPr>
            <w:tcW w:w="1663" w:type="dxa"/>
            <w:noWrap w:val="0"/>
            <w:vAlign w:val="top"/>
          </w:tcPr>
          <w:p w14:paraId="1A4E9E45">
            <w:pPr>
              <w:spacing w:line="400" w:lineRule="exact"/>
              <w:jc w:val="center"/>
              <w:rPr>
                <w:rFonts w:ascii="宋体" w:hAnsi="宋体"/>
                <w:color w:val="auto"/>
                <w:szCs w:val="21"/>
                <w:highlight w:val="none"/>
              </w:rPr>
            </w:pPr>
          </w:p>
        </w:tc>
        <w:tc>
          <w:tcPr>
            <w:tcW w:w="690" w:type="dxa"/>
            <w:noWrap w:val="0"/>
            <w:vAlign w:val="top"/>
          </w:tcPr>
          <w:p w14:paraId="3B155056">
            <w:pPr>
              <w:spacing w:line="400" w:lineRule="exact"/>
              <w:jc w:val="center"/>
              <w:rPr>
                <w:rFonts w:ascii="宋体" w:hAnsi="宋体"/>
                <w:color w:val="auto"/>
                <w:szCs w:val="21"/>
                <w:highlight w:val="none"/>
              </w:rPr>
            </w:pPr>
          </w:p>
        </w:tc>
      </w:tr>
      <w:tr w14:paraId="68FE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0A338E5A">
            <w:pPr>
              <w:spacing w:line="400" w:lineRule="exact"/>
              <w:jc w:val="center"/>
              <w:rPr>
                <w:rFonts w:ascii="宋体" w:hAnsi="宋体"/>
                <w:color w:val="auto"/>
                <w:szCs w:val="21"/>
                <w:highlight w:val="none"/>
              </w:rPr>
            </w:pPr>
          </w:p>
        </w:tc>
        <w:tc>
          <w:tcPr>
            <w:tcW w:w="1094" w:type="dxa"/>
            <w:noWrap w:val="0"/>
            <w:vAlign w:val="top"/>
          </w:tcPr>
          <w:p w14:paraId="738F7A1C">
            <w:pPr>
              <w:spacing w:line="400" w:lineRule="exact"/>
              <w:jc w:val="center"/>
              <w:rPr>
                <w:rFonts w:ascii="宋体" w:hAnsi="宋体"/>
                <w:color w:val="auto"/>
                <w:szCs w:val="21"/>
                <w:highlight w:val="none"/>
              </w:rPr>
            </w:pPr>
          </w:p>
        </w:tc>
        <w:tc>
          <w:tcPr>
            <w:tcW w:w="881" w:type="dxa"/>
            <w:noWrap w:val="0"/>
            <w:vAlign w:val="top"/>
          </w:tcPr>
          <w:p w14:paraId="3F389C1B">
            <w:pPr>
              <w:spacing w:line="400" w:lineRule="exact"/>
              <w:jc w:val="center"/>
              <w:rPr>
                <w:rFonts w:ascii="宋体" w:hAnsi="宋体"/>
                <w:color w:val="auto"/>
                <w:szCs w:val="21"/>
                <w:highlight w:val="none"/>
              </w:rPr>
            </w:pPr>
          </w:p>
        </w:tc>
        <w:tc>
          <w:tcPr>
            <w:tcW w:w="881" w:type="dxa"/>
            <w:noWrap w:val="0"/>
            <w:vAlign w:val="top"/>
          </w:tcPr>
          <w:p w14:paraId="31E8C0C1">
            <w:pPr>
              <w:spacing w:line="400" w:lineRule="exact"/>
              <w:jc w:val="center"/>
              <w:rPr>
                <w:rFonts w:ascii="宋体" w:hAnsi="宋体"/>
                <w:color w:val="auto"/>
                <w:szCs w:val="21"/>
                <w:highlight w:val="none"/>
              </w:rPr>
            </w:pPr>
          </w:p>
        </w:tc>
        <w:tc>
          <w:tcPr>
            <w:tcW w:w="677" w:type="dxa"/>
            <w:noWrap w:val="0"/>
            <w:vAlign w:val="top"/>
          </w:tcPr>
          <w:p w14:paraId="02EE4230">
            <w:pPr>
              <w:spacing w:line="400" w:lineRule="exact"/>
              <w:jc w:val="center"/>
              <w:rPr>
                <w:rFonts w:ascii="宋体" w:hAnsi="宋体"/>
                <w:color w:val="auto"/>
                <w:szCs w:val="21"/>
                <w:highlight w:val="none"/>
              </w:rPr>
            </w:pPr>
          </w:p>
        </w:tc>
        <w:tc>
          <w:tcPr>
            <w:tcW w:w="743" w:type="dxa"/>
            <w:noWrap w:val="0"/>
            <w:vAlign w:val="top"/>
          </w:tcPr>
          <w:p w14:paraId="4BD8896B">
            <w:pPr>
              <w:spacing w:line="400" w:lineRule="exact"/>
              <w:jc w:val="center"/>
              <w:rPr>
                <w:rFonts w:ascii="宋体" w:hAnsi="宋体"/>
                <w:color w:val="auto"/>
                <w:szCs w:val="21"/>
                <w:highlight w:val="none"/>
              </w:rPr>
            </w:pPr>
          </w:p>
        </w:tc>
        <w:tc>
          <w:tcPr>
            <w:tcW w:w="1220" w:type="dxa"/>
            <w:noWrap w:val="0"/>
            <w:vAlign w:val="top"/>
          </w:tcPr>
          <w:p w14:paraId="38057AD2">
            <w:pPr>
              <w:spacing w:line="400" w:lineRule="exact"/>
              <w:jc w:val="center"/>
              <w:rPr>
                <w:rFonts w:ascii="宋体" w:hAnsi="宋体"/>
                <w:color w:val="auto"/>
                <w:szCs w:val="21"/>
                <w:highlight w:val="none"/>
              </w:rPr>
            </w:pPr>
          </w:p>
        </w:tc>
        <w:tc>
          <w:tcPr>
            <w:tcW w:w="1663" w:type="dxa"/>
            <w:noWrap w:val="0"/>
            <w:vAlign w:val="top"/>
          </w:tcPr>
          <w:p w14:paraId="65DB3A10">
            <w:pPr>
              <w:spacing w:line="400" w:lineRule="exact"/>
              <w:jc w:val="center"/>
              <w:rPr>
                <w:rFonts w:ascii="宋体" w:hAnsi="宋体"/>
                <w:color w:val="auto"/>
                <w:szCs w:val="21"/>
                <w:highlight w:val="none"/>
              </w:rPr>
            </w:pPr>
          </w:p>
        </w:tc>
        <w:tc>
          <w:tcPr>
            <w:tcW w:w="690" w:type="dxa"/>
            <w:noWrap w:val="0"/>
            <w:vAlign w:val="top"/>
          </w:tcPr>
          <w:p w14:paraId="08BD46F5">
            <w:pPr>
              <w:spacing w:line="400" w:lineRule="exact"/>
              <w:jc w:val="center"/>
              <w:rPr>
                <w:rFonts w:ascii="宋体" w:hAnsi="宋体"/>
                <w:color w:val="auto"/>
                <w:szCs w:val="21"/>
                <w:highlight w:val="none"/>
              </w:rPr>
            </w:pPr>
          </w:p>
        </w:tc>
      </w:tr>
      <w:tr w14:paraId="1D05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5A471C9F">
            <w:pPr>
              <w:spacing w:line="400" w:lineRule="exact"/>
              <w:jc w:val="center"/>
              <w:rPr>
                <w:rFonts w:ascii="宋体" w:hAnsi="宋体"/>
                <w:color w:val="auto"/>
                <w:szCs w:val="21"/>
                <w:highlight w:val="none"/>
              </w:rPr>
            </w:pPr>
          </w:p>
        </w:tc>
        <w:tc>
          <w:tcPr>
            <w:tcW w:w="1094" w:type="dxa"/>
            <w:noWrap w:val="0"/>
            <w:vAlign w:val="top"/>
          </w:tcPr>
          <w:p w14:paraId="0D3E8FB1">
            <w:pPr>
              <w:spacing w:line="400" w:lineRule="exact"/>
              <w:jc w:val="center"/>
              <w:rPr>
                <w:rFonts w:ascii="宋体" w:hAnsi="宋体"/>
                <w:color w:val="auto"/>
                <w:szCs w:val="21"/>
                <w:highlight w:val="none"/>
              </w:rPr>
            </w:pPr>
          </w:p>
        </w:tc>
        <w:tc>
          <w:tcPr>
            <w:tcW w:w="881" w:type="dxa"/>
            <w:noWrap w:val="0"/>
            <w:vAlign w:val="top"/>
          </w:tcPr>
          <w:p w14:paraId="3859AE73">
            <w:pPr>
              <w:spacing w:line="400" w:lineRule="exact"/>
              <w:jc w:val="center"/>
              <w:rPr>
                <w:rFonts w:ascii="宋体" w:hAnsi="宋体"/>
                <w:color w:val="auto"/>
                <w:szCs w:val="21"/>
                <w:highlight w:val="none"/>
              </w:rPr>
            </w:pPr>
          </w:p>
        </w:tc>
        <w:tc>
          <w:tcPr>
            <w:tcW w:w="881" w:type="dxa"/>
            <w:noWrap w:val="0"/>
            <w:vAlign w:val="top"/>
          </w:tcPr>
          <w:p w14:paraId="3E781070">
            <w:pPr>
              <w:spacing w:line="400" w:lineRule="exact"/>
              <w:jc w:val="center"/>
              <w:rPr>
                <w:rFonts w:ascii="宋体" w:hAnsi="宋体"/>
                <w:color w:val="auto"/>
                <w:szCs w:val="21"/>
                <w:highlight w:val="none"/>
              </w:rPr>
            </w:pPr>
          </w:p>
        </w:tc>
        <w:tc>
          <w:tcPr>
            <w:tcW w:w="677" w:type="dxa"/>
            <w:noWrap w:val="0"/>
            <w:vAlign w:val="top"/>
          </w:tcPr>
          <w:p w14:paraId="29B83740">
            <w:pPr>
              <w:spacing w:line="400" w:lineRule="exact"/>
              <w:jc w:val="center"/>
              <w:rPr>
                <w:rFonts w:ascii="宋体" w:hAnsi="宋体"/>
                <w:color w:val="auto"/>
                <w:szCs w:val="21"/>
                <w:highlight w:val="none"/>
              </w:rPr>
            </w:pPr>
          </w:p>
        </w:tc>
        <w:tc>
          <w:tcPr>
            <w:tcW w:w="743" w:type="dxa"/>
            <w:noWrap w:val="0"/>
            <w:vAlign w:val="top"/>
          </w:tcPr>
          <w:p w14:paraId="35A0D413">
            <w:pPr>
              <w:spacing w:line="400" w:lineRule="exact"/>
              <w:jc w:val="center"/>
              <w:rPr>
                <w:rFonts w:ascii="宋体" w:hAnsi="宋体"/>
                <w:color w:val="auto"/>
                <w:szCs w:val="21"/>
                <w:highlight w:val="none"/>
              </w:rPr>
            </w:pPr>
          </w:p>
        </w:tc>
        <w:tc>
          <w:tcPr>
            <w:tcW w:w="1220" w:type="dxa"/>
            <w:noWrap w:val="0"/>
            <w:vAlign w:val="top"/>
          </w:tcPr>
          <w:p w14:paraId="277E36FA">
            <w:pPr>
              <w:spacing w:line="400" w:lineRule="exact"/>
              <w:jc w:val="center"/>
              <w:rPr>
                <w:rFonts w:ascii="宋体" w:hAnsi="宋体"/>
                <w:color w:val="auto"/>
                <w:szCs w:val="21"/>
                <w:highlight w:val="none"/>
              </w:rPr>
            </w:pPr>
          </w:p>
        </w:tc>
        <w:tc>
          <w:tcPr>
            <w:tcW w:w="1663" w:type="dxa"/>
            <w:noWrap w:val="0"/>
            <w:vAlign w:val="top"/>
          </w:tcPr>
          <w:p w14:paraId="1C5C023E">
            <w:pPr>
              <w:spacing w:line="400" w:lineRule="exact"/>
              <w:jc w:val="center"/>
              <w:rPr>
                <w:rFonts w:ascii="宋体" w:hAnsi="宋体"/>
                <w:color w:val="auto"/>
                <w:szCs w:val="21"/>
                <w:highlight w:val="none"/>
              </w:rPr>
            </w:pPr>
          </w:p>
        </w:tc>
        <w:tc>
          <w:tcPr>
            <w:tcW w:w="690" w:type="dxa"/>
            <w:noWrap w:val="0"/>
            <w:vAlign w:val="top"/>
          </w:tcPr>
          <w:p w14:paraId="7FCD9157">
            <w:pPr>
              <w:spacing w:line="400" w:lineRule="exact"/>
              <w:jc w:val="center"/>
              <w:rPr>
                <w:rFonts w:ascii="宋体" w:hAnsi="宋体"/>
                <w:color w:val="auto"/>
                <w:szCs w:val="21"/>
                <w:highlight w:val="none"/>
              </w:rPr>
            </w:pPr>
          </w:p>
        </w:tc>
      </w:tr>
      <w:tr w14:paraId="5BD1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4D9EC0F1">
            <w:pPr>
              <w:spacing w:line="400" w:lineRule="exact"/>
              <w:jc w:val="center"/>
              <w:rPr>
                <w:rFonts w:ascii="宋体" w:hAnsi="宋体"/>
                <w:color w:val="auto"/>
                <w:szCs w:val="21"/>
                <w:highlight w:val="none"/>
              </w:rPr>
            </w:pPr>
          </w:p>
        </w:tc>
        <w:tc>
          <w:tcPr>
            <w:tcW w:w="1094" w:type="dxa"/>
            <w:noWrap w:val="0"/>
            <w:vAlign w:val="top"/>
          </w:tcPr>
          <w:p w14:paraId="114EB799">
            <w:pPr>
              <w:spacing w:line="400" w:lineRule="exact"/>
              <w:jc w:val="center"/>
              <w:rPr>
                <w:rFonts w:ascii="宋体" w:hAnsi="宋体"/>
                <w:color w:val="auto"/>
                <w:szCs w:val="21"/>
                <w:highlight w:val="none"/>
              </w:rPr>
            </w:pPr>
          </w:p>
        </w:tc>
        <w:tc>
          <w:tcPr>
            <w:tcW w:w="881" w:type="dxa"/>
            <w:noWrap w:val="0"/>
            <w:vAlign w:val="top"/>
          </w:tcPr>
          <w:p w14:paraId="760E6C3C">
            <w:pPr>
              <w:spacing w:line="400" w:lineRule="exact"/>
              <w:jc w:val="center"/>
              <w:rPr>
                <w:rFonts w:ascii="宋体" w:hAnsi="宋体"/>
                <w:color w:val="auto"/>
                <w:szCs w:val="21"/>
                <w:highlight w:val="none"/>
              </w:rPr>
            </w:pPr>
          </w:p>
        </w:tc>
        <w:tc>
          <w:tcPr>
            <w:tcW w:w="881" w:type="dxa"/>
            <w:noWrap w:val="0"/>
            <w:vAlign w:val="top"/>
          </w:tcPr>
          <w:p w14:paraId="027BAFCC">
            <w:pPr>
              <w:spacing w:line="400" w:lineRule="exact"/>
              <w:jc w:val="center"/>
              <w:rPr>
                <w:rFonts w:ascii="宋体" w:hAnsi="宋体"/>
                <w:color w:val="auto"/>
                <w:szCs w:val="21"/>
                <w:highlight w:val="none"/>
              </w:rPr>
            </w:pPr>
          </w:p>
        </w:tc>
        <w:tc>
          <w:tcPr>
            <w:tcW w:w="677" w:type="dxa"/>
            <w:noWrap w:val="0"/>
            <w:vAlign w:val="top"/>
          </w:tcPr>
          <w:p w14:paraId="649C348C">
            <w:pPr>
              <w:spacing w:line="400" w:lineRule="exact"/>
              <w:jc w:val="center"/>
              <w:rPr>
                <w:rFonts w:ascii="宋体" w:hAnsi="宋体"/>
                <w:color w:val="auto"/>
                <w:szCs w:val="21"/>
                <w:highlight w:val="none"/>
              </w:rPr>
            </w:pPr>
          </w:p>
        </w:tc>
        <w:tc>
          <w:tcPr>
            <w:tcW w:w="743" w:type="dxa"/>
            <w:noWrap w:val="0"/>
            <w:vAlign w:val="top"/>
          </w:tcPr>
          <w:p w14:paraId="7A6CCDD6">
            <w:pPr>
              <w:spacing w:line="400" w:lineRule="exact"/>
              <w:jc w:val="center"/>
              <w:rPr>
                <w:rFonts w:ascii="宋体" w:hAnsi="宋体"/>
                <w:color w:val="auto"/>
                <w:szCs w:val="21"/>
                <w:highlight w:val="none"/>
              </w:rPr>
            </w:pPr>
          </w:p>
        </w:tc>
        <w:tc>
          <w:tcPr>
            <w:tcW w:w="1220" w:type="dxa"/>
            <w:noWrap w:val="0"/>
            <w:vAlign w:val="top"/>
          </w:tcPr>
          <w:p w14:paraId="3CF88DB9">
            <w:pPr>
              <w:spacing w:line="400" w:lineRule="exact"/>
              <w:jc w:val="center"/>
              <w:rPr>
                <w:rFonts w:ascii="宋体" w:hAnsi="宋体"/>
                <w:color w:val="auto"/>
                <w:szCs w:val="21"/>
                <w:highlight w:val="none"/>
              </w:rPr>
            </w:pPr>
          </w:p>
        </w:tc>
        <w:tc>
          <w:tcPr>
            <w:tcW w:w="1663" w:type="dxa"/>
            <w:noWrap w:val="0"/>
            <w:vAlign w:val="top"/>
          </w:tcPr>
          <w:p w14:paraId="29C21ACB">
            <w:pPr>
              <w:spacing w:line="400" w:lineRule="exact"/>
              <w:jc w:val="center"/>
              <w:rPr>
                <w:rFonts w:ascii="宋体" w:hAnsi="宋体"/>
                <w:color w:val="auto"/>
                <w:szCs w:val="21"/>
                <w:highlight w:val="none"/>
              </w:rPr>
            </w:pPr>
          </w:p>
        </w:tc>
        <w:tc>
          <w:tcPr>
            <w:tcW w:w="690" w:type="dxa"/>
            <w:noWrap w:val="0"/>
            <w:vAlign w:val="top"/>
          </w:tcPr>
          <w:p w14:paraId="4A88928C">
            <w:pPr>
              <w:spacing w:line="400" w:lineRule="exact"/>
              <w:jc w:val="center"/>
              <w:rPr>
                <w:rFonts w:ascii="宋体" w:hAnsi="宋体"/>
                <w:color w:val="auto"/>
                <w:szCs w:val="21"/>
                <w:highlight w:val="none"/>
              </w:rPr>
            </w:pPr>
          </w:p>
        </w:tc>
      </w:tr>
      <w:tr w14:paraId="5D94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409C305D">
            <w:pPr>
              <w:spacing w:line="400" w:lineRule="exact"/>
              <w:jc w:val="center"/>
              <w:rPr>
                <w:rFonts w:ascii="宋体" w:hAnsi="宋体"/>
                <w:color w:val="auto"/>
                <w:szCs w:val="21"/>
                <w:highlight w:val="none"/>
              </w:rPr>
            </w:pPr>
          </w:p>
        </w:tc>
        <w:tc>
          <w:tcPr>
            <w:tcW w:w="1094" w:type="dxa"/>
            <w:noWrap w:val="0"/>
            <w:vAlign w:val="top"/>
          </w:tcPr>
          <w:p w14:paraId="1C95A103">
            <w:pPr>
              <w:spacing w:line="400" w:lineRule="exact"/>
              <w:jc w:val="center"/>
              <w:rPr>
                <w:rFonts w:ascii="宋体" w:hAnsi="宋体"/>
                <w:color w:val="auto"/>
                <w:szCs w:val="21"/>
                <w:highlight w:val="none"/>
              </w:rPr>
            </w:pPr>
          </w:p>
        </w:tc>
        <w:tc>
          <w:tcPr>
            <w:tcW w:w="881" w:type="dxa"/>
            <w:noWrap w:val="0"/>
            <w:vAlign w:val="top"/>
          </w:tcPr>
          <w:p w14:paraId="50B34E11">
            <w:pPr>
              <w:spacing w:line="400" w:lineRule="exact"/>
              <w:jc w:val="center"/>
              <w:rPr>
                <w:rFonts w:ascii="宋体" w:hAnsi="宋体"/>
                <w:color w:val="auto"/>
                <w:szCs w:val="21"/>
                <w:highlight w:val="none"/>
              </w:rPr>
            </w:pPr>
          </w:p>
        </w:tc>
        <w:tc>
          <w:tcPr>
            <w:tcW w:w="881" w:type="dxa"/>
            <w:noWrap w:val="0"/>
            <w:vAlign w:val="top"/>
          </w:tcPr>
          <w:p w14:paraId="5FF8B77C">
            <w:pPr>
              <w:spacing w:line="400" w:lineRule="exact"/>
              <w:jc w:val="center"/>
              <w:rPr>
                <w:rFonts w:ascii="宋体" w:hAnsi="宋体"/>
                <w:color w:val="auto"/>
                <w:szCs w:val="21"/>
                <w:highlight w:val="none"/>
              </w:rPr>
            </w:pPr>
          </w:p>
        </w:tc>
        <w:tc>
          <w:tcPr>
            <w:tcW w:w="677" w:type="dxa"/>
            <w:noWrap w:val="0"/>
            <w:vAlign w:val="top"/>
          </w:tcPr>
          <w:p w14:paraId="16FFAFC1">
            <w:pPr>
              <w:spacing w:line="400" w:lineRule="exact"/>
              <w:jc w:val="center"/>
              <w:rPr>
                <w:rFonts w:ascii="宋体" w:hAnsi="宋体"/>
                <w:color w:val="auto"/>
                <w:szCs w:val="21"/>
                <w:highlight w:val="none"/>
              </w:rPr>
            </w:pPr>
          </w:p>
        </w:tc>
        <w:tc>
          <w:tcPr>
            <w:tcW w:w="743" w:type="dxa"/>
            <w:noWrap w:val="0"/>
            <w:vAlign w:val="top"/>
          </w:tcPr>
          <w:p w14:paraId="3FDADA38">
            <w:pPr>
              <w:spacing w:line="400" w:lineRule="exact"/>
              <w:jc w:val="center"/>
              <w:rPr>
                <w:rFonts w:ascii="宋体" w:hAnsi="宋体"/>
                <w:color w:val="auto"/>
                <w:szCs w:val="21"/>
                <w:highlight w:val="none"/>
              </w:rPr>
            </w:pPr>
          </w:p>
        </w:tc>
        <w:tc>
          <w:tcPr>
            <w:tcW w:w="1220" w:type="dxa"/>
            <w:noWrap w:val="0"/>
            <w:vAlign w:val="top"/>
          </w:tcPr>
          <w:p w14:paraId="521680A5">
            <w:pPr>
              <w:spacing w:line="400" w:lineRule="exact"/>
              <w:jc w:val="center"/>
              <w:rPr>
                <w:rFonts w:ascii="宋体" w:hAnsi="宋体"/>
                <w:color w:val="auto"/>
                <w:szCs w:val="21"/>
                <w:highlight w:val="none"/>
              </w:rPr>
            </w:pPr>
          </w:p>
        </w:tc>
        <w:tc>
          <w:tcPr>
            <w:tcW w:w="1663" w:type="dxa"/>
            <w:noWrap w:val="0"/>
            <w:vAlign w:val="top"/>
          </w:tcPr>
          <w:p w14:paraId="7FEA1264">
            <w:pPr>
              <w:spacing w:line="400" w:lineRule="exact"/>
              <w:jc w:val="center"/>
              <w:rPr>
                <w:rFonts w:ascii="宋体" w:hAnsi="宋体"/>
                <w:color w:val="auto"/>
                <w:szCs w:val="21"/>
                <w:highlight w:val="none"/>
              </w:rPr>
            </w:pPr>
          </w:p>
        </w:tc>
        <w:tc>
          <w:tcPr>
            <w:tcW w:w="690" w:type="dxa"/>
            <w:noWrap w:val="0"/>
            <w:vAlign w:val="top"/>
          </w:tcPr>
          <w:p w14:paraId="6E97F9F1">
            <w:pPr>
              <w:spacing w:line="400" w:lineRule="exact"/>
              <w:jc w:val="center"/>
              <w:rPr>
                <w:rFonts w:ascii="宋体" w:hAnsi="宋体"/>
                <w:color w:val="auto"/>
                <w:szCs w:val="21"/>
                <w:highlight w:val="none"/>
              </w:rPr>
            </w:pPr>
          </w:p>
        </w:tc>
      </w:tr>
      <w:tr w14:paraId="1381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657882C6">
            <w:pPr>
              <w:spacing w:line="400" w:lineRule="exact"/>
              <w:jc w:val="center"/>
              <w:rPr>
                <w:rFonts w:ascii="宋体" w:hAnsi="宋体"/>
                <w:color w:val="auto"/>
                <w:szCs w:val="21"/>
                <w:highlight w:val="none"/>
              </w:rPr>
            </w:pPr>
          </w:p>
        </w:tc>
        <w:tc>
          <w:tcPr>
            <w:tcW w:w="1094" w:type="dxa"/>
            <w:noWrap w:val="0"/>
            <w:vAlign w:val="top"/>
          </w:tcPr>
          <w:p w14:paraId="4A0D02F2">
            <w:pPr>
              <w:spacing w:line="400" w:lineRule="exact"/>
              <w:jc w:val="center"/>
              <w:rPr>
                <w:rFonts w:ascii="宋体" w:hAnsi="宋体"/>
                <w:color w:val="auto"/>
                <w:szCs w:val="21"/>
                <w:highlight w:val="none"/>
              </w:rPr>
            </w:pPr>
          </w:p>
        </w:tc>
        <w:tc>
          <w:tcPr>
            <w:tcW w:w="881" w:type="dxa"/>
            <w:noWrap w:val="0"/>
            <w:vAlign w:val="top"/>
          </w:tcPr>
          <w:p w14:paraId="434EC57B">
            <w:pPr>
              <w:spacing w:line="400" w:lineRule="exact"/>
              <w:jc w:val="center"/>
              <w:rPr>
                <w:rFonts w:ascii="宋体" w:hAnsi="宋体"/>
                <w:color w:val="auto"/>
                <w:szCs w:val="21"/>
                <w:highlight w:val="none"/>
              </w:rPr>
            </w:pPr>
          </w:p>
        </w:tc>
        <w:tc>
          <w:tcPr>
            <w:tcW w:w="881" w:type="dxa"/>
            <w:noWrap w:val="0"/>
            <w:vAlign w:val="top"/>
          </w:tcPr>
          <w:p w14:paraId="33CBBAFA">
            <w:pPr>
              <w:spacing w:line="400" w:lineRule="exact"/>
              <w:jc w:val="center"/>
              <w:rPr>
                <w:rFonts w:ascii="宋体" w:hAnsi="宋体"/>
                <w:color w:val="auto"/>
                <w:szCs w:val="21"/>
                <w:highlight w:val="none"/>
              </w:rPr>
            </w:pPr>
          </w:p>
        </w:tc>
        <w:tc>
          <w:tcPr>
            <w:tcW w:w="677" w:type="dxa"/>
            <w:noWrap w:val="0"/>
            <w:vAlign w:val="top"/>
          </w:tcPr>
          <w:p w14:paraId="35CC114E">
            <w:pPr>
              <w:spacing w:line="400" w:lineRule="exact"/>
              <w:jc w:val="center"/>
              <w:rPr>
                <w:rFonts w:ascii="宋体" w:hAnsi="宋体"/>
                <w:color w:val="auto"/>
                <w:szCs w:val="21"/>
                <w:highlight w:val="none"/>
              </w:rPr>
            </w:pPr>
          </w:p>
        </w:tc>
        <w:tc>
          <w:tcPr>
            <w:tcW w:w="743" w:type="dxa"/>
            <w:noWrap w:val="0"/>
            <w:vAlign w:val="top"/>
          </w:tcPr>
          <w:p w14:paraId="1D31B897">
            <w:pPr>
              <w:spacing w:line="400" w:lineRule="exact"/>
              <w:jc w:val="center"/>
              <w:rPr>
                <w:rFonts w:ascii="宋体" w:hAnsi="宋体"/>
                <w:color w:val="auto"/>
                <w:szCs w:val="21"/>
                <w:highlight w:val="none"/>
              </w:rPr>
            </w:pPr>
          </w:p>
        </w:tc>
        <w:tc>
          <w:tcPr>
            <w:tcW w:w="1220" w:type="dxa"/>
            <w:noWrap w:val="0"/>
            <w:vAlign w:val="top"/>
          </w:tcPr>
          <w:p w14:paraId="0788E8F1">
            <w:pPr>
              <w:spacing w:line="400" w:lineRule="exact"/>
              <w:jc w:val="center"/>
              <w:rPr>
                <w:rFonts w:ascii="宋体" w:hAnsi="宋体"/>
                <w:color w:val="auto"/>
                <w:szCs w:val="21"/>
                <w:highlight w:val="none"/>
              </w:rPr>
            </w:pPr>
          </w:p>
        </w:tc>
        <w:tc>
          <w:tcPr>
            <w:tcW w:w="1663" w:type="dxa"/>
            <w:noWrap w:val="0"/>
            <w:vAlign w:val="top"/>
          </w:tcPr>
          <w:p w14:paraId="25E9B45B">
            <w:pPr>
              <w:spacing w:line="400" w:lineRule="exact"/>
              <w:jc w:val="center"/>
              <w:rPr>
                <w:rFonts w:ascii="宋体" w:hAnsi="宋体"/>
                <w:color w:val="auto"/>
                <w:szCs w:val="21"/>
                <w:highlight w:val="none"/>
              </w:rPr>
            </w:pPr>
          </w:p>
        </w:tc>
        <w:tc>
          <w:tcPr>
            <w:tcW w:w="690" w:type="dxa"/>
            <w:noWrap w:val="0"/>
            <w:vAlign w:val="top"/>
          </w:tcPr>
          <w:p w14:paraId="332506F3">
            <w:pPr>
              <w:spacing w:line="400" w:lineRule="exact"/>
              <w:jc w:val="center"/>
              <w:rPr>
                <w:rFonts w:ascii="宋体" w:hAnsi="宋体"/>
                <w:color w:val="auto"/>
                <w:szCs w:val="21"/>
                <w:highlight w:val="none"/>
              </w:rPr>
            </w:pPr>
          </w:p>
        </w:tc>
      </w:tr>
      <w:tr w14:paraId="6B4A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1AB5B2A8">
            <w:pPr>
              <w:spacing w:line="400" w:lineRule="exact"/>
              <w:jc w:val="center"/>
              <w:rPr>
                <w:rFonts w:ascii="宋体" w:hAnsi="宋体"/>
                <w:color w:val="auto"/>
                <w:szCs w:val="21"/>
                <w:highlight w:val="none"/>
              </w:rPr>
            </w:pPr>
          </w:p>
        </w:tc>
        <w:tc>
          <w:tcPr>
            <w:tcW w:w="1094" w:type="dxa"/>
            <w:noWrap w:val="0"/>
            <w:vAlign w:val="top"/>
          </w:tcPr>
          <w:p w14:paraId="0B05B0B5">
            <w:pPr>
              <w:spacing w:line="400" w:lineRule="exact"/>
              <w:jc w:val="center"/>
              <w:rPr>
                <w:rFonts w:ascii="宋体" w:hAnsi="宋体"/>
                <w:color w:val="auto"/>
                <w:szCs w:val="21"/>
                <w:highlight w:val="none"/>
              </w:rPr>
            </w:pPr>
          </w:p>
        </w:tc>
        <w:tc>
          <w:tcPr>
            <w:tcW w:w="881" w:type="dxa"/>
            <w:noWrap w:val="0"/>
            <w:vAlign w:val="top"/>
          </w:tcPr>
          <w:p w14:paraId="307A3D04">
            <w:pPr>
              <w:spacing w:line="400" w:lineRule="exact"/>
              <w:jc w:val="center"/>
              <w:rPr>
                <w:rFonts w:ascii="宋体" w:hAnsi="宋体"/>
                <w:color w:val="auto"/>
                <w:szCs w:val="21"/>
                <w:highlight w:val="none"/>
              </w:rPr>
            </w:pPr>
          </w:p>
        </w:tc>
        <w:tc>
          <w:tcPr>
            <w:tcW w:w="881" w:type="dxa"/>
            <w:noWrap w:val="0"/>
            <w:vAlign w:val="top"/>
          </w:tcPr>
          <w:p w14:paraId="6A73AD2B">
            <w:pPr>
              <w:spacing w:line="400" w:lineRule="exact"/>
              <w:jc w:val="center"/>
              <w:rPr>
                <w:rFonts w:ascii="宋体" w:hAnsi="宋体"/>
                <w:color w:val="auto"/>
                <w:szCs w:val="21"/>
                <w:highlight w:val="none"/>
              </w:rPr>
            </w:pPr>
          </w:p>
        </w:tc>
        <w:tc>
          <w:tcPr>
            <w:tcW w:w="677" w:type="dxa"/>
            <w:noWrap w:val="0"/>
            <w:vAlign w:val="top"/>
          </w:tcPr>
          <w:p w14:paraId="4B170D9D">
            <w:pPr>
              <w:spacing w:line="400" w:lineRule="exact"/>
              <w:jc w:val="center"/>
              <w:rPr>
                <w:rFonts w:ascii="宋体" w:hAnsi="宋体"/>
                <w:color w:val="auto"/>
                <w:szCs w:val="21"/>
                <w:highlight w:val="none"/>
              </w:rPr>
            </w:pPr>
          </w:p>
        </w:tc>
        <w:tc>
          <w:tcPr>
            <w:tcW w:w="743" w:type="dxa"/>
            <w:noWrap w:val="0"/>
            <w:vAlign w:val="top"/>
          </w:tcPr>
          <w:p w14:paraId="60B0A1F7">
            <w:pPr>
              <w:spacing w:line="400" w:lineRule="exact"/>
              <w:jc w:val="center"/>
              <w:rPr>
                <w:rFonts w:ascii="宋体" w:hAnsi="宋体"/>
                <w:color w:val="auto"/>
                <w:szCs w:val="21"/>
                <w:highlight w:val="none"/>
              </w:rPr>
            </w:pPr>
          </w:p>
        </w:tc>
        <w:tc>
          <w:tcPr>
            <w:tcW w:w="1220" w:type="dxa"/>
            <w:noWrap w:val="0"/>
            <w:vAlign w:val="top"/>
          </w:tcPr>
          <w:p w14:paraId="46D7B7BD">
            <w:pPr>
              <w:spacing w:line="400" w:lineRule="exact"/>
              <w:jc w:val="center"/>
              <w:rPr>
                <w:rFonts w:ascii="宋体" w:hAnsi="宋体"/>
                <w:color w:val="auto"/>
                <w:szCs w:val="21"/>
                <w:highlight w:val="none"/>
              </w:rPr>
            </w:pPr>
          </w:p>
        </w:tc>
        <w:tc>
          <w:tcPr>
            <w:tcW w:w="1663" w:type="dxa"/>
            <w:noWrap w:val="0"/>
            <w:vAlign w:val="top"/>
          </w:tcPr>
          <w:p w14:paraId="02E6437C">
            <w:pPr>
              <w:spacing w:line="400" w:lineRule="exact"/>
              <w:jc w:val="center"/>
              <w:rPr>
                <w:rFonts w:ascii="宋体" w:hAnsi="宋体"/>
                <w:color w:val="auto"/>
                <w:szCs w:val="21"/>
                <w:highlight w:val="none"/>
              </w:rPr>
            </w:pPr>
          </w:p>
        </w:tc>
        <w:tc>
          <w:tcPr>
            <w:tcW w:w="690" w:type="dxa"/>
            <w:noWrap w:val="0"/>
            <w:vAlign w:val="top"/>
          </w:tcPr>
          <w:p w14:paraId="62352375">
            <w:pPr>
              <w:spacing w:line="400" w:lineRule="exact"/>
              <w:jc w:val="center"/>
              <w:rPr>
                <w:rFonts w:ascii="宋体" w:hAnsi="宋体"/>
                <w:color w:val="auto"/>
                <w:szCs w:val="21"/>
                <w:highlight w:val="none"/>
              </w:rPr>
            </w:pPr>
          </w:p>
        </w:tc>
      </w:tr>
      <w:tr w14:paraId="20B7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4AEC38A5">
            <w:pPr>
              <w:spacing w:line="400" w:lineRule="exact"/>
              <w:jc w:val="center"/>
              <w:rPr>
                <w:rFonts w:ascii="宋体" w:hAnsi="宋体"/>
                <w:color w:val="auto"/>
                <w:szCs w:val="21"/>
                <w:highlight w:val="none"/>
              </w:rPr>
            </w:pPr>
          </w:p>
        </w:tc>
        <w:tc>
          <w:tcPr>
            <w:tcW w:w="1094" w:type="dxa"/>
            <w:noWrap w:val="0"/>
            <w:vAlign w:val="top"/>
          </w:tcPr>
          <w:p w14:paraId="5C6CC99F">
            <w:pPr>
              <w:spacing w:line="400" w:lineRule="exact"/>
              <w:jc w:val="center"/>
              <w:rPr>
                <w:rFonts w:ascii="宋体" w:hAnsi="宋体"/>
                <w:color w:val="auto"/>
                <w:szCs w:val="21"/>
                <w:highlight w:val="none"/>
              </w:rPr>
            </w:pPr>
          </w:p>
        </w:tc>
        <w:tc>
          <w:tcPr>
            <w:tcW w:w="881" w:type="dxa"/>
            <w:noWrap w:val="0"/>
            <w:vAlign w:val="top"/>
          </w:tcPr>
          <w:p w14:paraId="594B3DB7">
            <w:pPr>
              <w:spacing w:line="400" w:lineRule="exact"/>
              <w:jc w:val="center"/>
              <w:rPr>
                <w:rFonts w:ascii="宋体" w:hAnsi="宋体"/>
                <w:color w:val="auto"/>
                <w:szCs w:val="21"/>
                <w:highlight w:val="none"/>
              </w:rPr>
            </w:pPr>
          </w:p>
        </w:tc>
        <w:tc>
          <w:tcPr>
            <w:tcW w:w="881" w:type="dxa"/>
            <w:noWrap w:val="0"/>
            <w:vAlign w:val="top"/>
          </w:tcPr>
          <w:p w14:paraId="168E3BE2">
            <w:pPr>
              <w:spacing w:line="400" w:lineRule="exact"/>
              <w:jc w:val="center"/>
              <w:rPr>
                <w:rFonts w:ascii="宋体" w:hAnsi="宋体"/>
                <w:color w:val="auto"/>
                <w:szCs w:val="21"/>
                <w:highlight w:val="none"/>
              </w:rPr>
            </w:pPr>
          </w:p>
        </w:tc>
        <w:tc>
          <w:tcPr>
            <w:tcW w:w="677" w:type="dxa"/>
            <w:noWrap w:val="0"/>
            <w:vAlign w:val="top"/>
          </w:tcPr>
          <w:p w14:paraId="73EB159D">
            <w:pPr>
              <w:spacing w:line="400" w:lineRule="exact"/>
              <w:jc w:val="center"/>
              <w:rPr>
                <w:rFonts w:ascii="宋体" w:hAnsi="宋体"/>
                <w:color w:val="auto"/>
                <w:szCs w:val="21"/>
                <w:highlight w:val="none"/>
              </w:rPr>
            </w:pPr>
          </w:p>
        </w:tc>
        <w:tc>
          <w:tcPr>
            <w:tcW w:w="743" w:type="dxa"/>
            <w:noWrap w:val="0"/>
            <w:vAlign w:val="top"/>
          </w:tcPr>
          <w:p w14:paraId="580BA62E">
            <w:pPr>
              <w:spacing w:line="400" w:lineRule="exact"/>
              <w:jc w:val="center"/>
              <w:rPr>
                <w:rFonts w:ascii="宋体" w:hAnsi="宋体"/>
                <w:color w:val="auto"/>
                <w:szCs w:val="21"/>
                <w:highlight w:val="none"/>
              </w:rPr>
            </w:pPr>
          </w:p>
        </w:tc>
        <w:tc>
          <w:tcPr>
            <w:tcW w:w="1220" w:type="dxa"/>
            <w:noWrap w:val="0"/>
            <w:vAlign w:val="top"/>
          </w:tcPr>
          <w:p w14:paraId="159FA0B7">
            <w:pPr>
              <w:spacing w:line="400" w:lineRule="exact"/>
              <w:jc w:val="center"/>
              <w:rPr>
                <w:rFonts w:ascii="宋体" w:hAnsi="宋体"/>
                <w:color w:val="auto"/>
                <w:szCs w:val="21"/>
                <w:highlight w:val="none"/>
              </w:rPr>
            </w:pPr>
          </w:p>
        </w:tc>
        <w:tc>
          <w:tcPr>
            <w:tcW w:w="1663" w:type="dxa"/>
            <w:noWrap w:val="0"/>
            <w:vAlign w:val="top"/>
          </w:tcPr>
          <w:p w14:paraId="3E0CA98E">
            <w:pPr>
              <w:spacing w:line="400" w:lineRule="exact"/>
              <w:jc w:val="center"/>
              <w:rPr>
                <w:rFonts w:ascii="宋体" w:hAnsi="宋体"/>
                <w:color w:val="auto"/>
                <w:szCs w:val="21"/>
                <w:highlight w:val="none"/>
              </w:rPr>
            </w:pPr>
          </w:p>
        </w:tc>
        <w:tc>
          <w:tcPr>
            <w:tcW w:w="690" w:type="dxa"/>
            <w:noWrap w:val="0"/>
            <w:vAlign w:val="top"/>
          </w:tcPr>
          <w:p w14:paraId="424DF0AB">
            <w:pPr>
              <w:spacing w:line="400" w:lineRule="exact"/>
              <w:jc w:val="center"/>
              <w:rPr>
                <w:rFonts w:ascii="宋体" w:hAnsi="宋体"/>
                <w:color w:val="auto"/>
                <w:szCs w:val="21"/>
                <w:highlight w:val="none"/>
              </w:rPr>
            </w:pPr>
          </w:p>
        </w:tc>
      </w:tr>
      <w:tr w14:paraId="50B9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79F2C413">
            <w:pPr>
              <w:spacing w:line="400" w:lineRule="exact"/>
              <w:jc w:val="center"/>
              <w:rPr>
                <w:rFonts w:ascii="宋体" w:hAnsi="宋体"/>
                <w:color w:val="auto"/>
                <w:szCs w:val="21"/>
                <w:highlight w:val="none"/>
              </w:rPr>
            </w:pPr>
          </w:p>
        </w:tc>
        <w:tc>
          <w:tcPr>
            <w:tcW w:w="1094" w:type="dxa"/>
            <w:noWrap w:val="0"/>
            <w:vAlign w:val="top"/>
          </w:tcPr>
          <w:p w14:paraId="26462276">
            <w:pPr>
              <w:spacing w:line="400" w:lineRule="exact"/>
              <w:jc w:val="center"/>
              <w:rPr>
                <w:rFonts w:ascii="宋体" w:hAnsi="宋体"/>
                <w:color w:val="auto"/>
                <w:szCs w:val="21"/>
                <w:highlight w:val="none"/>
              </w:rPr>
            </w:pPr>
          </w:p>
        </w:tc>
        <w:tc>
          <w:tcPr>
            <w:tcW w:w="881" w:type="dxa"/>
            <w:noWrap w:val="0"/>
            <w:vAlign w:val="top"/>
          </w:tcPr>
          <w:p w14:paraId="6D944490">
            <w:pPr>
              <w:spacing w:line="400" w:lineRule="exact"/>
              <w:jc w:val="center"/>
              <w:rPr>
                <w:rFonts w:ascii="宋体" w:hAnsi="宋体"/>
                <w:color w:val="auto"/>
                <w:szCs w:val="21"/>
                <w:highlight w:val="none"/>
              </w:rPr>
            </w:pPr>
          </w:p>
        </w:tc>
        <w:tc>
          <w:tcPr>
            <w:tcW w:w="881" w:type="dxa"/>
            <w:noWrap w:val="0"/>
            <w:vAlign w:val="top"/>
          </w:tcPr>
          <w:p w14:paraId="05C779C5">
            <w:pPr>
              <w:spacing w:line="400" w:lineRule="exact"/>
              <w:jc w:val="center"/>
              <w:rPr>
                <w:rFonts w:ascii="宋体" w:hAnsi="宋体"/>
                <w:color w:val="auto"/>
                <w:szCs w:val="21"/>
                <w:highlight w:val="none"/>
              </w:rPr>
            </w:pPr>
          </w:p>
        </w:tc>
        <w:tc>
          <w:tcPr>
            <w:tcW w:w="677" w:type="dxa"/>
            <w:noWrap w:val="0"/>
            <w:vAlign w:val="top"/>
          </w:tcPr>
          <w:p w14:paraId="18A28E40">
            <w:pPr>
              <w:spacing w:line="400" w:lineRule="exact"/>
              <w:jc w:val="center"/>
              <w:rPr>
                <w:rFonts w:ascii="宋体" w:hAnsi="宋体"/>
                <w:color w:val="auto"/>
                <w:szCs w:val="21"/>
                <w:highlight w:val="none"/>
              </w:rPr>
            </w:pPr>
          </w:p>
        </w:tc>
        <w:tc>
          <w:tcPr>
            <w:tcW w:w="743" w:type="dxa"/>
            <w:noWrap w:val="0"/>
            <w:vAlign w:val="top"/>
          </w:tcPr>
          <w:p w14:paraId="36FB93C9">
            <w:pPr>
              <w:spacing w:line="400" w:lineRule="exact"/>
              <w:jc w:val="center"/>
              <w:rPr>
                <w:rFonts w:ascii="宋体" w:hAnsi="宋体"/>
                <w:color w:val="auto"/>
                <w:szCs w:val="21"/>
                <w:highlight w:val="none"/>
              </w:rPr>
            </w:pPr>
          </w:p>
        </w:tc>
        <w:tc>
          <w:tcPr>
            <w:tcW w:w="1220" w:type="dxa"/>
            <w:noWrap w:val="0"/>
            <w:vAlign w:val="top"/>
          </w:tcPr>
          <w:p w14:paraId="2B5A4875">
            <w:pPr>
              <w:spacing w:line="400" w:lineRule="exact"/>
              <w:jc w:val="center"/>
              <w:rPr>
                <w:rFonts w:ascii="宋体" w:hAnsi="宋体"/>
                <w:color w:val="auto"/>
                <w:szCs w:val="21"/>
                <w:highlight w:val="none"/>
              </w:rPr>
            </w:pPr>
          </w:p>
        </w:tc>
        <w:tc>
          <w:tcPr>
            <w:tcW w:w="1663" w:type="dxa"/>
            <w:noWrap w:val="0"/>
            <w:vAlign w:val="top"/>
          </w:tcPr>
          <w:p w14:paraId="64C52605">
            <w:pPr>
              <w:spacing w:line="400" w:lineRule="exact"/>
              <w:jc w:val="center"/>
              <w:rPr>
                <w:rFonts w:ascii="宋体" w:hAnsi="宋体"/>
                <w:color w:val="auto"/>
                <w:szCs w:val="21"/>
                <w:highlight w:val="none"/>
              </w:rPr>
            </w:pPr>
          </w:p>
        </w:tc>
        <w:tc>
          <w:tcPr>
            <w:tcW w:w="690" w:type="dxa"/>
            <w:noWrap w:val="0"/>
            <w:vAlign w:val="top"/>
          </w:tcPr>
          <w:p w14:paraId="42894427">
            <w:pPr>
              <w:spacing w:line="400" w:lineRule="exact"/>
              <w:jc w:val="center"/>
              <w:rPr>
                <w:rFonts w:ascii="宋体" w:hAnsi="宋体"/>
                <w:color w:val="auto"/>
                <w:szCs w:val="21"/>
                <w:highlight w:val="none"/>
              </w:rPr>
            </w:pPr>
          </w:p>
        </w:tc>
      </w:tr>
      <w:tr w14:paraId="33DF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45C0B228">
            <w:pPr>
              <w:spacing w:line="400" w:lineRule="exact"/>
              <w:jc w:val="center"/>
              <w:rPr>
                <w:rFonts w:ascii="宋体" w:hAnsi="宋体"/>
                <w:color w:val="auto"/>
                <w:szCs w:val="21"/>
                <w:highlight w:val="none"/>
              </w:rPr>
            </w:pPr>
          </w:p>
        </w:tc>
        <w:tc>
          <w:tcPr>
            <w:tcW w:w="1094" w:type="dxa"/>
            <w:noWrap w:val="0"/>
            <w:vAlign w:val="top"/>
          </w:tcPr>
          <w:p w14:paraId="15051B74">
            <w:pPr>
              <w:spacing w:line="400" w:lineRule="exact"/>
              <w:jc w:val="center"/>
              <w:rPr>
                <w:rFonts w:ascii="宋体" w:hAnsi="宋体"/>
                <w:color w:val="auto"/>
                <w:szCs w:val="21"/>
                <w:highlight w:val="none"/>
              </w:rPr>
            </w:pPr>
          </w:p>
        </w:tc>
        <w:tc>
          <w:tcPr>
            <w:tcW w:w="881" w:type="dxa"/>
            <w:noWrap w:val="0"/>
            <w:vAlign w:val="top"/>
          </w:tcPr>
          <w:p w14:paraId="5B83E49B">
            <w:pPr>
              <w:spacing w:line="400" w:lineRule="exact"/>
              <w:jc w:val="center"/>
              <w:rPr>
                <w:rFonts w:ascii="宋体" w:hAnsi="宋体"/>
                <w:color w:val="auto"/>
                <w:szCs w:val="21"/>
                <w:highlight w:val="none"/>
              </w:rPr>
            </w:pPr>
          </w:p>
        </w:tc>
        <w:tc>
          <w:tcPr>
            <w:tcW w:w="881" w:type="dxa"/>
            <w:noWrap w:val="0"/>
            <w:vAlign w:val="top"/>
          </w:tcPr>
          <w:p w14:paraId="65C2A7FC">
            <w:pPr>
              <w:spacing w:line="400" w:lineRule="exact"/>
              <w:jc w:val="center"/>
              <w:rPr>
                <w:rFonts w:ascii="宋体" w:hAnsi="宋体"/>
                <w:color w:val="auto"/>
                <w:szCs w:val="21"/>
                <w:highlight w:val="none"/>
              </w:rPr>
            </w:pPr>
          </w:p>
        </w:tc>
        <w:tc>
          <w:tcPr>
            <w:tcW w:w="677" w:type="dxa"/>
            <w:noWrap w:val="0"/>
            <w:vAlign w:val="top"/>
          </w:tcPr>
          <w:p w14:paraId="1007DCC4">
            <w:pPr>
              <w:spacing w:line="400" w:lineRule="exact"/>
              <w:jc w:val="center"/>
              <w:rPr>
                <w:rFonts w:ascii="宋体" w:hAnsi="宋体"/>
                <w:color w:val="auto"/>
                <w:szCs w:val="21"/>
                <w:highlight w:val="none"/>
              </w:rPr>
            </w:pPr>
          </w:p>
        </w:tc>
        <w:tc>
          <w:tcPr>
            <w:tcW w:w="743" w:type="dxa"/>
            <w:noWrap w:val="0"/>
            <w:vAlign w:val="top"/>
          </w:tcPr>
          <w:p w14:paraId="23B6CECD">
            <w:pPr>
              <w:spacing w:line="400" w:lineRule="exact"/>
              <w:jc w:val="center"/>
              <w:rPr>
                <w:rFonts w:ascii="宋体" w:hAnsi="宋体"/>
                <w:color w:val="auto"/>
                <w:szCs w:val="21"/>
                <w:highlight w:val="none"/>
              </w:rPr>
            </w:pPr>
          </w:p>
        </w:tc>
        <w:tc>
          <w:tcPr>
            <w:tcW w:w="1220" w:type="dxa"/>
            <w:noWrap w:val="0"/>
            <w:vAlign w:val="top"/>
          </w:tcPr>
          <w:p w14:paraId="19095A3A">
            <w:pPr>
              <w:spacing w:line="400" w:lineRule="exact"/>
              <w:jc w:val="center"/>
              <w:rPr>
                <w:rFonts w:ascii="宋体" w:hAnsi="宋体"/>
                <w:color w:val="auto"/>
                <w:szCs w:val="21"/>
                <w:highlight w:val="none"/>
              </w:rPr>
            </w:pPr>
          </w:p>
        </w:tc>
        <w:tc>
          <w:tcPr>
            <w:tcW w:w="1663" w:type="dxa"/>
            <w:noWrap w:val="0"/>
            <w:vAlign w:val="top"/>
          </w:tcPr>
          <w:p w14:paraId="0B5B35B6">
            <w:pPr>
              <w:spacing w:line="400" w:lineRule="exact"/>
              <w:jc w:val="center"/>
              <w:rPr>
                <w:rFonts w:ascii="宋体" w:hAnsi="宋体"/>
                <w:color w:val="auto"/>
                <w:szCs w:val="21"/>
                <w:highlight w:val="none"/>
              </w:rPr>
            </w:pPr>
            <w:bookmarkStart w:id="1161" w:name="_Toc144974866"/>
            <w:bookmarkStart w:id="1162" w:name="_Toc168475925"/>
            <w:bookmarkStart w:id="1163" w:name="_Toc168476328"/>
            <w:bookmarkStart w:id="1164" w:name="_Toc221952088"/>
          </w:p>
        </w:tc>
        <w:tc>
          <w:tcPr>
            <w:tcW w:w="690" w:type="dxa"/>
            <w:noWrap w:val="0"/>
            <w:vAlign w:val="top"/>
          </w:tcPr>
          <w:p w14:paraId="31175F23">
            <w:pPr>
              <w:spacing w:line="400" w:lineRule="exact"/>
              <w:jc w:val="center"/>
              <w:rPr>
                <w:rFonts w:ascii="宋体" w:hAnsi="宋体"/>
                <w:color w:val="auto"/>
                <w:szCs w:val="21"/>
                <w:highlight w:val="none"/>
              </w:rPr>
            </w:pPr>
          </w:p>
        </w:tc>
      </w:tr>
      <w:tr w14:paraId="492F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7A809F38">
            <w:pPr>
              <w:spacing w:line="400" w:lineRule="exact"/>
              <w:jc w:val="center"/>
              <w:rPr>
                <w:rFonts w:ascii="宋体" w:hAnsi="宋体"/>
                <w:color w:val="auto"/>
                <w:szCs w:val="21"/>
                <w:highlight w:val="none"/>
              </w:rPr>
            </w:pPr>
          </w:p>
        </w:tc>
        <w:tc>
          <w:tcPr>
            <w:tcW w:w="1094" w:type="dxa"/>
            <w:noWrap w:val="0"/>
            <w:vAlign w:val="top"/>
          </w:tcPr>
          <w:p w14:paraId="7B0CD89C">
            <w:pPr>
              <w:spacing w:line="400" w:lineRule="exact"/>
              <w:jc w:val="center"/>
              <w:rPr>
                <w:rFonts w:ascii="宋体" w:hAnsi="宋体"/>
                <w:color w:val="auto"/>
                <w:szCs w:val="21"/>
                <w:highlight w:val="none"/>
              </w:rPr>
            </w:pPr>
          </w:p>
        </w:tc>
        <w:tc>
          <w:tcPr>
            <w:tcW w:w="881" w:type="dxa"/>
            <w:noWrap w:val="0"/>
            <w:vAlign w:val="top"/>
          </w:tcPr>
          <w:p w14:paraId="0CE62FEB">
            <w:pPr>
              <w:spacing w:line="400" w:lineRule="exact"/>
              <w:jc w:val="center"/>
              <w:rPr>
                <w:rFonts w:ascii="宋体" w:hAnsi="宋体"/>
                <w:color w:val="auto"/>
                <w:szCs w:val="21"/>
                <w:highlight w:val="none"/>
              </w:rPr>
            </w:pPr>
          </w:p>
        </w:tc>
        <w:tc>
          <w:tcPr>
            <w:tcW w:w="881" w:type="dxa"/>
            <w:noWrap w:val="0"/>
            <w:vAlign w:val="top"/>
          </w:tcPr>
          <w:p w14:paraId="09F05B20">
            <w:pPr>
              <w:spacing w:line="400" w:lineRule="exact"/>
              <w:jc w:val="center"/>
              <w:rPr>
                <w:rFonts w:ascii="宋体" w:hAnsi="宋体"/>
                <w:color w:val="auto"/>
                <w:szCs w:val="21"/>
                <w:highlight w:val="none"/>
              </w:rPr>
            </w:pPr>
          </w:p>
        </w:tc>
        <w:tc>
          <w:tcPr>
            <w:tcW w:w="677" w:type="dxa"/>
            <w:noWrap w:val="0"/>
            <w:vAlign w:val="top"/>
          </w:tcPr>
          <w:p w14:paraId="21EDE0B6">
            <w:pPr>
              <w:spacing w:line="400" w:lineRule="exact"/>
              <w:jc w:val="center"/>
              <w:rPr>
                <w:rFonts w:ascii="宋体" w:hAnsi="宋体"/>
                <w:color w:val="auto"/>
                <w:szCs w:val="21"/>
                <w:highlight w:val="none"/>
              </w:rPr>
            </w:pPr>
          </w:p>
        </w:tc>
        <w:tc>
          <w:tcPr>
            <w:tcW w:w="743" w:type="dxa"/>
            <w:noWrap w:val="0"/>
            <w:vAlign w:val="top"/>
          </w:tcPr>
          <w:p w14:paraId="7EE4BFF5">
            <w:pPr>
              <w:spacing w:line="400" w:lineRule="exact"/>
              <w:jc w:val="center"/>
              <w:rPr>
                <w:rFonts w:ascii="宋体" w:hAnsi="宋体"/>
                <w:color w:val="auto"/>
                <w:szCs w:val="21"/>
                <w:highlight w:val="none"/>
              </w:rPr>
            </w:pPr>
          </w:p>
        </w:tc>
        <w:tc>
          <w:tcPr>
            <w:tcW w:w="1220" w:type="dxa"/>
            <w:noWrap w:val="0"/>
            <w:vAlign w:val="top"/>
          </w:tcPr>
          <w:p w14:paraId="63438369">
            <w:pPr>
              <w:spacing w:line="400" w:lineRule="exact"/>
              <w:jc w:val="center"/>
              <w:rPr>
                <w:rFonts w:ascii="宋体" w:hAnsi="宋体"/>
                <w:color w:val="auto"/>
                <w:szCs w:val="21"/>
                <w:highlight w:val="none"/>
              </w:rPr>
            </w:pPr>
          </w:p>
        </w:tc>
        <w:tc>
          <w:tcPr>
            <w:tcW w:w="1663" w:type="dxa"/>
            <w:noWrap w:val="0"/>
            <w:vAlign w:val="top"/>
          </w:tcPr>
          <w:p w14:paraId="0EF9D1B6">
            <w:pPr>
              <w:spacing w:line="400" w:lineRule="exact"/>
              <w:jc w:val="center"/>
              <w:rPr>
                <w:rFonts w:ascii="宋体" w:hAnsi="宋体"/>
                <w:color w:val="auto"/>
                <w:szCs w:val="21"/>
                <w:highlight w:val="none"/>
              </w:rPr>
            </w:pPr>
          </w:p>
        </w:tc>
        <w:tc>
          <w:tcPr>
            <w:tcW w:w="690" w:type="dxa"/>
            <w:noWrap w:val="0"/>
            <w:vAlign w:val="top"/>
          </w:tcPr>
          <w:p w14:paraId="474B5D3C">
            <w:pPr>
              <w:spacing w:line="400" w:lineRule="exact"/>
              <w:jc w:val="center"/>
              <w:rPr>
                <w:rFonts w:ascii="宋体" w:hAnsi="宋体"/>
                <w:color w:val="auto"/>
                <w:szCs w:val="21"/>
                <w:highlight w:val="none"/>
              </w:rPr>
            </w:pPr>
          </w:p>
        </w:tc>
      </w:tr>
      <w:tr w14:paraId="486E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481E34C0">
            <w:pPr>
              <w:spacing w:line="400" w:lineRule="exact"/>
              <w:jc w:val="center"/>
              <w:rPr>
                <w:rFonts w:ascii="宋体" w:hAnsi="宋体"/>
                <w:color w:val="auto"/>
                <w:szCs w:val="21"/>
                <w:highlight w:val="none"/>
              </w:rPr>
            </w:pPr>
          </w:p>
        </w:tc>
        <w:tc>
          <w:tcPr>
            <w:tcW w:w="1094" w:type="dxa"/>
            <w:noWrap w:val="0"/>
            <w:vAlign w:val="top"/>
          </w:tcPr>
          <w:p w14:paraId="64AD7574">
            <w:pPr>
              <w:spacing w:line="400" w:lineRule="exact"/>
              <w:jc w:val="center"/>
              <w:rPr>
                <w:rFonts w:ascii="宋体" w:hAnsi="宋体"/>
                <w:color w:val="auto"/>
                <w:szCs w:val="21"/>
                <w:highlight w:val="none"/>
              </w:rPr>
            </w:pPr>
          </w:p>
        </w:tc>
        <w:tc>
          <w:tcPr>
            <w:tcW w:w="881" w:type="dxa"/>
            <w:noWrap w:val="0"/>
            <w:vAlign w:val="top"/>
          </w:tcPr>
          <w:p w14:paraId="27C73A87">
            <w:pPr>
              <w:spacing w:line="400" w:lineRule="exact"/>
              <w:jc w:val="center"/>
              <w:rPr>
                <w:rFonts w:ascii="宋体" w:hAnsi="宋体"/>
                <w:color w:val="auto"/>
                <w:szCs w:val="21"/>
                <w:highlight w:val="none"/>
              </w:rPr>
            </w:pPr>
          </w:p>
        </w:tc>
        <w:tc>
          <w:tcPr>
            <w:tcW w:w="881" w:type="dxa"/>
            <w:noWrap w:val="0"/>
            <w:vAlign w:val="top"/>
          </w:tcPr>
          <w:p w14:paraId="0E596EF6">
            <w:pPr>
              <w:spacing w:line="400" w:lineRule="exact"/>
              <w:jc w:val="center"/>
              <w:rPr>
                <w:rFonts w:ascii="宋体" w:hAnsi="宋体"/>
                <w:color w:val="auto"/>
                <w:szCs w:val="21"/>
                <w:highlight w:val="none"/>
              </w:rPr>
            </w:pPr>
          </w:p>
        </w:tc>
        <w:tc>
          <w:tcPr>
            <w:tcW w:w="677" w:type="dxa"/>
            <w:noWrap w:val="0"/>
            <w:vAlign w:val="top"/>
          </w:tcPr>
          <w:p w14:paraId="27A17E1F">
            <w:pPr>
              <w:spacing w:line="400" w:lineRule="exact"/>
              <w:jc w:val="center"/>
              <w:rPr>
                <w:rFonts w:ascii="宋体" w:hAnsi="宋体"/>
                <w:color w:val="auto"/>
                <w:szCs w:val="21"/>
                <w:highlight w:val="none"/>
              </w:rPr>
            </w:pPr>
          </w:p>
        </w:tc>
        <w:tc>
          <w:tcPr>
            <w:tcW w:w="743" w:type="dxa"/>
            <w:noWrap w:val="0"/>
            <w:vAlign w:val="top"/>
          </w:tcPr>
          <w:p w14:paraId="55471C44">
            <w:pPr>
              <w:spacing w:line="400" w:lineRule="exact"/>
              <w:jc w:val="center"/>
              <w:rPr>
                <w:rFonts w:ascii="宋体" w:hAnsi="宋体"/>
                <w:color w:val="auto"/>
                <w:szCs w:val="21"/>
                <w:highlight w:val="none"/>
              </w:rPr>
            </w:pPr>
          </w:p>
        </w:tc>
        <w:tc>
          <w:tcPr>
            <w:tcW w:w="1220" w:type="dxa"/>
            <w:noWrap w:val="0"/>
            <w:vAlign w:val="top"/>
          </w:tcPr>
          <w:p w14:paraId="62D1533C">
            <w:pPr>
              <w:spacing w:line="400" w:lineRule="exact"/>
              <w:jc w:val="center"/>
              <w:rPr>
                <w:rFonts w:ascii="宋体" w:hAnsi="宋体"/>
                <w:color w:val="auto"/>
                <w:szCs w:val="21"/>
                <w:highlight w:val="none"/>
              </w:rPr>
            </w:pPr>
          </w:p>
        </w:tc>
        <w:tc>
          <w:tcPr>
            <w:tcW w:w="1663" w:type="dxa"/>
            <w:noWrap w:val="0"/>
            <w:vAlign w:val="top"/>
          </w:tcPr>
          <w:p w14:paraId="2D6D984F">
            <w:pPr>
              <w:spacing w:line="400" w:lineRule="exact"/>
              <w:jc w:val="center"/>
              <w:rPr>
                <w:rFonts w:ascii="宋体" w:hAnsi="宋体"/>
                <w:color w:val="auto"/>
                <w:szCs w:val="21"/>
                <w:highlight w:val="none"/>
              </w:rPr>
            </w:pPr>
          </w:p>
          <w:bookmarkEnd w:id="1161"/>
          <w:bookmarkEnd w:id="1162"/>
          <w:bookmarkEnd w:id="1163"/>
          <w:bookmarkEnd w:id="1164"/>
        </w:tc>
        <w:tc>
          <w:tcPr>
            <w:tcW w:w="690" w:type="dxa"/>
            <w:noWrap w:val="0"/>
            <w:vAlign w:val="top"/>
          </w:tcPr>
          <w:p w14:paraId="03AC2D6D">
            <w:pPr>
              <w:spacing w:line="400" w:lineRule="exact"/>
              <w:jc w:val="center"/>
              <w:rPr>
                <w:rFonts w:ascii="宋体" w:hAnsi="宋体"/>
                <w:color w:val="auto"/>
                <w:szCs w:val="21"/>
                <w:highlight w:val="none"/>
              </w:rPr>
            </w:pPr>
          </w:p>
        </w:tc>
      </w:tr>
      <w:tr w14:paraId="6AFC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4B63BD57">
            <w:pPr>
              <w:spacing w:line="400" w:lineRule="exact"/>
              <w:jc w:val="center"/>
              <w:rPr>
                <w:rFonts w:ascii="宋体" w:hAnsi="宋体"/>
                <w:color w:val="auto"/>
                <w:szCs w:val="21"/>
                <w:highlight w:val="none"/>
              </w:rPr>
            </w:pPr>
            <w:bookmarkStart w:id="1165" w:name="_Toc221952089"/>
          </w:p>
        </w:tc>
        <w:tc>
          <w:tcPr>
            <w:tcW w:w="1094" w:type="dxa"/>
            <w:noWrap w:val="0"/>
            <w:vAlign w:val="top"/>
          </w:tcPr>
          <w:p w14:paraId="51A3AF4D">
            <w:pPr>
              <w:spacing w:line="400" w:lineRule="exact"/>
              <w:jc w:val="center"/>
              <w:rPr>
                <w:rFonts w:ascii="宋体" w:hAnsi="宋体"/>
                <w:color w:val="auto"/>
                <w:szCs w:val="21"/>
                <w:highlight w:val="none"/>
              </w:rPr>
            </w:pPr>
          </w:p>
          <w:bookmarkEnd w:id="1165"/>
        </w:tc>
        <w:tc>
          <w:tcPr>
            <w:tcW w:w="881" w:type="dxa"/>
            <w:noWrap w:val="0"/>
            <w:vAlign w:val="top"/>
          </w:tcPr>
          <w:p w14:paraId="11F5D7AB">
            <w:pPr>
              <w:spacing w:line="400" w:lineRule="exact"/>
              <w:jc w:val="center"/>
              <w:rPr>
                <w:rFonts w:ascii="宋体" w:hAnsi="宋体"/>
                <w:color w:val="auto"/>
                <w:szCs w:val="21"/>
                <w:highlight w:val="none"/>
              </w:rPr>
            </w:pPr>
          </w:p>
        </w:tc>
        <w:tc>
          <w:tcPr>
            <w:tcW w:w="881" w:type="dxa"/>
            <w:noWrap w:val="0"/>
            <w:vAlign w:val="top"/>
          </w:tcPr>
          <w:p w14:paraId="28099149">
            <w:pPr>
              <w:spacing w:line="400" w:lineRule="exact"/>
              <w:jc w:val="center"/>
              <w:rPr>
                <w:rFonts w:ascii="宋体" w:hAnsi="宋体"/>
                <w:color w:val="auto"/>
                <w:szCs w:val="21"/>
                <w:highlight w:val="none"/>
              </w:rPr>
            </w:pPr>
            <w:bookmarkStart w:id="1166" w:name="_Toc221952090"/>
          </w:p>
        </w:tc>
        <w:tc>
          <w:tcPr>
            <w:tcW w:w="677" w:type="dxa"/>
            <w:noWrap w:val="0"/>
            <w:vAlign w:val="top"/>
          </w:tcPr>
          <w:p w14:paraId="0FC39113">
            <w:pPr>
              <w:spacing w:line="400" w:lineRule="exact"/>
              <w:jc w:val="center"/>
              <w:rPr>
                <w:rFonts w:ascii="宋体" w:hAnsi="宋体"/>
                <w:color w:val="auto"/>
                <w:szCs w:val="21"/>
                <w:highlight w:val="none"/>
              </w:rPr>
            </w:pPr>
          </w:p>
        </w:tc>
        <w:tc>
          <w:tcPr>
            <w:tcW w:w="743" w:type="dxa"/>
            <w:noWrap w:val="0"/>
            <w:vAlign w:val="top"/>
          </w:tcPr>
          <w:p w14:paraId="20149FB8">
            <w:pPr>
              <w:spacing w:line="400" w:lineRule="exact"/>
              <w:jc w:val="center"/>
              <w:rPr>
                <w:rFonts w:ascii="宋体" w:hAnsi="宋体"/>
                <w:color w:val="auto"/>
                <w:szCs w:val="21"/>
                <w:highlight w:val="none"/>
              </w:rPr>
            </w:pPr>
          </w:p>
        </w:tc>
        <w:tc>
          <w:tcPr>
            <w:tcW w:w="1220" w:type="dxa"/>
            <w:noWrap w:val="0"/>
            <w:vAlign w:val="top"/>
          </w:tcPr>
          <w:p w14:paraId="275CCC69">
            <w:pPr>
              <w:spacing w:line="400" w:lineRule="exact"/>
              <w:jc w:val="center"/>
              <w:rPr>
                <w:rFonts w:ascii="宋体" w:hAnsi="宋体"/>
                <w:color w:val="auto"/>
                <w:szCs w:val="21"/>
                <w:highlight w:val="none"/>
              </w:rPr>
            </w:pPr>
          </w:p>
        </w:tc>
        <w:tc>
          <w:tcPr>
            <w:tcW w:w="1663" w:type="dxa"/>
            <w:noWrap w:val="0"/>
            <w:vAlign w:val="top"/>
          </w:tcPr>
          <w:p w14:paraId="52B733D8">
            <w:pPr>
              <w:spacing w:line="400" w:lineRule="exact"/>
              <w:jc w:val="center"/>
              <w:rPr>
                <w:rFonts w:ascii="宋体" w:hAnsi="宋体"/>
                <w:color w:val="auto"/>
                <w:szCs w:val="21"/>
                <w:highlight w:val="none"/>
              </w:rPr>
            </w:pPr>
          </w:p>
        </w:tc>
        <w:tc>
          <w:tcPr>
            <w:tcW w:w="690" w:type="dxa"/>
            <w:noWrap w:val="0"/>
            <w:vAlign w:val="top"/>
          </w:tcPr>
          <w:p w14:paraId="7DEA96FF">
            <w:pPr>
              <w:spacing w:line="400" w:lineRule="exact"/>
              <w:jc w:val="center"/>
              <w:rPr>
                <w:rFonts w:ascii="宋体" w:hAnsi="宋体"/>
                <w:color w:val="auto"/>
                <w:szCs w:val="21"/>
                <w:highlight w:val="none"/>
              </w:rPr>
            </w:pPr>
          </w:p>
          <w:bookmarkEnd w:id="1166"/>
        </w:tc>
      </w:tr>
      <w:tr w14:paraId="4B12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6FC31F19">
            <w:pPr>
              <w:spacing w:line="400" w:lineRule="exact"/>
              <w:jc w:val="center"/>
              <w:rPr>
                <w:rFonts w:ascii="宋体" w:hAnsi="宋体"/>
                <w:color w:val="auto"/>
                <w:szCs w:val="21"/>
                <w:highlight w:val="none"/>
              </w:rPr>
            </w:pPr>
            <w:bookmarkStart w:id="1167" w:name="_Toc221952091"/>
          </w:p>
        </w:tc>
        <w:tc>
          <w:tcPr>
            <w:tcW w:w="1094" w:type="dxa"/>
            <w:noWrap w:val="0"/>
            <w:vAlign w:val="top"/>
          </w:tcPr>
          <w:p w14:paraId="1096CE8D">
            <w:pPr>
              <w:spacing w:line="400" w:lineRule="exact"/>
              <w:jc w:val="center"/>
              <w:rPr>
                <w:rFonts w:ascii="宋体" w:hAnsi="宋体"/>
                <w:color w:val="auto"/>
                <w:szCs w:val="21"/>
                <w:highlight w:val="none"/>
              </w:rPr>
            </w:pPr>
          </w:p>
          <w:bookmarkEnd w:id="1167"/>
        </w:tc>
        <w:tc>
          <w:tcPr>
            <w:tcW w:w="881" w:type="dxa"/>
            <w:noWrap w:val="0"/>
            <w:vAlign w:val="top"/>
          </w:tcPr>
          <w:p w14:paraId="3D5B67B7">
            <w:pPr>
              <w:spacing w:line="400" w:lineRule="exact"/>
              <w:jc w:val="center"/>
              <w:rPr>
                <w:rFonts w:ascii="宋体" w:hAnsi="宋体"/>
                <w:color w:val="auto"/>
                <w:szCs w:val="21"/>
                <w:highlight w:val="none"/>
              </w:rPr>
            </w:pPr>
          </w:p>
        </w:tc>
        <w:tc>
          <w:tcPr>
            <w:tcW w:w="881" w:type="dxa"/>
            <w:noWrap w:val="0"/>
            <w:vAlign w:val="top"/>
          </w:tcPr>
          <w:p w14:paraId="38E697E5">
            <w:pPr>
              <w:spacing w:line="400" w:lineRule="exact"/>
              <w:jc w:val="center"/>
              <w:rPr>
                <w:rFonts w:ascii="宋体" w:hAnsi="宋体"/>
                <w:color w:val="auto"/>
                <w:szCs w:val="21"/>
                <w:highlight w:val="none"/>
              </w:rPr>
            </w:pPr>
            <w:bookmarkStart w:id="1168" w:name="_Toc221952092"/>
          </w:p>
        </w:tc>
        <w:tc>
          <w:tcPr>
            <w:tcW w:w="677" w:type="dxa"/>
            <w:noWrap w:val="0"/>
            <w:vAlign w:val="top"/>
          </w:tcPr>
          <w:p w14:paraId="24F1E2F8">
            <w:pPr>
              <w:spacing w:line="400" w:lineRule="exact"/>
              <w:jc w:val="center"/>
              <w:rPr>
                <w:rFonts w:ascii="宋体" w:hAnsi="宋体"/>
                <w:color w:val="auto"/>
                <w:szCs w:val="21"/>
                <w:highlight w:val="none"/>
              </w:rPr>
            </w:pPr>
          </w:p>
          <w:bookmarkEnd w:id="1168"/>
        </w:tc>
        <w:tc>
          <w:tcPr>
            <w:tcW w:w="743" w:type="dxa"/>
            <w:noWrap w:val="0"/>
            <w:vAlign w:val="top"/>
          </w:tcPr>
          <w:p w14:paraId="3F1A577B">
            <w:pPr>
              <w:spacing w:line="400" w:lineRule="exact"/>
              <w:jc w:val="center"/>
              <w:rPr>
                <w:rFonts w:ascii="宋体" w:hAnsi="宋体"/>
                <w:color w:val="auto"/>
                <w:szCs w:val="21"/>
                <w:highlight w:val="none"/>
              </w:rPr>
            </w:pPr>
          </w:p>
        </w:tc>
        <w:tc>
          <w:tcPr>
            <w:tcW w:w="1220" w:type="dxa"/>
            <w:noWrap w:val="0"/>
            <w:vAlign w:val="top"/>
          </w:tcPr>
          <w:p w14:paraId="532E06BC">
            <w:pPr>
              <w:spacing w:line="400" w:lineRule="exact"/>
              <w:jc w:val="center"/>
              <w:rPr>
                <w:rFonts w:ascii="宋体" w:hAnsi="宋体"/>
                <w:color w:val="auto"/>
                <w:szCs w:val="21"/>
                <w:highlight w:val="none"/>
              </w:rPr>
            </w:pPr>
            <w:bookmarkStart w:id="1169" w:name="_Toc221952093"/>
          </w:p>
        </w:tc>
        <w:tc>
          <w:tcPr>
            <w:tcW w:w="1663" w:type="dxa"/>
            <w:noWrap w:val="0"/>
            <w:vAlign w:val="top"/>
          </w:tcPr>
          <w:p w14:paraId="7BDE484D">
            <w:pPr>
              <w:spacing w:line="400" w:lineRule="exact"/>
              <w:jc w:val="center"/>
              <w:rPr>
                <w:rFonts w:ascii="宋体" w:hAnsi="宋体"/>
                <w:color w:val="auto"/>
                <w:szCs w:val="21"/>
                <w:highlight w:val="none"/>
              </w:rPr>
            </w:pPr>
          </w:p>
          <w:bookmarkEnd w:id="1169"/>
        </w:tc>
        <w:tc>
          <w:tcPr>
            <w:tcW w:w="690" w:type="dxa"/>
            <w:noWrap w:val="0"/>
            <w:vAlign w:val="top"/>
          </w:tcPr>
          <w:p w14:paraId="1C3AD923">
            <w:pPr>
              <w:spacing w:line="400" w:lineRule="exact"/>
              <w:jc w:val="center"/>
              <w:rPr>
                <w:rFonts w:ascii="宋体" w:hAnsi="宋体"/>
                <w:color w:val="auto"/>
                <w:szCs w:val="21"/>
                <w:highlight w:val="none"/>
              </w:rPr>
            </w:pPr>
          </w:p>
        </w:tc>
        <w:bookmarkStart w:id="1170" w:name="_Toc221952094"/>
      </w:tr>
      <w:tr w14:paraId="5A0B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2B426747">
            <w:pPr>
              <w:spacing w:line="400" w:lineRule="exact"/>
              <w:jc w:val="center"/>
              <w:rPr>
                <w:rFonts w:ascii="宋体" w:hAnsi="宋体"/>
                <w:color w:val="auto"/>
                <w:szCs w:val="21"/>
                <w:highlight w:val="none"/>
              </w:rPr>
            </w:pPr>
          </w:p>
          <w:bookmarkEnd w:id="1170"/>
        </w:tc>
        <w:tc>
          <w:tcPr>
            <w:tcW w:w="1094" w:type="dxa"/>
            <w:noWrap w:val="0"/>
            <w:vAlign w:val="top"/>
          </w:tcPr>
          <w:p w14:paraId="768E980A">
            <w:pPr>
              <w:spacing w:line="400" w:lineRule="exact"/>
              <w:jc w:val="center"/>
              <w:rPr>
                <w:rFonts w:ascii="宋体" w:hAnsi="宋体"/>
                <w:color w:val="auto"/>
                <w:szCs w:val="21"/>
                <w:highlight w:val="none"/>
              </w:rPr>
            </w:pPr>
          </w:p>
        </w:tc>
        <w:tc>
          <w:tcPr>
            <w:tcW w:w="881" w:type="dxa"/>
            <w:noWrap w:val="0"/>
            <w:vAlign w:val="top"/>
          </w:tcPr>
          <w:p w14:paraId="1B3DA54B">
            <w:pPr>
              <w:spacing w:line="400" w:lineRule="exact"/>
              <w:jc w:val="center"/>
              <w:rPr>
                <w:rFonts w:ascii="宋体" w:hAnsi="宋体"/>
                <w:color w:val="auto"/>
                <w:szCs w:val="21"/>
                <w:highlight w:val="none"/>
              </w:rPr>
            </w:pPr>
            <w:bookmarkStart w:id="1171" w:name="_Toc221952095"/>
          </w:p>
        </w:tc>
        <w:tc>
          <w:tcPr>
            <w:tcW w:w="881" w:type="dxa"/>
            <w:noWrap w:val="0"/>
            <w:vAlign w:val="top"/>
          </w:tcPr>
          <w:p w14:paraId="3928EF0C">
            <w:pPr>
              <w:spacing w:line="400" w:lineRule="exact"/>
              <w:jc w:val="center"/>
              <w:rPr>
                <w:rFonts w:ascii="宋体" w:hAnsi="宋体"/>
                <w:color w:val="auto"/>
                <w:szCs w:val="21"/>
                <w:highlight w:val="none"/>
              </w:rPr>
            </w:pPr>
          </w:p>
          <w:bookmarkEnd w:id="1171"/>
        </w:tc>
        <w:tc>
          <w:tcPr>
            <w:tcW w:w="677" w:type="dxa"/>
            <w:noWrap w:val="0"/>
            <w:vAlign w:val="top"/>
          </w:tcPr>
          <w:p w14:paraId="53CD53AF">
            <w:pPr>
              <w:spacing w:line="400" w:lineRule="exact"/>
              <w:jc w:val="center"/>
              <w:rPr>
                <w:rFonts w:ascii="宋体" w:hAnsi="宋体"/>
                <w:color w:val="auto"/>
                <w:szCs w:val="21"/>
                <w:highlight w:val="none"/>
              </w:rPr>
            </w:pPr>
          </w:p>
        </w:tc>
        <w:tc>
          <w:tcPr>
            <w:tcW w:w="743" w:type="dxa"/>
            <w:noWrap w:val="0"/>
            <w:vAlign w:val="top"/>
          </w:tcPr>
          <w:p w14:paraId="68027ABD">
            <w:pPr>
              <w:spacing w:line="400" w:lineRule="exact"/>
              <w:jc w:val="center"/>
              <w:rPr>
                <w:rFonts w:ascii="宋体" w:hAnsi="宋体"/>
                <w:color w:val="auto"/>
                <w:szCs w:val="21"/>
                <w:highlight w:val="none"/>
              </w:rPr>
            </w:pPr>
            <w:bookmarkStart w:id="1172" w:name="_Toc221952096"/>
          </w:p>
        </w:tc>
        <w:tc>
          <w:tcPr>
            <w:tcW w:w="1220" w:type="dxa"/>
            <w:noWrap w:val="0"/>
            <w:vAlign w:val="top"/>
          </w:tcPr>
          <w:p w14:paraId="08996877">
            <w:pPr>
              <w:spacing w:line="400" w:lineRule="exact"/>
              <w:jc w:val="center"/>
              <w:rPr>
                <w:rFonts w:ascii="宋体" w:hAnsi="宋体"/>
                <w:color w:val="auto"/>
                <w:szCs w:val="21"/>
                <w:highlight w:val="none"/>
              </w:rPr>
            </w:pPr>
          </w:p>
          <w:bookmarkEnd w:id="1172"/>
        </w:tc>
        <w:tc>
          <w:tcPr>
            <w:tcW w:w="1663" w:type="dxa"/>
            <w:noWrap w:val="0"/>
            <w:vAlign w:val="top"/>
          </w:tcPr>
          <w:p w14:paraId="35C61ED0">
            <w:pPr>
              <w:spacing w:line="400" w:lineRule="exact"/>
              <w:jc w:val="center"/>
              <w:rPr>
                <w:rFonts w:ascii="宋体" w:hAnsi="宋体"/>
                <w:color w:val="auto"/>
                <w:szCs w:val="21"/>
                <w:highlight w:val="none"/>
              </w:rPr>
            </w:pPr>
          </w:p>
        </w:tc>
        <w:tc>
          <w:tcPr>
            <w:tcW w:w="690" w:type="dxa"/>
            <w:noWrap w:val="0"/>
            <w:vAlign w:val="top"/>
          </w:tcPr>
          <w:p w14:paraId="1B6EE2C6">
            <w:pPr>
              <w:spacing w:line="400" w:lineRule="exact"/>
              <w:jc w:val="center"/>
              <w:rPr>
                <w:rFonts w:ascii="宋体" w:hAnsi="宋体"/>
                <w:color w:val="auto"/>
                <w:szCs w:val="21"/>
                <w:highlight w:val="none"/>
              </w:rPr>
            </w:pPr>
            <w:bookmarkStart w:id="1173" w:name="_Toc221952097"/>
          </w:p>
        </w:tc>
      </w:tr>
      <w:bookmarkEnd w:id="1173"/>
    </w:tbl>
    <w:p w14:paraId="4D1DCDF5">
      <w:pPr>
        <w:spacing w:line="400" w:lineRule="exact"/>
        <w:rPr>
          <w:rFonts w:eastAsia="黑体"/>
          <w:color w:val="auto"/>
          <w:sz w:val="19"/>
          <w:szCs w:val="19"/>
          <w:highlight w:val="none"/>
        </w:rPr>
      </w:pPr>
      <w:r>
        <w:rPr>
          <w:rFonts w:eastAsia="黑体"/>
          <w:color w:val="auto"/>
          <w:sz w:val="19"/>
          <w:szCs w:val="19"/>
          <w:highlight w:val="none"/>
        </w:rPr>
        <w:br w:type="page"/>
      </w:r>
      <w:bookmarkStart w:id="1174" w:name="_Toc221952098"/>
    </w:p>
    <w:p w14:paraId="786F7064">
      <w:pPr>
        <w:spacing w:line="400" w:lineRule="exact"/>
        <w:jc w:val="center"/>
        <w:outlineLvl w:val="3"/>
        <w:rPr>
          <w:rFonts w:ascii="宋体" w:hAnsi="宋体"/>
          <w:b/>
          <w:color w:val="auto"/>
          <w:sz w:val="24"/>
          <w:szCs w:val="31"/>
          <w:highlight w:val="none"/>
        </w:rPr>
      </w:pPr>
      <w:r>
        <w:rPr>
          <w:rFonts w:ascii="宋体" w:hAnsi="宋体"/>
          <w:b/>
          <w:color w:val="auto"/>
          <w:sz w:val="24"/>
          <w:szCs w:val="31"/>
          <w:highlight w:val="none"/>
        </w:rPr>
        <w:t>附表三：</w:t>
      </w:r>
      <w:r>
        <w:rPr>
          <w:rFonts w:hint="eastAsia" w:ascii="宋体" w:hAnsi="宋体"/>
          <w:b/>
          <w:color w:val="auto"/>
          <w:sz w:val="24"/>
          <w:szCs w:val="31"/>
          <w:highlight w:val="none"/>
        </w:rPr>
        <w:t>拟</w:t>
      </w:r>
      <w:bookmarkEnd w:id="1174"/>
      <w:r>
        <w:rPr>
          <w:rFonts w:hint="eastAsia" w:ascii="宋体" w:hAnsi="宋体"/>
          <w:b/>
          <w:color w:val="auto"/>
          <w:sz w:val="24"/>
          <w:szCs w:val="31"/>
          <w:highlight w:val="none"/>
        </w:rPr>
        <w:t>投</w:t>
      </w:r>
      <w:bookmarkStart w:id="1175" w:name="_Toc221952099"/>
      <w:r>
        <w:rPr>
          <w:rFonts w:hint="eastAsia" w:ascii="宋体" w:hAnsi="宋体"/>
          <w:b/>
          <w:color w:val="auto"/>
          <w:sz w:val="24"/>
          <w:szCs w:val="31"/>
          <w:highlight w:val="none"/>
        </w:rPr>
        <w:t>入本</w:t>
      </w:r>
      <w:bookmarkEnd w:id="1175"/>
      <w:r>
        <w:rPr>
          <w:rFonts w:hint="eastAsia" w:ascii="宋体" w:hAnsi="宋体"/>
          <w:b/>
          <w:color w:val="auto"/>
          <w:sz w:val="24"/>
          <w:szCs w:val="31"/>
          <w:highlight w:val="none"/>
        </w:rPr>
        <w:t>标</w:t>
      </w:r>
      <w:bookmarkStart w:id="1176" w:name="_Toc221952100"/>
      <w:r>
        <w:rPr>
          <w:rFonts w:hint="eastAsia" w:ascii="宋体" w:hAnsi="宋体"/>
          <w:b/>
          <w:color w:val="auto"/>
          <w:sz w:val="24"/>
          <w:szCs w:val="31"/>
          <w:highlight w:val="none"/>
        </w:rPr>
        <w:t>段的</w:t>
      </w:r>
      <w:bookmarkEnd w:id="1176"/>
      <w:r>
        <w:rPr>
          <w:rFonts w:ascii="宋体" w:hAnsi="宋体"/>
          <w:b/>
          <w:color w:val="auto"/>
          <w:sz w:val="24"/>
          <w:szCs w:val="31"/>
          <w:highlight w:val="none"/>
        </w:rPr>
        <w:t>劳动力计划表</w:t>
      </w:r>
    </w:p>
    <w:p w14:paraId="4A049EF4">
      <w:pPr>
        <w:spacing w:line="400" w:lineRule="exact"/>
        <w:ind w:right="200"/>
        <w:jc w:val="right"/>
        <w:rPr>
          <w:rFonts w:ascii="宋体" w:hAnsi="宋体"/>
          <w:color w:val="auto"/>
          <w:szCs w:val="21"/>
          <w:highlight w:val="none"/>
        </w:rPr>
      </w:pPr>
      <w:r>
        <w:rPr>
          <w:rFonts w:ascii="宋体" w:hAnsi="宋体"/>
          <w:color w:val="auto"/>
          <w:szCs w:val="21"/>
          <w:highlight w:val="none"/>
        </w:rPr>
        <w:t>单位：人</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04"/>
        <w:gridCol w:w="1065"/>
        <w:gridCol w:w="1065"/>
        <w:gridCol w:w="1065"/>
        <w:gridCol w:w="1065"/>
        <w:gridCol w:w="1065"/>
        <w:gridCol w:w="1064"/>
      </w:tblGrid>
      <w:tr w14:paraId="7029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93990A3">
            <w:pPr>
              <w:spacing w:line="400" w:lineRule="exact"/>
              <w:jc w:val="center"/>
              <w:rPr>
                <w:rFonts w:ascii="宋体" w:hAnsi="宋体"/>
                <w:color w:val="auto"/>
                <w:szCs w:val="21"/>
                <w:highlight w:val="none"/>
              </w:rPr>
            </w:pPr>
            <w:r>
              <w:rPr>
                <w:rFonts w:ascii="宋体" w:hAnsi="宋体"/>
                <w:color w:val="auto"/>
                <w:szCs w:val="21"/>
                <w:highlight w:val="none"/>
              </w:rPr>
              <w:t>工种</w:t>
            </w:r>
          </w:p>
        </w:tc>
        <w:tc>
          <w:tcPr>
            <w:tcW w:w="7693" w:type="dxa"/>
            <w:gridSpan w:val="7"/>
            <w:noWrap w:val="0"/>
            <w:vAlign w:val="top"/>
          </w:tcPr>
          <w:p w14:paraId="74DEF934">
            <w:pPr>
              <w:spacing w:line="400" w:lineRule="exact"/>
              <w:jc w:val="center"/>
              <w:rPr>
                <w:rFonts w:ascii="宋体" w:hAnsi="宋体"/>
                <w:color w:val="auto"/>
                <w:szCs w:val="21"/>
                <w:highlight w:val="none"/>
              </w:rPr>
            </w:pPr>
            <w:r>
              <w:rPr>
                <w:rFonts w:ascii="宋体" w:hAnsi="宋体"/>
                <w:color w:val="auto"/>
                <w:szCs w:val="21"/>
                <w:highlight w:val="none"/>
              </w:rPr>
              <w:t>按工程施工阶段投入劳动力情况</w:t>
            </w:r>
          </w:p>
        </w:tc>
      </w:tr>
      <w:tr w14:paraId="484E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C9332D8">
            <w:pPr>
              <w:spacing w:line="400" w:lineRule="exact"/>
              <w:jc w:val="center"/>
              <w:rPr>
                <w:rFonts w:ascii="宋体" w:hAnsi="宋体"/>
                <w:color w:val="auto"/>
                <w:szCs w:val="21"/>
                <w:highlight w:val="none"/>
              </w:rPr>
            </w:pPr>
          </w:p>
        </w:tc>
        <w:tc>
          <w:tcPr>
            <w:tcW w:w="1304" w:type="dxa"/>
            <w:noWrap w:val="0"/>
            <w:vAlign w:val="top"/>
          </w:tcPr>
          <w:p w14:paraId="003A0A3F">
            <w:pPr>
              <w:spacing w:line="400" w:lineRule="exact"/>
              <w:jc w:val="center"/>
              <w:rPr>
                <w:rFonts w:ascii="宋体" w:hAnsi="宋体"/>
                <w:color w:val="auto"/>
                <w:szCs w:val="21"/>
                <w:highlight w:val="none"/>
              </w:rPr>
            </w:pPr>
          </w:p>
        </w:tc>
        <w:tc>
          <w:tcPr>
            <w:tcW w:w="1065" w:type="dxa"/>
            <w:noWrap w:val="0"/>
            <w:vAlign w:val="top"/>
          </w:tcPr>
          <w:p w14:paraId="13B739E0">
            <w:pPr>
              <w:spacing w:line="400" w:lineRule="exact"/>
              <w:jc w:val="center"/>
              <w:rPr>
                <w:rFonts w:ascii="宋体" w:hAnsi="宋体"/>
                <w:color w:val="auto"/>
                <w:szCs w:val="21"/>
                <w:highlight w:val="none"/>
              </w:rPr>
            </w:pPr>
          </w:p>
        </w:tc>
        <w:tc>
          <w:tcPr>
            <w:tcW w:w="1065" w:type="dxa"/>
            <w:noWrap w:val="0"/>
            <w:vAlign w:val="top"/>
          </w:tcPr>
          <w:p w14:paraId="0803F9A4">
            <w:pPr>
              <w:spacing w:line="400" w:lineRule="exact"/>
              <w:jc w:val="center"/>
              <w:rPr>
                <w:rFonts w:ascii="宋体" w:hAnsi="宋体"/>
                <w:color w:val="auto"/>
                <w:szCs w:val="21"/>
                <w:highlight w:val="none"/>
              </w:rPr>
            </w:pPr>
          </w:p>
        </w:tc>
        <w:tc>
          <w:tcPr>
            <w:tcW w:w="1065" w:type="dxa"/>
            <w:noWrap w:val="0"/>
            <w:vAlign w:val="top"/>
          </w:tcPr>
          <w:p w14:paraId="42C12248">
            <w:pPr>
              <w:spacing w:line="400" w:lineRule="exact"/>
              <w:jc w:val="center"/>
              <w:rPr>
                <w:rFonts w:ascii="宋体" w:hAnsi="宋体"/>
                <w:color w:val="auto"/>
                <w:szCs w:val="21"/>
                <w:highlight w:val="none"/>
              </w:rPr>
            </w:pPr>
          </w:p>
        </w:tc>
        <w:tc>
          <w:tcPr>
            <w:tcW w:w="1065" w:type="dxa"/>
            <w:noWrap w:val="0"/>
            <w:vAlign w:val="top"/>
          </w:tcPr>
          <w:p w14:paraId="0F548EF5">
            <w:pPr>
              <w:spacing w:line="400" w:lineRule="exact"/>
              <w:jc w:val="center"/>
              <w:rPr>
                <w:rFonts w:ascii="宋体" w:hAnsi="宋体"/>
                <w:color w:val="auto"/>
                <w:szCs w:val="21"/>
                <w:highlight w:val="none"/>
              </w:rPr>
            </w:pPr>
          </w:p>
        </w:tc>
        <w:tc>
          <w:tcPr>
            <w:tcW w:w="1065" w:type="dxa"/>
            <w:noWrap w:val="0"/>
            <w:vAlign w:val="top"/>
          </w:tcPr>
          <w:p w14:paraId="3885E84F">
            <w:pPr>
              <w:spacing w:line="400" w:lineRule="exact"/>
              <w:jc w:val="center"/>
              <w:rPr>
                <w:rFonts w:ascii="宋体" w:hAnsi="宋体"/>
                <w:color w:val="auto"/>
                <w:szCs w:val="21"/>
                <w:highlight w:val="none"/>
              </w:rPr>
            </w:pPr>
          </w:p>
        </w:tc>
        <w:tc>
          <w:tcPr>
            <w:tcW w:w="1064" w:type="dxa"/>
            <w:noWrap w:val="0"/>
            <w:vAlign w:val="top"/>
          </w:tcPr>
          <w:p w14:paraId="5DBF1920">
            <w:pPr>
              <w:spacing w:line="400" w:lineRule="exact"/>
              <w:jc w:val="center"/>
              <w:rPr>
                <w:rFonts w:ascii="宋体" w:hAnsi="宋体"/>
                <w:color w:val="auto"/>
                <w:szCs w:val="21"/>
                <w:highlight w:val="none"/>
              </w:rPr>
            </w:pPr>
          </w:p>
        </w:tc>
      </w:tr>
      <w:tr w14:paraId="780F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18737F9">
            <w:pPr>
              <w:spacing w:line="400" w:lineRule="exact"/>
              <w:jc w:val="center"/>
              <w:rPr>
                <w:rFonts w:ascii="宋体" w:hAnsi="宋体"/>
                <w:color w:val="auto"/>
                <w:szCs w:val="21"/>
                <w:highlight w:val="none"/>
              </w:rPr>
            </w:pPr>
          </w:p>
        </w:tc>
        <w:tc>
          <w:tcPr>
            <w:tcW w:w="1304" w:type="dxa"/>
            <w:noWrap w:val="0"/>
            <w:vAlign w:val="top"/>
          </w:tcPr>
          <w:p w14:paraId="45DBBD23">
            <w:pPr>
              <w:spacing w:line="400" w:lineRule="exact"/>
              <w:jc w:val="center"/>
              <w:rPr>
                <w:rFonts w:ascii="宋体" w:hAnsi="宋体"/>
                <w:color w:val="auto"/>
                <w:szCs w:val="21"/>
                <w:highlight w:val="none"/>
              </w:rPr>
            </w:pPr>
          </w:p>
        </w:tc>
        <w:tc>
          <w:tcPr>
            <w:tcW w:w="1065" w:type="dxa"/>
            <w:noWrap w:val="0"/>
            <w:vAlign w:val="top"/>
          </w:tcPr>
          <w:p w14:paraId="22BC9C35">
            <w:pPr>
              <w:spacing w:line="400" w:lineRule="exact"/>
              <w:jc w:val="center"/>
              <w:rPr>
                <w:rFonts w:ascii="宋体" w:hAnsi="宋体"/>
                <w:color w:val="auto"/>
                <w:szCs w:val="21"/>
                <w:highlight w:val="none"/>
              </w:rPr>
            </w:pPr>
          </w:p>
        </w:tc>
        <w:tc>
          <w:tcPr>
            <w:tcW w:w="1065" w:type="dxa"/>
            <w:noWrap w:val="0"/>
            <w:vAlign w:val="top"/>
          </w:tcPr>
          <w:p w14:paraId="68CA6371">
            <w:pPr>
              <w:spacing w:line="400" w:lineRule="exact"/>
              <w:jc w:val="center"/>
              <w:rPr>
                <w:rFonts w:ascii="宋体" w:hAnsi="宋体"/>
                <w:color w:val="auto"/>
                <w:szCs w:val="21"/>
                <w:highlight w:val="none"/>
              </w:rPr>
            </w:pPr>
          </w:p>
        </w:tc>
        <w:tc>
          <w:tcPr>
            <w:tcW w:w="1065" w:type="dxa"/>
            <w:noWrap w:val="0"/>
            <w:vAlign w:val="top"/>
          </w:tcPr>
          <w:p w14:paraId="59DB27E8">
            <w:pPr>
              <w:spacing w:line="400" w:lineRule="exact"/>
              <w:jc w:val="center"/>
              <w:rPr>
                <w:rFonts w:ascii="宋体" w:hAnsi="宋体"/>
                <w:color w:val="auto"/>
                <w:szCs w:val="21"/>
                <w:highlight w:val="none"/>
              </w:rPr>
            </w:pPr>
          </w:p>
        </w:tc>
        <w:tc>
          <w:tcPr>
            <w:tcW w:w="1065" w:type="dxa"/>
            <w:noWrap w:val="0"/>
            <w:vAlign w:val="top"/>
          </w:tcPr>
          <w:p w14:paraId="56371484">
            <w:pPr>
              <w:spacing w:line="400" w:lineRule="exact"/>
              <w:jc w:val="center"/>
              <w:rPr>
                <w:rFonts w:ascii="宋体" w:hAnsi="宋体"/>
                <w:color w:val="auto"/>
                <w:szCs w:val="21"/>
                <w:highlight w:val="none"/>
              </w:rPr>
            </w:pPr>
          </w:p>
        </w:tc>
        <w:tc>
          <w:tcPr>
            <w:tcW w:w="1065" w:type="dxa"/>
            <w:noWrap w:val="0"/>
            <w:vAlign w:val="top"/>
          </w:tcPr>
          <w:p w14:paraId="64D219F7">
            <w:pPr>
              <w:spacing w:line="400" w:lineRule="exact"/>
              <w:jc w:val="center"/>
              <w:rPr>
                <w:rFonts w:ascii="宋体" w:hAnsi="宋体"/>
                <w:color w:val="auto"/>
                <w:szCs w:val="21"/>
                <w:highlight w:val="none"/>
              </w:rPr>
            </w:pPr>
          </w:p>
        </w:tc>
        <w:tc>
          <w:tcPr>
            <w:tcW w:w="1064" w:type="dxa"/>
            <w:noWrap w:val="0"/>
            <w:vAlign w:val="top"/>
          </w:tcPr>
          <w:p w14:paraId="6A69CD46">
            <w:pPr>
              <w:spacing w:line="400" w:lineRule="exact"/>
              <w:jc w:val="center"/>
              <w:rPr>
                <w:rFonts w:ascii="宋体" w:hAnsi="宋体"/>
                <w:color w:val="auto"/>
                <w:szCs w:val="21"/>
                <w:highlight w:val="none"/>
              </w:rPr>
            </w:pPr>
          </w:p>
        </w:tc>
      </w:tr>
      <w:tr w14:paraId="12CF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81E5929">
            <w:pPr>
              <w:spacing w:line="400" w:lineRule="exact"/>
              <w:jc w:val="center"/>
              <w:rPr>
                <w:rFonts w:ascii="宋体" w:hAnsi="宋体"/>
                <w:color w:val="auto"/>
                <w:szCs w:val="21"/>
                <w:highlight w:val="none"/>
              </w:rPr>
            </w:pPr>
          </w:p>
        </w:tc>
        <w:tc>
          <w:tcPr>
            <w:tcW w:w="1304" w:type="dxa"/>
            <w:noWrap w:val="0"/>
            <w:vAlign w:val="top"/>
          </w:tcPr>
          <w:p w14:paraId="28106341">
            <w:pPr>
              <w:spacing w:line="400" w:lineRule="exact"/>
              <w:jc w:val="center"/>
              <w:rPr>
                <w:rFonts w:ascii="宋体" w:hAnsi="宋体"/>
                <w:color w:val="auto"/>
                <w:szCs w:val="21"/>
                <w:highlight w:val="none"/>
              </w:rPr>
            </w:pPr>
          </w:p>
        </w:tc>
        <w:tc>
          <w:tcPr>
            <w:tcW w:w="1065" w:type="dxa"/>
            <w:noWrap w:val="0"/>
            <w:vAlign w:val="top"/>
          </w:tcPr>
          <w:p w14:paraId="04761172">
            <w:pPr>
              <w:spacing w:line="400" w:lineRule="exact"/>
              <w:jc w:val="center"/>
              <w:rPr>
                <w:rFonts w:ascii="宋体" w:hAnsi="宋体"/>
                <w:color w:val="auto"/>
                <w:szCs w:val="21"/>
                <w:highlight w:val="none"/>
              </w:rPr>
            </w:pPr>
          </w:p>
        </w:tc>
        <w:tc>
          <w:tcPr>
            <w:tcW w:w="1065" w:type="dxa"/>
            <w:noWrap w:val="0"/>
            <w:vAlign w:val="top"/>
          </w:tcPr>
          <w:p w14:paraId="5055F19F">
            <w:pPr>
              <w:spacing w:line="400" w:lineRule="exact"/>
              <w:jc w:val="center"/>
              <w:rPr>
                <w:rFonts w:ascii="宋体" w:hAnsi="宋体"/>
                <w:color w:val="auto"/>
                <w:szCs w:val="21"/>
                <w:highlight w:val="none"/>
              </w:rPr>
            </w:pPr>
          </w:p>
        </w:tc>
        <w:tc>
          <w:tcPr>
            <w:tcW w:w="1065" w:type="dxa"/>
            <w:noWrap w:val="0"/>
            <w:vAlign w:val="top"/>
          </w:tcPr>
          <w:p w14:paraId="1D93D896">
            <w:pPr>
              <w:spacing w:line="400" w:lineRule="exact"/>
              <w:jc w:val="center"/>
              <w:rPr>
                <w:rFonts w:ascii="宋体" w:hAnsi="宋体"/>
                <w:color w:val="auto"/>
                <w:szCs w:val="21"/>
                <w:highlight w:val="none"/>
              </w:rPr>
            </w:pPr>
          </w:p>
        </w:tc>
        <w:tc>
          <w:tcPr>
            <w:tcW w:w="1065" w:type="dxa"/>
            <w:noWrap w:val="0"/>
            <w:vAlign w:val="top"/>
          </w:tcPr>
          <w:p w14:paraId="506E3E9F">
            <w:pPr>
              <w:spacing w:line="400" w:lineRule="exact"/>
              <w:jc w:val="center"/>
              <w:rPr>
                <w:rFonts w:ascii="宋体" w:hAnsi="宋体"/>
                <w:color w:val="auto"/>
                <w:szCs w:val="21"/>
                <w:highlight w:val="none"/>
              </w:rPr>
            </w:pPr>
          </w:p>
        </w:tc>
        <w:tc>
          <w:tcPr>
            <w:tcW w:w="1065" w:type="dxa"/>
            <w:noWrap w:val="0"/>
            <w:vAlign w:val="top"/>
          </w:tcPr>
          <w:p w14:paraId="4D378F4A">
            <w:pPr>
              <w:spacing w:line="400" w:lineRule="exact"/>
              <w:jc w:val="center"/>
              <w:rPr>
                <w:rFonts w:ascii="宋体" w:hAnsi="宋体"/>
                <w:color w:val="auto"/>
                <w:szCs w:val="21"/>
                <w:highlight w:val="none"/>
              </w:rPr>
            </w:pPr>
          </w:p>
        </w:tc>
        <w:tc>
          <w:tcPr>
            <w:tcW w:w="1064" w:type="dxa"/>
            <w:noWrap w:val="0"/>
            <w:vAlign w:val="top"/>
          </w:tcPr>
          <w:p w14:paraId="3486897B">
            <w:pPr>
              <w:spacing w:line="400" w:lineRule="exact"/>
              <w:jc w:val="center"/>
              <w:rPr>
                <w:rFonts w:ascii="宋体" w:hAnsi="宋体"/>
                <w:color w:val="auto"/>
                <w:szCs w:val="21"/>
                <w:highlight w:val="none"/>
              </w:rPr>
            </w:pPr>
          </w:p>
        </w:tc>
      </w:tr>
      <w:tr w14:paraId="746F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40447B3">
            <w:pPr>
              <w:spacing w:line="400" w:lineRule="exact"/>
              <w:jc w:val="center"/>
              <w:rPr>
                <w:rFonts w:ascii="宋体" w:hAnsi="宋体"/>
                <w:color w:val="auto"/>
                <w:szCs w:val="21"/>
                <w:highlight w:val="none"/>
              </w:rPr>
            </w:pPr>
          </w:p>
        </w:tc>
        <w:tc>
          <w:tcPr>
            <w:tcW w:w="1304" w:type="dxa"/>
            <w:noWrap w:val="0"/>
            <w:vAlign w:val="top"/>
          </w:tcPr>
          <w:p w14:paraId="1B879772">
            <w:pPr>
              <w:spacing w:line="400" w:lineRule="exact"/>
              <w:jc w:val="center"/>
              <w:rPr>
                <w:rFonts w:ascii="宋体" w:hAnsi="宋体"/>
                <w:color w:val="auto"/>
                <w:szCs w:val="21"/>
                <w:highlight w:val="none"/>
              </w:rPr>
            </w:pPr>
          </w:p>
        </w:tc>
        <w:tc>
          <w:tcPr>
            <w:tcW w:w="1065" w:type="dxa"/>
            <w:noWrap w:val="0"/>
            <w:vAlign w:val="top"/>
          </w:tcPr>
          <w:p w14:paraId="5EFBC3FA">
            <w:pPr>
              <w:spacing w:line="400" w:lineRule="exact"/>
              <w:jc w:val="center"/>
              <w:rPr>
                <w:rFonts w:ascii="宋体" w:hAnsi="宋体"/>
                <w:color w:val="auto"/>
                <w:szCs w:val="21"/>
                <w:highlight w:val="none"/>
              </w:rPr>
            </w:pPr>
          </w:p>
        </w:tc>
        <w:tc>
          <w:tcPr>
            <w:tcW w:w="1065" w:type="dxa"/>
            <w:noWrap w:val="0"/>
            <w:vAlign w:val="top"/>
          </w:tcPr>
          <w:p w14:paraId="1F974E6A">
            <w:pPr>
              <w:spacing w:line="400" w:lineRule="exact"/>
              <w:jc w:val="center"/>
              <w:rPr>
                <w:rFonts w:ascii="宋体" w:hAnsi="宋体"/>
                <w:color w:val="auto"/>
                <w:szCs w:val="21"/>
                <w:highlight w:val="none"/>
              </w:rPr>
            </w:pPr>
          </w:p>
        </w:tc>
        <w:tc>
          <w:tcPr>
            <w:tcW w:w="1065" w:type="dxa"/>
            <w:noWrap w:val="0"/>
            <w:vAlign w:val="top"/>
          </w:tcPr>
          <w:p w14:paraId="34888356">
            <w:pPr>
              <w:spacing w:line="400" w:lineRule="exact"/>
              <w:jc w:val="center"/>
              <w:rPr>
                <w:rFonts w:ascii="宋体" w:hAnsi="宋体"/>
                <w:color w:val="auto"/>
                <w:szCs w:val="21"/>
                <w:highlight w:val="none"/>
              </w:rPr>
            </w:pPr>
          </w:p>
        </w:tc>
        <w:tc>
          <w:tcPr>
            <w:tcW w:w="1065" w:type="dxa"/>
            <w:noWrap w:val="0"/>
            <w:vAlign w:val="top"/>
          </w:tcPr>
          <w:p w14:paraId="0837153D">
            <w:pPr>
              <w:spacing w:line="400" w:lineRule="exact"/>
              <w:jc w:val="center"/>
              <w:rPr>
                <w:rFonts w:ascii="宋体" w:hAnsi="宋体"/>
                <w:color w:val="auto"/>
                <w:szCs w:val="21"/>
                <w:highlight w:val="none"/>
              </w:rPr>
            </w:pPr>
          </w:p>
        </w:tc>
        <w:tc>
          <w:tcPr>
            <w:tcW w:w="1065" w:type="dxa"/>
            <w:noWrap w:val="0"/>
            <w:vAlign w:val="top"/>
          </w:tcPr>
          <w:p w14:paraId="77CFAD4A">
            <w:pPr>
              <w:spacing w:line="400" w:lineRule="exact"/>
              <w:jc w:val="center"/>
              <w:rPr>
                <w:rFonts w:ascii="宋体" w:hAnsi="宋体"/>
                <w:color w:val="auto"/>
                <w:szCs w:val="21"/>
                <w:highlight w:val="none"/>
              </w:rPr>
            </w:pPr>
          </w:p>
        </w:tc>
        <w:tc>
          <w:tcPr>
            <w:tcW w:w="1064" w:type="dxa"/>
            <w:noWrap w:val="0"/>
            <w:vAlign w:val="top"/>
          </w:tcPr>
          <w:p w14:paraId="4199A947">
            <w:pPr>
              <w:spacing w:line="400" w:lineRule="exact"/>
              <w:jc w:val="center"/>
              <w:rPr>
                <w:rFonts w:ascii="宋体" w:hAnsi="宋体"/>
                <w:color w:val="auto"/>
                <w:szCs w:val="21"/>
                <w:highlight w:val="none"/>
              </w:rPr>
            </w:pPr>
          </w:p>
        </w:tc>
      </w:tr>
      <w:tr w14:paraId="3350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3F681D8">
            <w:pPr>
              <w:spacing w:line="400" w:lineRule="exact"/>
              <w:jc w:val="center"/>
              <w:rPr>
                <w:rFonts w:ascii="宋体" w:hAnsi="宋体"/>
                <w:color w:val="auto"/>
                <w:szCs w:val="21"/>
                <w:highlight w:val="none"/>
              </w:rPr>
            </w:pPr>
          </w:p>
        </w:tc>
        <w:tc>
          <w:tcPr>
            <w:tcW w:w="1304" w:type="dxa"/>
            <w:noWrap w:val="0"/>
            <w:vAlign w:val="top"/>
          </w:tcPr>
          <w:p w14:paraId="671330E2">
            <w:pPr>
              <w:spacing w:line="400" w:lineRule="exact"/>
              <w:jc w:val="center"/>
              <w:rPr>
                <w:rFonts w:ascii="宋体" w:hAnsi="宋体"/>
                <w:color w:val="auto"/>
                <w:szCs w:val="21"/>
                <w:highlight w:val="none"/>
              </w:rPr>
            </w:pPr>
          </w:p>
        </w:tc>
        <w:tc>
          <w:tcPr>
            <w:tcW w:w="1065" w:type="dxa"/>
            <w:noWrap w:val="0"/>
            <w:vAlign w:val="top"/>
          </w:tcPr>
          <w:p w14:paraId="669AE8DB">
            <w:pPr>
              <w:spacing w:line="400" w:lineRule="exact"/>
              <w:jc w:val="center"/>
              <w:rPr>
                <w:rFonts w:ascii="宋体" w:hAnsi="宋体"/>
                <w:color w:val="auto"/>
                <w:szCs w:val="21"/>
                <w:highlight w:val="none"/>
              </w:rPr>
            </w:pPr>
          </w:p>
        </w:tc>
        <w:tc>
          <w:tcPr>
            <w:tcW w:w="1065" w:type="dxa"/>
            <w:noWrap w:val="0"/>
            <w:vAlign w:val="top"/>
          </w:tcPr>
          <w:p w14:paraId="31B0BF41">
            <w:pPr>
              <w:spacing w:line="400" w:lineRule="exact"/>
              <w:jc w:val="center"/>
              <w:rPr>
                <w:rFonts w:ascii="宋体" w:hAnsi="宋体"/>
                <w:color w:val="auto"/>
                <w:szCs w:val="21"/>
                <w:highlight w:val="none"/>
              </w:rPr>
            </w:pPr>
          </w:p>
        </w:tc>
        <w:tc>
          <w:tcPr>
            <w:tcW w:w="1065" w:type="dxa"/>
            <w:noWrap w:val="0"/>
            <w:vAlign w:val="top"/>
          </w:tcPr>
          <w:p w14:paraId="5F8664A0">
            <w:pPr>
              <w:spacing w:line="400" w:lineRule="exact"/>
              <w:jc w:val="center"/>
              <w:rPr>
                <w:rFonts w:ascii="宋体" w:hAnsi="宋体"/>
                <w:color w:val="auto"/>
                <w:szCs w:val="21"/>
                <w:highlight w:val="none"/>
              </w:rPr>
            </w:pPr>
          </w:p>
        </w:tc>
        <w:tc>
          <w:tcPr>
            <w:tcW w:w="1065" w:type="dxa"/>
            <w:noWrap w:val="0"/>
            <w:vAlign w:val="top"/>
          </w:tcPr>
          <w:p w14:paraId="27A69B70">
            <w:pPr>
              <w:spacing w:line="400" w:lineRule="exact"/>
              <w:jc w:val="center"/>
              <w:rPr>
                <w:rFonts w:ascii="宋体" w:hAnsi="宋体"/>
                <w:color w:val="auto"/>
                <w:szCs w:val="21"/>
                <w:highlight w:val="none"/>
              </w:rPr>
            </w:pPr>
          </w:p>
        </w:tc>
        <w:tc>
          <w:tcPr>
            <w:tcW w:w="1065" w:type="dxa"/>
            <w:noWrap w:val="0"/>
            <w:vAlign w:val="top"/>
          </w:tcPr>
          <w:p w14:paraId="52C26987">
            <w:pPr>
              <w:spacing w:line="400" w:lineRule="exact"/>
              <w:jc w:val="center"/>
              <w:rPr>
                <w:rFonts w:ascii="宋体" w:hAnsi="宋体"/>
                <w:color w:val="auto"/>
                <w:szCs w:val="21"/>
                <w:highlight w:val="none"/>
              </w:rPr>
            </w:pPr>
          </w:p>
        </w:tc>
        <w:tc>
          <w:tcPr>
            <w:tcW w:w="1064" w:type="dxa"/>
            <w:noWrap w:val="0"/>
            <w:vAlign w:val="top"/>
          </w:tcPr>
          <w:p w14:paraId="0613A66D">
            <w:pPr>
              <w:spacing w:line="400" w:lineRule="exact"/>
              <w:jc w:val="center"/>
              <w:rPr>
                <w:rFonts w:ascii="宋体" w:hAnsi="宋体"/>
                <w:color w:val="auto"/>
                <w:szCs w:val="21"/>
                <w:highlight w:val="none"/>
              </w:rPr>
            </w:pPr>
          </w:p>
        </w:tc>
      </w:tr>
      <w:tr w14:paraId="7BFC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A42E9F4">
            <w:pPr>
              <w:spacing w:line="400" w:lineRule="exact"/>
              <w:jc w:val="center"/>
              <w:rPr>
                <w:rFonts w:ascii="宋体" w:hAnsi="宋体"/>
                <w:color w:val="auto"/>
                <w:szCs w:val="21"/>
                <w:highlight w:val="none"/>
              </w:rPr>
            </w:pPr>
          </w:p>
        </w:tc>
        <w:tc>
          <w:tcPr>
            <w:tcW w:w="1304" w:type="dxa"/>
            <w:noWrap w:val="0"/>
            <w:vAlign w:val="top"/>
          </w:tcPr>
          <w:p w14:paraId="4851B0CF">
            <w:pPr>
              <w:spacing w:line="400" w:lineRule="exact"/>
              <w:jc w:val="center"/>
              <w:rPr>
                <w:rFonts w:ascii="宋体" w:hAnsi="宋体"/>
                <w:color w:val="auto"/>
                <w:szCs w:val="21"/>
                <w:highlight w:val="none"/>
              </w:rPr>
            </w:pPr>
          </w:p>
        </w:tc>
        <w:tc>
          <w:tcPr>
            <w:tcW w:w="1065" w:type="dxa"/>
            <w:noWrap w:val="0"/>
            <w:vAlign w:val="top"/>
          </w:tcPr>
          <w:p w14:paraId="542C752F">
            <w:pPr>
              <w:spacing w:line="400" w:lineRule="exact"/>
              <w:jc w:val="center"/>
              <w:rPr>
                <w:rFonts w:ascii="宋体" w:hAnsi="宋体"/>
                <w:color w:val="auto"/>
                <w:szCs w:val="21"/>
                <w:highlight w:val="none"/>
              </w:rPr>
            </w:pPr>
          </w:p>
        </w:tc>
        <w:tc>
          <w:tcPr>
            <w:tcW w:w="1065" w:type="dxa"/>
            <w:noWrap w:val="0"/>
            <w:vAlign w:val="top"/>
          </w:tcPr>
          <w:p w14:paraId="4F0BD7AF">
            <w:pPr>
              <w:spacing w:line="400" w:lineRule="exact"/>
              <w:jc w:val="center"/>
              <w:rPr>
                <w:rFonts w:ascii="宋体" w:hAnsi="宋体"/>
                <w:color w:val="auto"/>
                <w:szCs w:val="21"/>
                <w:highlight w:val="none"/>
              </w:rPr>
            </w:pPr>
          </w:p>
        </w:tc>
        <w:tc>
          <w:tcPr>
            <w:tcW w:w="1065" w:type="dxa"/>
            <w:noWrap w:val="0"/>
            <w:vAlign w:val="top"/>
          </w:tcPr>
          <w:p w14:paraId="5730B697">
            <w:pPr>
              <w:spacing w:line="400" w:lineRule="exact"/>
              <w:jc w:val="center"/>
              <w:rPr>
                <w:rFonts w:ascii="宋体" w:hAnsi="宋体"/>
                <w:color w:val="auto"/>
                <w:szCs w:val="21"/>
                <w:highlight w:val="none"/>
              </w:rPr>
            </w:pPr>
          </w:p>
        </w:tc>
        <w:tc>
          <w:tcPr>
            <w:tcW w:w="1065" w:type="dxa"/>
            <w:noWrap w:val="0"/>
            <w:vAlign w:val="top"/>
          </w:tcPr>
          <w:p w14:paraId="3597EFE4">
            <w:pPr>
              <w:spacing w:line="400" w:lineRule="exact"/>
              <w:jc w:val="center"/>
              <w:rPr>
                <w:rFonts w:ascii="宋体" w:hAnsi="宋体"/>
                <w:color w:val="auto"/>
                <w:szCs w:val="21"/>
                <w:highlight w:val="none"/>
              </w:rPr>
            </w:pPr>
          </w:p>
        </w:tc>
        <w:tc>
          <w:tcPr>
            <w:tcW w:w="1065" w:type="dxa"/>
            <w:noWrap w:val="0"/>
            <w:vAlign w:val="top"/>
          </w:tcPr>
          <w:p w14:paraId="5F5FFEBC">
            <w:pPr>
              <w:spacing w:line="400" w:lineRule="exact"/>
              <w:jc w:val="center"/>
              <w:rPr>
                <w:rFonts w:ascii="宋体" w:hAnsi="宋体"/>
                <w:color w:val="auto"/>
                <w:szCs w:val="21"/>
                <w:highlight w:val="none"/>
              </w:rPr>
            </w:pPr>
          </w:p>
        </w:tc>
        <w:tc>
          <w:tcPr>
            <w:tcW w:w="1064" w:type="dxa"/>
            <w:noWrap w:val="0"/>
            <w:vAlign w:val="top"/>
          </w:tcPr>
          <w:p w14:paraId="0E89BFAF">
            <w:pPr>
              <w:spacing w:line="400" w:lineRule="exact"/>
              <w:jc w:val="center"/>
              <w:rPr>
                <w:rFonts w:ascii="宋体" w:hAnsi="宋体"/>
                <w:color w:val="auto"/>
                <w:szCs w:val="21"/>
                <w:highlight w:val="none"/>
              </w:rPr>
            </w:pPr>
          </w:p>
        </w:tc>
      </w:tr>
      <w:tr w14:paraId="407F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9E408D4">
            <w:pPr>
              <w:spacing w:line="400" w:lineRule="exact"/>
              <w:jc w:val="center"/>
              <w:rPr>
                <w:rFonts w:ascii="宋体" w:hAnsi="宋体"/>
                <w:color w:val="auto"/>
                <w:szCs w:val="21"/>
                <w:highlight w:val="none"/>
              </w:rPr>
            </w:pPr>
          </w:p>
        </w:tc>
        <w:tc>
          <w:tcPr>
            <w:tcW w:w="1304" w:type="dxa"/>
            <w:noWrap w:val="0"/>
            <w:vAlign w:val="top"/>
          </w:tcPr>
          <w:p w14:paraId="5B5E32B0">
            <w:pPr>
              <w:spacing w:line="400" w:lineRule="exact"/>
              <w:jc w:val="center"/>
              <w:rPr>
                <w:rFonts w:ascii="宋体" w:hAnsi="宋体"/>
                <w:color w:val="auto"/>
                <w:szCs w:val="21"/>
                <w:highlight w:val="none"/>
              </w:rPr>
            </w:pPr>
          </w:p>
        </w:tc>
        <w:tc>
          <w:tcPr>
            <w:tcW w:w="1065" w:type="dxa"/>
            <w:noWrap w:val="0"/>
            <w:vAlign w:val="top"/>
          </w:tcPr>
          <w:p w14:paraId="7DD0DDFA">
            <w:pPr>
              <w:spacing w:line="400" w:lineRule="exact"/>
              <w:jc w:val="center"/>
              <w:rPr>
                <w:rFonts w:ascii="宋体" w:hAnsi="宋体"/>
                <w:color w:val="auto"/>
                <w:szCs w:val="21"/>
                <w:highlight w:val="none"/>
              </w:rPr>
            </w:pPr>
          </w:p>
        </w:tc>
        <w:tc>
          <w:tcPr>
            <w:tcW w:w="1065" w:type="dxa"/>
            <w:noWrap w:val="0"/>
            <w:vAlign w:val="top"/>
          </w:tcPr>
          <w:p w14:paraId="445034DF">
            <w:pPr>
              <w:spacing w:line="400" w:lineRule="exact"/>
              <w:jc w:val="center"/>
              <w:rPr>
                <w:rFonts w:ascii="宋体" w:hAnsi="宋体"/>
                <w:color w:val="auto"/>
                <w:szCs w:val="21"/>
                <w:highlight w:val="none"/>
              </w:rPr>
            </w:pPr>
          </w:p>
        </w:tc>
        <w:tc>
          <w:tcPr>
            <w:tcW w:w="1065" w:type="dxa"/>
            <w:noWrap w:val="0"/>
            <w:vAlign w:val="top"/>
          </w:tcPr>
          <w:p w14:paraId="58D96450">
            <w:pPr>
              <w:spacing w:line="400" w:lineRule="exact"/>
              <w:jc w:val="center"/>
              <w:rPr>
                <w:rFonts w:ascii="宋体" w:hAnsi="宋体"/>
                <w:color w:val="auto"/>
                <w:szCs w:val="21"/>
                <w:highlight w:val="none"/>
              </w:rPr>
            </w:pPr>
          </w:p>
        </w:tc>
        <w:tc>
          <w:tcPr>
            <w:tcW w:w="1065" w:type="dxa"/>
            <w:noWrap w:val="0"/>
            <w:vAlign w:val="top"/>
          </w:tcPr>
          <w:p w14:paraId="613FB7D3">
            <w:pPr>
              <w:spacing w:line="400" w:lineRule="exact"/>
              <w:jc w:val="center"/>
              <w:rPr>
                <w:rFonts w:ascii="宋体" w:hAnsi="宋体"/>
                <w:color w:val="auto"/>
                <w:szCs w:val="21"/>
                <w:highlight w:val="none"/>
              </w:rPr>
            </w:pPr>
          </w:p>
        </w:tc>
        <w:tc>
          <w:tcPr>
            <w:tcW w:w="1065" w:type="dxa"/>
            <w:noWrap w:val="0"/>
            <w:vAlign w:val="top"/>
          </w:tcPr>
          <w:p w14:paraId="66E3212D">
            <w:pPr>
              <w:spacing w:line="400" w:lineRule="exact"/>
              <w:jc w:val="center"/>
              <w:rPr>
                <w:rFonts w:ascii="宋体" w:hAnsi="宋体"/>
                <w:color w:val="auto"/>
                <w:szCs w:val="21"/>
                <w:highlight w:val="none"/>
              </w:rPr>
            </w:pPr>
          </w:p>
        </w:tc>
        <w:tc>
          <w:tcPr>
            <w:tcW w:w="1064" w:type="dxa"/>
            <w:noWrap w:val="0"/>
            <w:vAlign w:val="top"/>
          </w:tcPr>
          <w:p w14:paraId="15DAF33A">
            <w:pPr>
              <w:spacing w:line="400" w:lineRule="exact"/>
              <w:jc w:val="center"/>
              <w:rPr>
                <w:rFonts w:ascii="宋体" w:hAnsi="宋体"/>
                <w:color w:val="auto"/>
                <w:szCs w:val="21"/>
                <w:highlight w:val="none"/>
              </w:rPr>
            </w:pPr>
          </w:p>
        </w:tc>
      </w:tr>
      <w:tr w14:paraId="42E9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F37E02F">
            <w:pPr>
              <w:spacing w:line="400" w:lineRule="exact"/>
              <w:jc w:val="center"/>
              <w:rPr>
                <w:rFonts w:ascii="宋体" w:hAnsi="宋体"/>
                <w:color w:val="auto"/>
                <w:szCs w:val="21"/>
                <w:highlight w:val="none"/>
              </w:rPr>
            </w:pPr>
          </w:p>
        </w:tc>
        <w:tc>
          <w:tcPr>
            <w:tcW w:w="1304" w:type="dxa"/>
            <w:noWrap w:val="0"/>
            <w:vAlign w:val="top"/>
          </w:tcPr>
          <w:p w14:paraId="03E37A70">
            <w:pPr>
              <w:spacing w:line="400" w:lineRule="exact"/>
              <w:jc w:val="center"/>
              <w:rPr>
                <w:rFonts w:ascii="宋体" w:hAnsi="宋体"/>
                <w:color w:val="auto"/>
                <w:szCs w:val="21"/>
                <w:highlight w:val="none"/>
              </w:rPr>
            </w:pPr>
          </w:p>
        </w:tc>
        <w:tc>
          <w:tcPr>
            <w:tcW w:w="1065" w:type="dxa"/>
            <w:noWrap w:val="0"/>
            <w:vAlign w:val="top"/>
          </w:tcPr>
          <w:p w14:paraId="73E691E3">
            <w:pPr>
              <w:spacing w:line="400" w:lineRule="exact"/>
              <w:jc w:val="center"/>
              <w:rPr>
                <w:rFonts w:ascii="宋体" w:hAnsi="宋体"/>
                <w:color w:val="auto"/>
                <w:szCs w:val="21"/>
                <w:highlight w:val="none"/>
              </w:rPr>
            </w:pPr>
          </w:p>
        </w:tc>
        <w:tc>
          <w:tcPr>
            <w:tcW w:w="1065" w:type="dxa"/>
            <w:noWrap w:val="0"/>
            <w:vAlign w:val="top"/>
          </w:tcPr>
          <w:p w14:paraId="3D56AE07">
            <w:pPr>
              <w:spacing w:line="400" w:lineRule="exact"/>
              <w:jc w:val="center"/>
              <w:rPr>
                <w:rFonts w:ascii="宋体" w:hAnsi="宋体"/>
                <w:color w:val="auto"/>
                <w:szCs w:val="21"/>
                <w:highlight w:val="none"/>
              </w:rPr>
            </w:pPr>
          </w:p>
        </w:tc>
        <w:tc>
          <w:tcPr>
            <w:tcW w:w="1065" w:type="dxa"/>
            <w:noWrap w:val="0"/>
            <w:vAlign w:val="top"/>
          </w:tcPr>
          <w:p w14:paraId="114A4FB1">
            <w:pPr>
              <w:spacing w:line="400" w:lineRule="exact"/>
              <w:jc w:val="center"/>
              <w:rPr>
                <w:rFonts w:ascii="宋体" w:hAnsi="宋体"/>
                <w:color w:val="auto"/>
                <w:szCs w:val="21"/>
                <w:highlight w:val="none"/>
              </w:rPr>
            </w:pPr>
          </w:p>
        </w:tc>
        <w:tc>
          <w:tcPr>
            <w:tcW w:w="1065" w:type="dxa"/>
            <w:noWrap w:val="0"/>
            <w:vAlign w:val="top"/>
          </w:tcPr>
          <w:p w14:paraId="2D53FDD6">
            <w:pPr>
              <w:spacing w:line="400" w:lineRule="exact"/>
              <w:jc w:val="center"/>
              <w:rPr>
                <w:rFonts w:ascii="宋体" w:hAnsi="宋体"/>
                <w:color w:val="auto"/>
                <w:szCs w:val="21"/>
                <w:highlight w:val="none"/>
              </w:rPr>
            </w:pPr>
          </w:p>
        </w:tc>
        <w:tc>
          <w:tcPr>
            <w:tcW w:w="1065" w:type="dxa"/>
            <w:noWrap w:val="0"/>
            <w:vAlign w:val="top"/>
          </w:tcPr>
          <w:p w14:paraId="58476CCE">
            <w:pPr>
              <w:spacing w:line="400" w:lineRule="exact"/>
              <w:jc w:val="center"/>
              <w:rPr>
                <w:rFonts w:ascii="宋体" w:hAnsi="宋体"/>
                <w:color w:val="auto"/>
                <w:szCs w:val="21"/>
                <w:highlight w:val="none"/>
              </w:rPr>
            </w:pPr>
          </w:p>
        </w:tc>
        <w:tc>
          <w:tcPr>
            <w:tcW w:w="1064" w:type="dxa"/>
            <w:noWrap w:val="0"/>
            <w:vAlign w:val="top"/>
          </w:tcPr>
          <w:p w14:paraId="5DB694FA">
            <w:pPr>
              <w:spacing w:line="400" w:lineRule="exact"/>
              <w:jc w:val="center"/>
              <w:rPr>
                <w:rFonts w:ascii="宋体" w:hAnsi="宋体"/>
                <w:color w:val="auto"/>
                <w:szCs w:val="21"/>
                <w:highlight w:val="none"/>
              </w:rPr>
            </w:pPr>
          </w:p>
        </w:tc>
      </w:tr>
      <w:tr w14:paraId="4197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02545E7">
            <w:pPr>
              <w:spacing w:line="400" w:lineRule="exact"/>
              <w:jc w:val="center"/>
              <w:rPr>
                <w:rFonts w:ascii="宋体" w:hAnsi="宋体"/>
                <w:color w:val="auto"/>
                <w:szCs w:val="21"/>
                <w:highlight w:val="none"/>
              </w:rPr>
            </w:pPr>
          </w:p>
        </w:tc>
        <w:tc>
          <w:tcPr>
            <w:tcW w:w="1304" w:type="dxa"/>
            <w:noWrap w:val="0"/>
            <w:vAlign w:val="top"/>
          </w:tcPr>
          <w:p w14:paraId="72C640AE">
            <w:pPr>
              <w:spacing w:line="400" w:lineRule="exact"/>
              <w:jc w:val="center"/>
              <w:rPr>
                <w:rFonts w:ascii="宋体" w:hAnsi="宋体"/>
                <w:color w:val="auto"/>
                <w:szCs w:val="21"/>
                <w:highlight w:val="none"/>
              </w:rPr>
            </w:pPr>
          </w:p>
        </w:tc>
        <w:tc>
          <w:tcPr>
            <w:tcW w:w="1065" w:type="dxa"/>
            <w:noWrap w:val="0"/>
            <w:vAlign w:val="top"/>
          </w:tcPr>
          <w:p w14:paraId="62275DE5">
            <w:pPr>
              <w:spacing w:line="400" w:lineRule="exact"/>
              <w:jc w:val="center"/>
              <w:rPr>
                <w:rFonts w:ascii="宋体" w:hAnsi="宋体"/>
                <w:color w:val="auto"/>
                <w:szCs w:val="21"/>
                <w:highlight w:val="none"/>
              </w:rPr>
            </w:pPr>
          </w:p>
        </w:tc>
        <w:tc>
          <w:tcPr>
            <w:tcW w:w="1065" w:type="dxa"/>
            <w:noWrap w:val="0"/>
            <w:vAlign w:val="top"/>
          </w:tcPr>
          <w:p w14:paraId="7918C970">
            <w:pPr>
              <w:spacing w:line="400" w:lineRule="exact"/>
              <w:jc w:val="center"/>
              <w:rPr>
                <w:rFonts w:ascii="宋体" w:hAnsi="宋体"/>
                <w:color w:val="auto"/>
                <w:szCs w:val="21"/>
                <w:highlight w:val="none"/>
              </w:rPr>
            </w:pPr>
          </w:p>
        </w:tc>
        <w:tc>
          <w:tcPr>
            <w:tcW w:w="1065" w:type="dxa"/>
            <w:noWrap w:val="0"/>
            <w:vAlign w:val="top"/>
          </w:tcPr>
          <w:p w14:paraId="079EF827">
            <w:pPr>
              <w:spacing w:line="400" w:lineRule="exact"/>
              <w:jc w:val="center"/>
              <w:rPr>
                <w:rFonts w:ascii="宋体" w:hAnsi="宋体"/>
                <w:color w:val="auto"/>
                <w:szCs w:val="21"/>
                <w:highlight w:val="none"/>
              </w:rPr>
            </w:pPr>
          </w:p>
        </w:tc>
        <w:tc>
          <w:tcPr>
            <w:tcW w:w="1065" w:type="dxa"/>
            <w:noWrap w:val="0"/>
            <w:vAlign w:val="top"/>
          </w:tcPr>
          <w:p w14:paraId="26176830">
            <w:pPr>
              <w:spacing w:line="400" w:lineRule="exact"/>
              <w:jc w:val="center"/>
              <w:rPr>
                <w:rFonts w:ascii="宋体" w:hAnsi="宋体"/>
                <w:color w:val="auto"/>
                <w:szCs w:val="21"/>
                <w:highlight w:val="none"/>
              </w:rPr>
            </w:pPr>
          </w:p>
        </w:tc>
        <w:tc>
          <w:tcPr>
            <w:tcW w:w="1065" w:type="dxa"/>
            <w:noWrap w:val="0"/>
            <w:vAlign w:val="top"/>
          </w:tcPr>
          <w:p w14:paraId="0363910D">
            <w:pPr>
              <w:spacing w:line="400" w:lineRule="exact"/>
              <w:jc w:val="center"/>
              <w:rPr>
                <w:rFonts w:ascii="宋体" w:hAnsi="宋体"/>
                <w:color w:val="auto"/>
                <w:szCs w:val="21"/>
                <w:highlight w:val="none"/>
              </w:rPr>
            </w:pPr>
          </w:p>
        </w:tc>
        <w:tc>
          <w:tcPr>
            <w:tcW w:w="1064" w:type="dxa"/>
            <w:noWrap w:val="0"/>
            <w:vAlign w:val="top"/>
          </w:tcPr>
          <w:p w14:paraId="2C42F067">
            <w:pPr>
              <w:spacing w:line="400" w:lineRule="exact"/>
              <w:jc w:val="center"/>
              <w:rPr>
                <w:rFonts w:ascii="宋体" w:hAnsi="宋体"/>
                <w:color w:val="auto"/>
                <w:szCs w:val="21"/>
                <w:highlight w:val="none"/>
              </w:rPr>
            </w:pPr>
          </w:p>
        </w:tc>
      </w:tr>
      <w:tr w14:paraId="5860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83A922E">
            <w:pPr>
              <w:spacing w:line="400" w:lineRule="exact"/>
              <w:jc w:val="center"/>
              <w:rPr>
                <w:rFonts w:ascii="宋体" w:hAnsi="宋体"/>
                <w:color w:val="auto"/>
                <w:szCs w:val="21"/>
                <w:highlight w:val="none"/>
              </w:rPr>
            </w:pPr>
          </w:p>
        </w:tc>
        <w:tc>
          <w:tcPr>
            <w:tcW w:w="1304" w:type="dxa"/>
            <w:noWrap w:val="0"/>
            <w:vAlign w:val="top"/>
          </w:tcPr>
          <w:p w14:paraId="4FF2B147">
            <w:pPr>
              <w:spacing w:line="400" w:lineRule="exact"/>
              <w:jc w:val="center"/>
              <w:rPr>
                <w:rFonts w:ascii="宋体" w:hAnsi="宋体"/>
                <w:color w:val="auto"/>
                <w:szCs w:val="21"/>
                <w:highlight w:val="none"/>
              </w:rPr>
            </w:pPr>
          </w:p>
        </w:tc>
        <w:tc>
          <w:tcPr>
            <w:tcW w:w="1065" w:type="dxa"/>
            <w:noWrap w:val="0"/>
            <w:vAlign w:val="top"/>
          </w:tcPr>
          <w:p w14:paraId="1419D5C4">
            <w:pPr>
              <w:spacing w:line="400" w:lineRule="exact"/>
              <w:jc w:val="center"/>
              <w:rPr>
                <w:rFonts w:ascii="宋体" w:hAnsi="宋体"/>
                <w:color w:val="auto"/>
                <w:szCs w:val="21"/>
                <w:highlight w:val="none"/>
              </w:rPr>
            </w:pPr>
          </w:p>
        </w:tc>
        <w:tc>
          <w:tcPr>
            <w:tcW w:w="1065" w:type="dxa"/>
            <w:noWrap w:val="0"/>
            <w:vAlign w:val="top"/>
          </w:tcPr>
          <w:p w14:paraId="08BE0890">
            <w:pPr>
              <w:spacing w:line="400" w:lineRule="exact"/>
              <w:jc w:val="center"/>
              <w:rPr>
                <w:rFonts w:ascii="宋体" w:hAnsi="宋体"/>
                <w:color w:val="auto"/>
                <w:szCs w:val="21"/>
                <w:highlight w:val="none"/>
              </w:rPr>
            </w:pPr>
          </w:p>
        </w:tc>
        <w:tc>
          <w:tcPr>
            <w:tcW w:w="1065" w:type="dxa"/>
            <w:noWrap w:val="0"/>
            <w:vAlign w:val="top"/>
          </w:tcPr>
          <w:p w14:paraId="7FC082C2">
            <w:pPr>
              <w:spacing w:line="400" w:lineRule="exact"/>
              <w:jc w:val="center"/>
              <w:rPr>
                <w:rFonts w:ascii="宋体" w:hAnsi="宋体"/>
                <w:color w:val="auto"/>
                <w:szCs w:val="21"/>
                <w:highlight w:val="none"/>
              </w:rPr>
            </w:pPr>
          </w:p>
        </w:tc>
        <w:tc>
          <w:tcPr>
            <w:tcW w:w="1065" w:type="dxa"/>
            <w:noWrap w:val="0"/>
            <w:vAlign w:val="top"/>
          </w:tcPr>
          <w:p w14:paraId="47931858">
            <w:pPr>
              <w:spacing w:line="400" w:lineRule="exact"/>
              <w:jc w:val="center"/>
              <w:rPr>
                <w:rFonts w:ascii="宋体" w:hAnsi="宋体"/>
                <w:color w:val="auto"/>
                <w:szCs w:val="21"/>
                <w:highlight w:val="none"/>
              </w:rPr>
            </w:pPr>
          </w:p>
        </w:tc>
        <w:tc>
          <w:tcPr>
            <w:tcW w:w="1065" w:type="dxa"/>
            <w:noWrap w:val="0"/>
            <w:vAlign w:val="top"/>
          </w:tcPr>
          <w:p w14:paraId="26D1BD47">
            <w:pPr>
              <w:spacing w:line="400" w:lineRule="exact"/>
              <w:jc w:val="center"/>
              <w:rPr>
                <w:rFonts w:ascii="宋体" w:hAnsi="宋体"/>
                <w:color w:val="auto"/>
                <w:szCs w:val="21"/>
                <w:highlight w:val="none"/>
              </w:rPr>
            </w:pPr>
          </w:p>
        </w:tc>
        <w:tc>
          <w:tcPr>
            <w:tcW w:w="1064" w:type="dxa"/>
            <w:noWrap w:val="0"/>
            <w:vAlign w:val="top"/>
          </w:tcPr>
          <w:p w14:paraId="7DA7AB6A">
            <w:pPr>
              <w:spacing w:line="400" w:lineRule="exact"/>
              <w:jc w:val="center"/>
              <w:rPr>
                <w:rFonts w:ascii="宋体" w:hAnsi="宋体"/>
                <w:color w:val="auto"/>
                <w:szCs w:val="21"/>
                <w:highlight w:val="none"/>
              </w:rPr>
            </w:pPr>
          </w:p>
        </w:tc>
      </w:tr>
      <w:tr w14:paraId="6DEA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73261E7">
            <w:pPr>
              <w:spacing w:line="400" w:lineRule="exact"/>
              <w:jc w:val="center"/>
              <w:rPr>
                <w:rFonts w:ascii="宋体" w:hAnsi="宋体"/>
                <w:color w:val="auto"/>
                <w:szCs w:val="21"/>
                <w:highlight w:val="none"/>
              </w:rPr>
            </w:pPr>
          </w:p>
        </w:tc>
        <w:tc>
          <w:tcPr>
            <w:tcW w:w="1304" w:type="dxa"/>
            <w:noWrap w:val="0"/>
            <w:vAlign w:val="top"/>
          </w:tcPr>
          <w:p w14:paraId="3A6846F8">
            <w:pPr>
              <w:spacing w:line="400" w:lineRule="exact"/>
              <w:jc w:val="center"/>
              <w:rPr>
                <w:rFonts w:ascii="宋体" w:hAnsi="宋体"/>
                <w:color w:val="auto"/>
                <w:szCs w:val="21"/>
                <w:highlight w:val="none"/>
              </w:rPr>
            </w:pPr>
          </w:p>
        </w:tc>
        <w:tc>
          <w:tcPr>
            <w:tcW w:w="1065" w:type="dxa"/>
            <w:noWrap w:val="0"/>
            <w:vAlign w:val="top"/>
          </w:tcPr>
          <w:p w14:paraId="748E5D9A">
            <w:pPr>
              <w:spacing w:line="400" w:lineRule="exact"/>
              <w:jc w:val="center"/>
              <w:rPr>
                <w:rFonts w:ascii="宋体" w:hAnsi="宋体"/>
                <w:color w:val="auto"/>
                <w:szCs w:val="21"/>
                <w:highlight w:val="none"/>
              </w:rPr>
            </w:pPr>
          </w:p>
        </w:tc>
        <w:tc>
          <w:tcPr>
            <w:tcW w:w="1065" w:type="dxa"/>
            <w:noWrap w:val="0"/>
            <w:vAlign w:val="top"/>
          </w:tcPr>
          <w:p w14:paraId="454B2FE1">
            <w:pPr>
              <w:spacing w:line="400" w:lineRule="exact"/>
              <w:jc w:val="center"/>
              <w:rPr>
                <w:rFonts w:ascii="宋体" w:hAnsi="宋体"/>
                <w:color w:val="auto"/>
                <w:szCs w:val="21"/>
                <w:highlight w:val="none"/>
              </w:rPr>
            </w:pPr>
          </w:p>
        </w:tc>
        <w:tc>
          <w:tcPr>
            <w:tcW w:w="1065" w:type="dxa"/>
            <w:noWrap w:val="0"/>
            <w:vAlign w:val="top"/>
          </w:tcPr>
          <w:p w14:paraId="20948D2F">
            <w:pPr>
              <w:spacing w:line="400" w:lineRule="exact"/>
              <w:jc w:val="center"/>
              <w:rPr>
                <w:rFonts w:ascii="宋体" w:hAnsi="宋体"/>
                <w:color w:val="auto"/>
                <w:szCs w:val="21"/>
                <w:highlight w:val="none"/>
              </w:rPr>
            </w:pPr>
          </w:p>
        </w:tc>
        <w:tc>
          <w:tcPr>
            <w:tcW w:w="1065" w:type="dxa"/>
            <w:noWrap w:val="0"/>
            <w:vAlign w:val="top"/>
          </w:tcPr>
          <w:p w14:paraId="4867463E">
            <w:pPr>
              <w:spacing w:line="400" w:lineRule="exact"/>
              <w:jc w:val="center"/>
              <w:rPr>
                <w:rFonts w:ascii="宋体" w:hAnsi="宋体"/>
                <w:color w:val="auto"/>
                <w:szCs w:val="21"/>
                <w:highlight w:val="none"/>
              </w:rPr>
            </w:pPr>
          </w:p>
        </w:tc>
        <w:tc>
          <w:tcPr>
            <w:tcW w:w="1065" w:type="dxa"/>
            <w:noWrap w:val="0"/>
            <w:vAlign w:val="top"/>
          </w:tcPr>
          <w:p w14:paraId="5CDD86FA">
            <w:pPr>
              <w:spacing w:line="400" w:lineRule="exact"/>
              <w:jc w:val="center"/>
              <w:rPr>
                <w:rFonts w:ascii="宋体" w:hAnsi="宋体"/>
                <w:color w:val="auto"/>
                <w:szCs w:val="21"/>
                <w:highlight w:val="none"/>
              </w:rPr>
            </w:pPr>
          </w:p>
        </w:tc>
        <w:tc>
          <w:tcPr>
            <w:tcW w:w="1064" w:type="dxa"/>
            <w:noWrap w:val="0"/>
            <w:vAlign w:val="top"/>
          </w:tcPr>
          <w:p w14:paraId="74124423">
            <w:pPr>
              <w:spacing w:line="400" w:lineRule="exact"/>
              <w:jc w:val="center"/>
              <w:rPr>
                <w:rFonts w:ascii="宋体" w:hAnsi="宋体"/>
                <w:color w:val="auto"/>
                <w:szCs w:val="21"/>
                <w:highlight w:val="none"/>
              </w:rPr>
            </w:pPr>
          </w:p>
        </w:tc>
      </w:tr>
      <w:tr w14:paraId="7FB6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7D1A1C9">
            <w:pPr>
              <w:spacing w:line="400" w:lineRule="exact"/>
              <w:jc w:val="center"/>
              <w:rPr>
                <w:rFonts w:ascii="宋体" w:hAnsi="宋体"/>
                <w:color w:val="auto"/>
                <w:szCs w:val="21"/>
                <w:highlight w:val="none"/>
              </w:rPr>
            </w:pPr>
          </w:p>
        </w:tc>
        <w:tc>
          <w:tcPr>
            <w:tcW w:w="1304" w:type="dxa"/>
            <w:noWrap w:val="0"/>
            <w:vAlign w:val="top"/>
          </w:tcPr>
          <w:p w14:paraId="18644F39">
            <w:pPr>
              <w:spacing w:line="400" w:lineRule="exact"/>
              <w:jc w:val="center"/>
              <w:rPr>
                <w:rFonts w:ascii="宋体" w:hAnsi="宋体"/>
                <w:color w:val="auto"/>
                <w:szCs w:val="21"/>
                <w:highlight w:val="none"/>
              </w:rPr>
            </w:pPr>
          </w:p>
        </w:tc>
        <w:tc>
          <w:tcPr>
            <w:tcW w:w="1065" w:type="dxa"/>
            <w:noWrap w:val="0"/>
            <w:vAlign w:val="top"/>
          </w:tcPr>
          <w:p w14:paraId="52915415">
            <w:pPr>
              <w:spacing w:line="400" w:lineRule="exact"/>
              <w:jc w:val="center"/>
              <w:rPr>
                <w:rFonts w:ascii="宋体" w:hAnsi="宋体"/>
                <w:color w:val="auto"/>
                <w:szCs w:val="21"/>
                <w:highlight w:val="none"/>
              </w:rPr>
            </w:pPr>
          </w:p>
        </w:tc>
        <w:tc>
          <w:tcPr>
            <w:tcW w:w="1065" w:type="dxa"/>
            <w:noWrap w:val="0"/>
            <w:vAlign w:val="top"/>
          </w:tcPr>
          <w:p w14:paraId="4CE04853">
            <w:pPr>
              <w:spacing w:line="400" w:lineRule="exact"/>
              <w:jc w:val="center"/>
              <w:rPr>
                <w:rFonts w:ascii="宋体" w:hAnsi="宋体"/>
                <w:color w:val="auto"/>
                <w:szCs w:val="21"/>
                <w:highlight w:val="none"/>
              </w:rPr>
            </w:pPr>
          </w:p>
        </w:tc>
        <w:tc>
          <w:tcPr>
            <w:tcW w:w="1065" w:type="dxa"/>
            <w:noWrap w:val="0"/>
            <w:vAlign w:val="top"/>
          </w:tcPr>
          <w:p w14:paraId="0AF00364">
            <w:pPr>
              <w:spacing w:line="400" w:lineRule="exact"/>
              <w:jc w:val="center"/>
              <w:rPr>
                <w:rFonts w:ascii="宋体" w:hAnsi="宋体"/>
                <w:color w:val="auto"/>
                <w:szCs w:val="21"/>
                <w:highlight w:val="none"/>
              </w:rPr>
            </w:pPr>
          </w:p>
        </w:tc>
        <w:tc>
          <w:tcPr>
            <w:tcW w:w="1065" w:type="dxa"/>
            <w:noWrap w:val="0"/>
            <w:vAlign w:val="top"/>
          </w:tcPr>
          <w:p w14:paraId="253B845B">
            <w:pPr>
              <w:spacing w:line="400" w:lineRule="exact"/>
              <w:jc w:val="center"/>
              <w:rPr>
                <w:rFonts w:ascii="宋体" w:hAnsi="宋体"/>
                <w:color w:val="auto"/>
                <w:szCs w:val="21"/>
                <w:highlight w:val="none"/>
              </w:rPr>
            </w:pPr>
          </w:p>
        </w:tc>
        <w:tc>
          <w:tcPr>
            <w:tcW w:w="1065" w:type="dxa"/>
            <w:noWrap w:val="0"/>
            <w:vAlign w:val="top"/>
          </w:tcPr>
          <w:p w14:paraId="7582D3E6">
            <w:pPr>
              <w:spacing w:line="400" w:lineRule="exact"/>
              <w:jc w:val="center"/>
              <w:rPr>
                <w:rFonts w:ascii="宋体" w:hAnsi="宋体"/>
                <w:color w:val="auto"/>
                <w:szCs w:val="21"/>
                <w:highlight w:val="none"/>
              </w:rPr>
            </w:pPr>
          </w:p>
        </w:tc>
        <w:tc>
          <w:tcPr>
            <w:tcW w:w="1064" w:type="dxa"/>
            <w:noWrap w:val="0"/>
            <w:vAlign w:val="top"/>
          </w:tcPr>
          <w:p w14:paraId="394C245A">
            <w:pPr>
              <w:spacing w:line="400" w:lineRule="exact"/>
              <w:jc w:val="center"/>
              <w:rPr>
                <w:rFonts w:ascii="宋体" w:hAnsi="宋体"/>
                <w:color w:val="auto"/>
                <w:szCs w:val="21"/>
                <w:highlight w:val="none"/>
              </w:rPr>
            </w:pPr>
          </w:p>
        </w:tc>
      </w:tr>
      <w:tr w14:paraId="5529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57543860">
            <w:pPr>
              <w:spacing w:line="400" w:lineRule="exact"/>
              <w:jc w:val="center"/>
              <w:rPr>
                <w:rFonts w:ascii="宋体" w:hAnsi="宋体"/>
                <w:color w:val="auto"/>
                <w:szCs w:val="21"/>
                <w:highlight w:val="none"/>
              </w:rPr>
            </w:pPr>
          </w:p>
        </w:tc>
        <w:tc>
          <w:tcPr>
            <w:tcW w:w="1304" w:type="dxa"/>
            <w:noWrap w:val="0"/>
            <w:vAlign w:val="top"/>
          </w:tcPr>
          <w:p w14:paraId="7DC93279">
            <w:pPr>
              <w:spacing w:line="400" w:lineRule="exact"/>
              <w:jc w:val="center"/>
              <w:rPr>
                <w:rFonts w:ascii="宋体" w:hAnsi="宋体"/>
                <w:color w:val="auto"/>
                <w:szCs w:val="21"/>
                <w:highlight w:val="none"/>
              </w:rPr>
            </w:pPr>
          </w:p>
        </w:tc>
        <w:tc>
          <w:tcPr>
            <w:tcW w:w="1065" w:type="dxa"/>
            <w:noWrap w:val="0"/>
            <w:vAlign w:val="top"/>
          </w:tcPr>
          <w:p w14:paraId="44D67BD7">
            <w:pPr>
              <w:spacing w:line="400" w:lineRule="exact"/>
              <w:jc w:val="center"/>
              <w:rPr>
                <w:rFonts w:ascii="宋体" w:hAnsi="宋体"/>
                <w:color w:val="auto"/>
                <w:szCs w:val="21"/>
                <w:highlight w:val="none"/>
              </w:rPr>
            </w:pPr>
          </w:p>
        </w:tc>
        <w:tc>
          <w:tcPr>
            <w:tcW w:w="1065" w:type="dxa"/>
            <w:noWrap w:val="0"/>
            <w:vAlign w:val="top"/>
          </w:tcPr>
          <w:p w14:paraId="6A04CCF1">
            <w:pPr>
              <w:spacing w:line="400" w:lineRule="exact"/>
              <w:jc w:val="center"/>
              <w:rPr>
                <w:rFonts w:ascii="宋体" w:hAnsi="宋体"/>
                <w:color w:val="auto"/>
                <w:szCs w:val="21"/>
                <w:highlight w:val="none"/>
              </w:rPr>
            </w:pPr>
          </w:p>
        </w:tc>
        <w:tc>
          <w:tcPr>
            <w:tcW w:w="1065" w:type="dxa"/>
            <w:noWrap w:val="0"/>
            <w:vAlign w:val="top"/>
          </w:tcPr>
          <w:p w14:paraId="7BB1694D">
            <w:pPr>
              <w:spacing w:line="400" w:lineRule="exact"/>
              <w:jc w:val="center"/>
              <w:rPr>
                <w:rFonts w:ascii="宋体" w:hAnsi="宋体"/>
                <w:color w:val="auto"/>
                <w:szCs w:val="21"/>
                <w:highlight w:val="none"/>
              </w:rPr>
            </w:pPr>
          </w:p>
        </w:tc>
        <w:tc>
          <w:tcPr>
            <w:tcW w:w="1065" w:type="dxa"/>
            <w:noWrap w:val="0"/>
            <w:vAlign w:val="top"/>
          </w:tcPr>
          <w:p w14:paraId="4430916E">
            <w:pPr>
              <w:spacing w:line="400" w:lineRule="exact"/>
              <w:jc w:val="center"/>
              <w:rPr>
                <w:rFonts w:ascii="宋体" w:hAnsi="宋体"/>
                <w:color w:val="auto"/>
                <w:szCs w:val="21"/>
                <w:highlight w:val="none"/>
              </w:rPr>
            </w:pPr>
          </w:p>
        </w:tc>
        <w:tc>
          <w:tcPr>
            <w:tcW w:w="1065" w:type="dxa"/>
            <w:noWrap w:val="0"/>
            <w:vAlign w:val="top"/>
          </w:tcPr>
          <w:p w14:paraId="313872E4">
            <w:pPr>
              <w:spacing w:line="400" w:lineRule="exact"/>
              <w:jc w:val="center"/>
              <w:rPr>
                <w:rFonts w:ascii="宋体" w:hAnsi="宋体"/>
                <w:color w:val="auto"/>
                <w:szCs w:val="21"/>
                <w:highlight w:val="none"/>
              </w:rPr>
            </w:pPr>
          </w:p>
        </w:tc>
        <w:tc>
          <w:tcPr>
            <w:tcW w:w="1064" w:type="dxa"/>
            <w:noWrap w:val="0"/>
            <w:vAlign w:val="top"/>
          </w:tcPr>
          <w:p w14:paraId="199ED680">
            <w:pPr>
              <w:spacing w:line="400" w:lineRule="exact"/>
              <w:jc w:val="center"/>
              <w:rPr>
                <w:rFonts w:ascii="宋体" w:hAnsi="宋体"/>
                <w:color w:val="auto"/>
                <w:szCs w:val="21"/>
                <w:highlight w:val="none"/>
              </w:rPr>
            </w:pPr>
          </w:p>
        </w:tc>
      </w:tr>
      <w:tr w14:paraId="2C9D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8EF7E27">
            <w:pPr>
              <w:spacing w:line="400" w:lineRule="exact"/>
              <w:jc w:val="center"/>
              <w:rPr>
                <w:rFonts w:ascii="宋体" w:hAnsi="宋体"/>
                <w:color w:val="auto"/>
                <w:szCs w:val="21"/>
                <w:highlight w:val="none"/>
              </w:rPr>
            </w:pPr>
          </w:p>
        </w:tc>
        <w:tc>
          <w:tcPr>
            <w:tcW w:w="1304" w:type="dxa"/>
            <w:noWrap w:val="0"/>
            <w:vAlign w:val="top"/>
          </w:tcPr>
          <w:p w14:paraId="0A008435">
            <w:pPr>
              <w:spacing w:line="400" w:lineRule="exact"/>
              <w:jc w:val="center"/>
              <w:rPr>
                <w:rFonts w:ascii="宋体" w:hAnsi="宋体"/>
                <w:color w:val="auto"/>
                <w:szCs w:val="21"/>
                <w:highlight w:val="none"/>
              </w:rPr>
            </w:pPr>
          </w:p>
        </w:tc>
        <w:tc>
          <w:tcPr>
            <w:tcW w:w="1065" w:type="dxa"/>
            <w:noWrap w:val="0"/>
            <w:vAlign w:val="top"/>
          </w:tcPr>
          <w:p w14:paraId="068D008D">
            <w:pPr>
              <w:spacing w:line="400" w:lineRule="exact"/>
              <w:jc w:val="center"/>
              <w:rPr>
                <w:rFonts w:ascii="宋体" w:hAnsi="宋体"/>
                <w:color w:val="auto"/>
                <w:szCs w:val="21"/>
                <w:highlight w:val="none"/>
              </w:rPr>
            </w:pPr>
          </w:p>
        </w:tc>
        <w:tc>
          <w:tcPr>
            <w:tcW w:w="1065" w:type="dxa"/>
            <w:noWrap w:val="0"/>
            <w:vAlign w:val="top"/>
          </w:tcPr>
          <w:p w14:paraId="46BE6045">
            <w:pPr>
              <w:spacing w:line="400" w:lineRule="exact"/>
              <w:jc w:val="center"/>
              <w:rPr>
                <w:rFonts w:ascii="宋体" w:hAnsi="宋体"/>
                <w:color w:val="auto"/>
                <w:szCs w:val="21"/>
                <w:highlight w:val="none"/>
              </w:rPr>
            </w:pPr>
          </w:p>
        </w:tc>
        <w:tc>
          <w:tcPr>
            <w:tcW w:w="1065" w:type="dxa"/>
            <w:noWrap w:val="0"/>
            <w:vAlign w:val="top"/>
          </w:tcPr>
          <w:p w14:paraId="1F05A842">
            <w:pPr>
              <w:spacing w:line="400" w:lineRule="exact"/>
              <w:jc w:val="center"/>
              <w:rPr>
                <w:rFonts w:ascii="宋体" w:hAnsi="宋体"/>
                <w:color w:val="auto"/>
                <w:szCs w:val="21"/>
                <w:highlight w:val="none"/>
              </w:rPr>
            </w:pPr>
          </w:p>
        </w:tc>
        <w:tc>
          <w:tcPr>
            <w:tcW w:w="1065" w:type="dxa"/>
            <w:noWrap w:val="0"/>
            <w:vAlign w:val="top"/>
          </w:tcPr>
          <w:p w14:paraId="2A50607F">
            <w:pPr>
              <w:spacing w:line="400" w:lineRule="exact"/>
              <w:jc w:val="center"/>
              <w:rPr>
                <w:rFonts w:ascii="宋体" w:hAnsi="宋体"/>
                <w:color w:val="auto"/>
                <w:szCs w:val="21"/>
                <w:highlight w:val="none"/>
              </w:rPr>
            </w:pPr>
          </w:p>
        </w:tc>
        <w:tc>
          <w:tcPr>
            <w:tcW w:w="1065" w:type="dxa"/>
            <w:noWrap w:val="0"/>
            <w:vAlign w:val="top"/>
          </w:tcPr>
          <w:p w14:paraId="0F267ECE">
            <w:pPr>
              <w:spacing w:line="400" w:lineRule="exact"/>
              <w:jc w:val="center"/>
              <w:rPr>
                <w:rFonts w:ascii="宋体" w:hAnsi="宋体"/>
                <w:color w:val="auto"/>
                <w:szCs w:val="21"/>
                <w:highlight w:val="none"/>
              </w:rPr>
            </w:pPr>
          </w:p>
        </w:tc>
        <w:tc>
          <w:tcPr>
            <w:tcW w:w="1064" w:type="dxa"/>
            <w:noWrap w:val="0"/>
            <w:vAlign w:val="top"/>
          </w:tcPr>
          <w:p w14:paraId="7F7E65AF">
            <w:pPr>
              <w:spacing w:line="400" w:lineRule="exact"/>
              <w:jc w:val="center"/>
              <w:rPr>
                <w:rFonts w:ascii="宋体" w:hAnsi="宋体"/>
                <w:color w:val="auto"/>
                <w:szCs w:val="21"/>
                <w:highlight w:val="none"/>
              </w:rPr>
            </w:pPr>
          </w:p>
        </w:tc>
      </w:tr>
      <w:tr w14:paraId="0658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7516D48">
            <w:pPr>
              <w:spacing w:line="400" w:lineRule="exact"/>
              <w:jc w:val="center"/>
              <w:rPr>
                <w:rFonts w:ascii="宋体" w:hAnsi="宋体"/>
                <w:color w:val="auto"/>
                <w:szCs w:val="21"/>
                <w:highlight w:val="none"/>
              </w:rPr>
            </w:pPr>
          </w:p>
        </w:tc>
        <w:tc>
          <w:tcPr>
            <w:tcW w:w="1304" w:type="dxa"/>
            <w:noWrap w:val="0"/>
            <w:vAlign w:val="top"/>
          </w:tcPr>
          <w:p w14:paraId="0CFB7FF9">
            <w:pPr>
              <w:spacing w:line="400" w:lineRule="exact"/>
              <w:jc w:val="center"/>
              <w:rPr>
                <w:rFonts w:ascii="宋体" w:hAnsi="宋体"/>
                <w:color w:val="auto"/>
                <w:szCs w:val="21"/>
                <w:highlight w:val="none"/>
              </w:rPr>
            </w:pPr>
          </w:p>
        </w:tc>
        <w:tc>
          <w:tcPr>
            <w:tcW w:w="1065" w:type="dxa"/>
            <w:noWrap w:val="0"/>
            <w:vAlign w:val="top"/>
          </w:tcPr>
          <w:p w14:paraId="221AE5FF">
            <w:pPr>
              <w:spacing w:line="400" w:lineRule="exact"/>
              <w:jc w:val="center"/>
              <w:rPr>
                <w:rFonts w:ascii="宋体" w:hAnsi="宋体"/>
                <w:color w:val="auto"/>
                <w:szCs w:val="21"/>
                <w:highlight w:val="none"/>
              </w:rPr>
            </w:pPr>
          </w:p>
        </w:tc>
        <w:tc>
          <w:tcPr>
            <w:tcW w:w="1065" w:type="dxa"/>
            <w:noWrap w:val="0"/>
            <w:vAlign w:val="top"/>
          </w:tcPr>
          <w:p w14:paraId="50FC193C">
            <w:pPr>
              <w:spacing w:line="400" w:lineRule="exact"/>
              <w:jc w:val="center"/>
              <w:rPr>
                <w:rFonts w:ascii="宋体" w:hAnsi="宋体"/>
                <w:color w:val="auto"/>
                <w:szCs w:val="21"/>
                <w:highlight w:val="none"/>
              </w:rPr>
            </w:pPr>
          </w:p>
        </w:tc>
        <w:tc>
          <w:tcPr>
            <w:tcW w:w="1065" w:type="dxa"/>
            <w:noWrap w:val="0"/>
            <w:vAlign w:val="top"/>
          </w:tcPr>
          <w:p w14:paraId="1DC60413">
            <w:pPr>
              <w:spacing w:line="400" w:lineRule="exact"/>
              <w:jc w:val="center"/>
              <w:rPr>
                <w:rFonts w:ascii="宋体" w:hAnsi="宋体"/>
                <w:color w:val="auto"/>
                <w:szCs w:val="21"/>
                <w:highlight w:val="none"/>
              </w:rPr>
            </w:pPr>
          </w:p>
        </w:tc>
        <w:tc>
          <w:tcPr>
            <w:tcW w:w="1065" w:type="dxa"/>
            <w:noWrap w:val="0"/>
            <w:vAlign w:val="top"/>
          </w:tcPr>
          <w:p w14:paraId="1F0549B4">
            <w:pPr>
              <w:spacing w:line="400" w:lineRule="exact"/>
              <w:jc w:val="center"/>
              <w:rPr>
                <w:rFonts w:ascii="宋体" w:hAnsi="宋体"/>
                <w:color w:val="auto"/>
                <w:szCs w:val="21"/>
                <w:highlight w:val="none"/>
              </w:rPr>
            </w:pPr>
          </w:p>
        </w:tc>
        <w:tc>
          <w:tcPr>
            <w:tcW w:w="1065" w:type="dxa"/>
            <w:noWrap w:val="0"/>
            <w:vAlign w:val="top"/>
          </w:tcPr>
          <w:p w14:paraId="038228CC">
            <w:pPr>
              <w:spacing w:line="400" w:lineRule="exact"/>
              <w:jc w:val="center"/>
              <w:rPr>
                <w:rFonts w:ascii="宋体" w:hAnsi="宋体"/>
                <w:color w:val="auto"/>
                <w:szCs w:val="21"/>
                <w:highlight w:val="none"/>
              </w:rPr>
            </w:pPr>
          </w:p>
        </w:tc>
        <w:tc>
          <w:tcPr>
            <w:tcW w:w="1064" w:type="dxa"/>
            <w:noWrap w:val="0"/>
            <w:vAlign w:val="top"/>
          </w:tcPr>
          <w:p w14:paraId="67F3105E">
            <w:pPr>
              <w:spacing w:line="400" w:lineRule="exact"/>
              <w:jc w:val="center"/>
              <w:rPr>
                <w:rFonts w:ascii="宋体" w:hAnsi="宋体"/>
                <w:color w:val="auto"/>
                <w:szCs w:val="21"/>
                <w:highlight w:val="none"/>
              </w:rPr>
            </w:pPr>
          </w:p>
        </w:tc>
      </w:tr>
      <w:tr w14:paraId="27EC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E2D78D7">
            <w:pPr>
              <w:spacing w:line="400" w:lineRule="exact"/>
              <w:jc w:val="center"/>
              <w:rPr>
                <w:rFonts w:ascii="宋体" w:hAnsi="宋体"/>
                <w:color w:val="auto"/>
                <w:szCs w:val="21"/>
                <w:highlight w:val="none"/>
              </w:rPr>
            </w:pPr>
          </w:p>
        </w:tc>
        <w:tc>
          <w:tcPr>
            <w:tcW w:w="1304" w:type="dxa"/>
            <w:noWrap w:val="0"/>
            <w:vAlign w:val="top"/>
          </w:tcPr>
          <w:p w14:paraId="78906FE2">
            <w:pPr>
              <w:spacing w:line="400" w:lineRule="exact"/>
              <w:jc w:val="center"/>
              <w:rPr>
                <w:rFonts w:ascii="宋体" w:hAnsi="宋体"/>
                <w:color w:val="auto"/>
                <w:szCs w:val="21"/>
                <w:highlight w:val="none"/>
              </w:rPr>
            </w:pPr>
          </w:p>
        </w:tc>
        <w:tc>
          <w:tcPr>
            <w:tcW w:w="1065" w:type="dxa"/>
            <w:noWrap w:val="0"/>
            <w:vAlign w:val="top"/>
          </w:tcPr>
          <w:p w14:paraId="327BBDA1">
            <w:pPr>
              <w:spacing w:line="400" w:lineRule="exact"/>
              <w:jc w:val="center"/>
              <w:rPr>
                <w:rFonts w:ascii="宋体" w:hAnsi="宋体"/>
                <w:color w:val="auto"/>
                <w:szCs w:val="21"/>
                <w:highlight w:val="none"/>
              </w:rPr>
            </w:pPr>
          </w:p>
        </w:tc>
        <w:tc>
          <w:tcPr>
            <w:tcW w:w="1065" w:type="dxa"/>
            <w:noWrap w:val="0"/>
            <w:vAlign w:val="top"/>
          </w:tcPr>
          <w:p w14:paraId="675048AF">
            <w:pPr>
              <w:spacing w:line="400" w:lineRule="exact"/>
              <w:jc w:val="center"/>
              <w:rPr>
                <w:rFonts w:ascii="宋体" w:hAnsi="宋体"/>
                <w:color w:val="auto"/>
                <w:szCs w:val="21"/>
                <w:highlight w:val="none"/>
              </w:rPr>
            </w:pPr>
          </w:p>
        </w:tc>
        <w:tc>
          <w:tcPr>
            <w:tcW w:w="1065" w:type="dxa"/>
            <w:noWrap w:val="0"/>
            <w:vAlign w:val="top"/>
          </w:tcPr>
          <w:p w14:paraId="386B0247">
            <w:pPr>
              <w:spacing w:line="400" w:lineRule="exact"/>
              <w:jc w:val="center"/>
              <w:rPr>
                <w:rFonts w:ascii="宋体" w:hAnsi="宋体"/>
                <w:color w:val="auto"/>
                <w:szCs w:val="21"/>
                <w:highlight w:val="none"/>
              </w:rPr>
            </w:pPr>
          </w:p>
        </w:tc>
        <w:tc>
          <w:tcPr>
            <w:tcW w:w="1065" w:type="dxa"/>
            <w:noWrap w:val="0"/>
            <w:vAlign w:val="top"/>
          </w:tcPr>
          <w:p w14:paraId="682B2542">
            <w:pPr>
              <w:spacing w:line="400" w:lineRule="exact"/>
              <w:jc w:val="center"/>
              <w:rPr>
                <w:rFonts w:ascii="宋体" w:hAnsi="宋体"/>
                <w:color w:val="auto"/>
                <w:szCs w:val="21"/>
                <w:highlight w:val="none"/>
              </w:rPr>
            </w:pPr>
          </w:p>
        </w:tc>
        <w:tc>
          <w:tcPr>
            <w:tcW w:w="1065" w:type="dxa"/>
            <w:noWrap w:val="0"/>
            <w:vAlign w:val="top"/>
          </w:tcPr>
          <w:p w14:paraId="31D195D5">
            <w:pPr>
              <w:spacing w:line="400" w:lineRule="exact"/>
              <w:jc w:val="center"/>
              <w:rPr>
                <w:rFonts w:ascii="宋体" w:hAnsi="宋体"/>
                <w:color w:val="auto"/>
                <w:szCs w:val="21"/>
                <w:highlight w:val="none"/>
              </w:rPr>
            </w:pPr>
          </w:p>
        </w:tc>
        <w:tc>
          <w:tcPr>
            <w:tcW w:w="1064" w:type="dxa"/>
            <w:noWrap w:val="0"/>
            <w:vAlign w:val="top"/>
          </w:tcPr>
          <w:p w14:paraId="68FF4DFE">
            <w:pPr>
              <w:spacing w:line="400" w:lineRule="exact"/>
              <w:jc w:val="center"/>
              <w:rPr>
                <w:rFonts w:ascii="宋体" w:hAnsi="宋体"/>
                <w:color w:val="auto"/>
                <w:szCs w:val="21"/>
                <w:highlight w:val="none"/>
              </w:rPr>
            </w:pPr>
          </w:p>
        </w:tc>
      </w:tr>
      <w:tr w14:paraId="54CA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4A97827">
            <w:pPr>
              <w:spacing w:line="400" w:lineRule="exact"/>
              <w:jc w:val="center"/>
              <w:rPr>
                <w:rFonts w:ascii="宋体" w:hAnsi="宋体"/>
                <w:color w:val="auto"/>
                <w:szCs w:val="21"/>
                <w:highlight w:val="none"/>
              </w:rPr>
            </w:pPr>
          </w:p>
        </w:tc>
        <w:tc>
          <w:tcPr>
            <w:tcW w:w="1304" w:type="dxa"/>
            <w:noWrap w:val="0"/>
            <w:vAlign w:val="top"/>
          </w:tcPr>
          <w:p w14:paraId="62BC8AA5">
            <w:pPr>
              <w:spacing w:line="400" w:lineRule="exact"/>
              <w:jc w:val="center"/>
              <w:rPr>
                <w:rFonts w:ascii="宋体" w:hAnsi="宋体"/>
                <w:color w:val="auto"/>
                <w:szCs w:val="21"/>
                <w:highlight w:val="none"/>
              </w:rPr>
            </w:pPr>
          </w:p>
        </w:tc>
        <w:tc>
          <w:tcPr>
            <w:tcW w:w="1065" w:type="dxa"/>
            <w:noWrap w:val="0"/>
            <w:vAlign w:val="top"/>
          </w:tcPr>
          <w:p w14:paraId="6C1931DB">
            <w:pPr>
              <w:spacing w:line="400" w:lineRule="exact"/>
              <w:jc w:val="center"/>
              <w:rPr>
                <w:rFonts w:ascii="宋体" w:hAnsi="宋体"/>
                <w:color w:val="auto"/>
                <w:szCs w:val="21"/>
                <w:highlight w:val="none"/>
              </w:rPr>
            </w:pPr>
          </w:p>
        </w:tc>
        <w:tc>
          <w:tcPr>
            <w:tcW w:w="1065" w:type="dxa"/>
            <w:noWrap w:val="0"/>
            <w:vAlign w:val="top"/>
          </w:tcPr>
          <w:p w14:paraId="358BA74D">
            <w:pPr>
              <w:spacing w:line="400" w:lineRule="exact"/>
              <w:jc w:val="center"/>
              <w:rPr>
                <w:rFonts w:ascii="宋体" w:hAnsi="宋体"/>
                <w:color w:val="auto"/>
                <w:szCs w:val="21"/>
                <w:highlight w:val="none"/>
              </w:rPr>
            </w:pPr>
          </w:p>
        </w:tc>
        <w:tc>
          <w:tcPr>
            <w:tcW w:w="1065" w:type="dxa"/>
            <w:noWrap w:val="0"/>
            <w:vAlign w:val="top"/>
          </w:tcPr>
          <w:p w14:paraId="384CB0D6">
            <w:pPr>
              <w:spacing w:line="400" w:lineRule="exact"/>
              <w:jc w:val="center"/>
              <w:rPr>
                <w:rFonts w:ascii="宋体" w:hAnsi="宋体"/>
                <w:color w:val="auto"/>
                <w:szCs w:val="21"/>
                <w:highlight w:val="none"/>
              </w:rPr>
            </w:pPr>
          </w:p>
        </w:tc>
        <w:tc>
          <w:tcPr>
            <w:tcW w:w="1065" w:type="dxa"/>
            <w:noWrap w:val="0"/>
            <w:vAlign w:val="top"/>
          </w:tcPr>
          <w:p w14:paraId="118DB2C4">
            <w:pPr>
              <w:spacing w:line="400" w:lineRule="exact"/>
              <w:jc w:val="center"/>
              <w:rPr>
                <w:rFonts w:ascii="宋体" w:hAnsi="宋体"/>
                <w:color w:val="auto"/>
                <w:szCs w:val="21"/>
                <w:highlight w:val="none"/>
              </w:rPr>
            </w:pPr>
          </w:p>
        </w:tc>
        <w:tc>
          <w:tcPr>
            <w:tcW w:w="1065" w:type="dxa"/>
            <w:noWrap w:val="0"/>
            <w:vAlign w:val="top"/>
          </w:tcPr>
          <w:p w14:paraId="71D59D67">
            <w:pPr>
              <w:spacing w:line="400" w:lineRule="exact"/>
              <w:jc w:val="center"/>
              <w:rPr>
                <w:rFonts w:ascii="宋体" w:hAnsi="宋体"/>
                <w:color w:val="auto"/>
                <w:szCs w:val="21"/>
                <w:highlight w:val="none"/>
              </w:rPr>
            </w:pPr>
          </w:p>
        </w:tc>
        <w:tc>
          <w:tcPr>
            <w:tcW w:w="1064" w:type="dxa"/>
            <w:noWrap w:val="0"/>
            <w:vAlign w:val="top"/>
          </w:tcPr>
          <w:p w14:paraId="5C9C6824">
            <w:pPr>
              <w:spacing w:line="400" w:lineRule="exact"/>
              <w:jc w:val="center"/>
              <w:rPr>
                <w:rFonts w:ascii="宋体" w:hAnsi="宋体"/>
                <w:color w:val="auto"/>
                <w:szCs w:val="21"/>
                <w:highlight w:val="none"/>
              </w:rPr>
            </w:pPr>
          </w:p>
        </w:tc>
      </w:tr>
      <w:tr w14:paraId="1423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2EFEBFC">
            <w:pPr>
              <w:spacing w:line="400" w:lineRule="exact"/>
              <w:jc w:val="center"/>
              <w:rPr>
                <w:rFonts w:ascii="宋体" w:hAnsi="宋体"/>
                <w:color w:val="auto"/>
                <w:szCs w:val="21"/>
                <w:highlight w:val="none"/>
              </w:rPr>
            </w:pPr>
          </w:p>
        </w:tc>
        <w:tc>
          <w:tcPr>
            <w:tcW w:w="1304" w:type="dxa"/>
            <w:noWrap w:val="0"/>
            <w:vAlign w:val="top"/>
          </w:tcPr>
          <w:p w14:paraId="6B3364AF">
            <w:pPr>
              <w:spacing w:line="400" w:lineRule="exact"/>
              <w:jc w:val="center"/>
              <w:rPr>
                <w:rFonts w:ascii="宋体" w:hAnsi="宋体"/>
                <w:color w:val="auto"/>
                <w:szCs w:val="21"/>
                <w:highlight w:val="none"/>
              </w:rPr>
            </w:pPr>
          </w:p>
        </w:tc>
        <w:tc>
          <w:tcPr>
            <w:tcW w:w="1065" w:type="dxa"/>
            <w:noWrap w:val="0"/>
            <w:vAlign w:val="top"/>
          </w:tcPr>
          <w:p w14:paraId="7D92F5B5">
            <w:pPr>
              <w:spacing w:line="400" w:lineRule="exact"/>
              <w:jc w:val="center"/>
              <w:rPr>
                <w:rFonts w:ascii="宋体" w:hAnsi="宋体"/>
                <w:color w:val="auto"/>
                <w:szCs w:val="21"/>
                <w:highlight w:val="none"/>
              </w:rPr>
            </w:pPr>
          </w:p>
        </w:tc>
        <w:tc>
          <w:tcPr>
            <w:tcW w:w="1065" w:type="dxa"/>
            <w:noWrap w:val="0"/>
            <w:vAlign w:val="top"/>
          </w:tcPr>
          <w:p w14:paraId="3D65F5E0">
            <w:pPr>
              <w:spacing w:line="400" w:lineRule="exact"/>
              <w:jc w:val="center"/>
              <w:rPr>
                <w:rFonts w:ascii="宋体" w:hAnsi="宋体"/>
                <w:color w:val="auto"/>
                <w:szCs w:val="21"/>
                <w:highlight w:val="none"/>
              </w:rPr>
            </w:pPr>
          </w:p>
        </w:tc>
        <w:tc>
          <w:tcPr>
            <w:tcW w:w="1065" w:type="dxa"/>
            <w:noWrap w:val="0"/>
            <w:vAlign w:val="top"/>
          </w:tcPr>
          <w:p w14:paraId="0C526BD6">
            <w:pPr>
              <w:spacing w:line="400" w:lineRule="exact"/>
              <w:jc w:val="center"/>
              <w:rPr>
                <w:rFonts w:ascii="宋体" w:hAnsi="宋体"/>
                <w:color w:val="auto"/>
                <w:szCs w:val="21"/>
                <w:highlight w:val="none"/>
              </w:rPr>
            </w:pPr>
          </w:p>
        </w:tc>
        <w:tc>
          <w:tcPr>
            <w:tcW w:w="1065" w:type="dxa"/>
            <w:noWrap w:val="0"/>
            <w:vAlign w:val="top"/>
          </w:tcPr>
          <w:p w14:paraId="21AC6B8F">
            <w:pPr>
              <w:spacing w:line="400" w:lineRule="exact"/>
              <w:jc w:val="center"/>
              <w:rPr>
                <w:rFonts w:ascii="宋体" w:hAnsi="宋体"/>
                <w:color w:val="auto"/>
                <w:szCs w:val="21"/>
                <w:highlight w:val="none"/>
              </w:rPr>
            </w:pPr>
          </w:p>
        </w:tc>
        <w:tc>
          <w:tcPr>
            <w:tcW w:w="1065" w:type="dxa"/>
            <w:noWrap w:val="0"/>
            <w:vAlign w:val="top"/>
          </w:tcPr>
          <w:p w14:paraId="56CD7498">
            <w:pPr>
              <w:spacing w:line="400" w:lineRule="exact"/>
              <w:jc w:val="center"/>
              <w:rPr>
                <w:rFonts w:ascii="宋体" w:hAnsi="宋体"/>
                <w:color w:val="auto"/>
                <w:szCs w:val="21"/>
                <w:highlight w:val="none"/>
              </w:rPr>
            </w:pPr>
          </w:p>
        </w:tc>
        <w:tc>
          <w:tcPr>
            <w:tcW w:w="1064" w:type="dxa"/>
            <w:noWrap w:val="0"/>
            <w:vAlign w:val="top"/>
          </w:tcPr>
          <w:p w14:paraId="34667A18">
            <w:pPr>
              <w:spacing w:line="400" w:lineRule="exact"/>
              <w:jc w:val="center"/>
              <w:rPr>
                <w:rFonts w:ascii="宋体" w:hAnsi="宋体"/>
                <w:color w:val="auto"/>
                <w:szCs w:val="21"/>
                <w:highlight w:val="none"/>
              </w:rPr>
            </w:pPr>
          </w:p>
        </w:tc>
      </w:tr>
      <w:tr w14:paraId="4616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052B317">
            <w:pPr>
              <w:spacing w:line="400" w:lineRule="exact"/>
              <w:jc w:val="center"/>
              <w:rPr>
                <w:rFonts w:ascii="宋体" w:hAnsi="宋体"/>
                <w:color w:val="auto"/>
                <w:szCs w:val="21"/>
                <w:highlight w:val="none"/>
              </w:rPr>
            </w:pPr>
          </w:p>
        </w:tc>
        <w:tc>
          <w:tcPr>
            <w:tcW w:w="1304" w:type="dxa"/>
            <w:noWrap w:val="0"/>
            <w:vAlign w:val="top"/>
          </w:tcPr>
          <w:p w14:paraId="71B4BAB8">
            <w:pPr>
              <w:spacing w:line="400" w:lineRule="exact"/>
              <w:jc w:val="center"/>
              <w:rPr>
                <w:rFonts w:ascii="宋体" w:hAnsi="宋体"/>
                <w:color w:val="auto"/>
                <w:szCs w:val="21"/>
                <w:highlight w:val="none"/>
              </w:rPr>
            </w:pPr>
          </w:p>
        </w:tc>
        <w:tc>
          <w:tcPr>
            <w:tcW w:w="1065" w:type="dxa"/>
            <w:noWrap w:val="0"/>
            <w:vAlign w:val="top"/>
          </w:tcPr>
          <w:p w14:paraId="252257C4">
            <w:pPr>
              <w:spacing w:line="400" w:lineRule="exact"/>
              <w:jc w:val="center"/>
              <w:rPr>
                <w:rFonts w:ascii="宋体" w:hAnsi="宋体"/>
                <w:color w:val="auto"/>
                <w:szCs w:val="21"/>
                <w:highlight w:val="none"/>
              </w:rPr>
            </w:pPr>
          </w:p>
        </w:tc>
        <w:tc>
          <w:tcPr>
            <w:tcW w:w="1065" w:type="dxa"/>
            <w:noWrap w:val="0"/>
            <w:vAlign w:val="top"/>
          </w:tcPr>
          <w:p w14:paraId="1183DDD0">
            <w:pPr>
              <w:spacing w:line="400" w:lineRule="exact"/>
              <w:jc w:val="center"/>
              <w:rPr>
                <w:rFonts w:ascii="宋体" w:hAnsi="宋体"/>
                <w:color w:val="auto"/>
                <w:szCs w:val="21"/>
                <w:highlight w:val="none"/>
              </w:rPr>
            </w:pPr>
          </w:p>
        </w:tc>
        <w:tc>
          <w:tcPr>
            <w:tcW w:w="1065" w:type="dxa"/>
            <w:noWrap w:val="0"/>
            <w:vAlign w:val="top"/>
          </w:tcPr>
          <w:p w14:paraId="28097FF2">
            <w:pPr>
              <w:spacing w:line="400" w:lineRule="exact"/>
              <w:jc w:val="center"/>
              <w:rPr>
                <w:rFonts w:ascii="宋体" w:hAnsi="宋体"/>
                <w:color w:val="auto"/>
                <w:szCs w:val="21"/>
                <w:highlight w:val="none"/>
              </w:rPr>
            </w:pPr>
          </w:p>
        </w:tc>
        <w:tc>
          <w:tcPr>
            <w:tcW w:w="1065" w:type="dxa"/>
            <w:noWrap w:val="0"/>
            <w:vAlign w:val="top"/>
          </w:tcPr>
          <w:p w14:paraId="6CFB84AF">
            <w:pPr>
              <w:spacing w:line="400" w:lineRule="exact"/>
              <w:jc w:val="center"/>
              <w:rPr>
                <w:rFonts w:ascii="宋体" w:hAnsi="宋体"/>
                <w:color w:val="auto"/>
                <w:szCs w:val="21"/>
                <w:highlight w:val="none"/>
              </w:rPr>
            </w:pPr>
          </w:p>
        </w:tc>
        <w:tc>
          <w:tcPr>
            <w:tcW w:w="1065" w:type="dxa"/>
            <w:noWrap w:val="0"/>
            <w:vAlign w:val="top"/>
          </w:tcPr>
          <w:p w14:paraId="187B76B2">
            <w:pPr>
              <w:spacing w:line="400" w:lineRule="exact"/>
              <w:jc w:val="center"/>
              <w:rPr>
                <w:rFonts w:ascii="宋体" w:hAnsi="宋体"/>
                <w:color w:val="auto"/>
                <w:szCs w:val="21"/>
                <w:highlight w:val="none"/>
              </w:rPr>
            </w:pPr>
          </w:p>
        </w:tc>
        <w:tc>
          <w:tcPr>
            <w:tcW w:w="1064" w:type="dxa"/>
            <w:noWrap w:val="0"/>
            <w:vAlign w:val="top"/>
          </w:tcPr>
          <w:p w14:paraId="793E6362">
            <w:pPr>
              <w:spacing w:line="400" w:lineRule="exact"/>
              <w:jc w:val="center"/>
              <w:rPr>
                <w:rFonts w:ascii="宋体" w:hAnsi="宋体"/>
                <w:color w:val="auto"/>
                <w:szCs w:val="21"/>
                <w:highlight w:val="none"/>
              </w:rPr>
            </w:pPr>
          </w:p>
        </w:tc>
      </w:tr>
      <w:tr w14:paraId="1276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5E771A1B">
            <w:pPr>
              <w:spacing w:line="400" w:lineRule="exact"/>
              <w:jc w:val="center"/>
              <w:rPr>
                <w:rFonts w:ascii="宋体" w:hAnsi="宋体"/>
                <w:color w:val="auto"/>
                <w:szCs w:val="21"/>
                <w:highlight w:val="none"/>
              </w:rPr>
            </w:pPr>
          </w:p>
        </w:tc>
        <w:tc>
          <w:tcPr>
            <w:tcW w:w="1304" w:type="dxa"/>
            <w:noWrap w:val="0"/>
            <w:vAlign w:val="top"/>
          </w:tcPr>
          <w:p w14:paraId="321A7F90">
            <w:pPr>
              <w:spacing w:line="400" w:lineRule="exact"/>
              <w:jc w:val="center"/>
              <w:rPr>
                <w:rFonts w:ascii="宋体" w:hAnsi="宋体"/>
                <w:color w:val="auto"/>
                <w:szCs w:val="21"/>
                <w:highlight w:val="none"/>
              </w:rPr>
            </w:pPr>
          </w:p>
        </w:tc>
        <w:tc>
          <w:tcPr>
            <w:tcW w:w="1065" w:type="dxa"/>
            <w:noWrap w:val="0"/>
            <w:vAlign w:val="top"/>
          </w:tcPr>
          <w:p w14:paraId="5C939866">
            <w:pPr>
              <w:spacing w:line="400" w:lineRule="exact"/>
              <w:jc w:val="center"/>
              <w:rPr>
                <w:rFonts w:ascii="宋体" w:hAnsi="宋体"/>
                <w:color w:val="auto"/>
                <w:szCs w:val="21"/>
                <w:highlight w:val="none"/>
              </w:rPr>
            </w:pPr>
          </w:p>
        </w:tc>
        <w:tc>
          <w:tcPr>
            <w:tcW w:w="1065" w:type="dxa"/>
            <w:noWrap w:val="0"/>
            <w:vAlign w:val="top"/>
          </w:tcPr>
          <w:p w14:paraId="024D208B">
            <w:pPr>
              <w:spacing w:line="400" w:lineRule="exact"/>
              <w:jc w:val="center"/>
              <w:rPr>
                <w:rFonts w:ascii="宋体" w:hAnsi="宋体"/>
                <w:color w:val="auto"/>
                <w:szCs w:val="21"/>
                <w:highlight w:val="none"/>
              </w:rPr>
            </w:pPr>
          </w:p>
        </w:tc>
        <w:tc>
          <w:tcPr>
            <w:tcW w:w="1065" w:type="dxa"/>
            <w:noWrap w:val="0"/>
            <w:vAlign w:val="top"/>
          </w:tcPr>
          <w:p w14:paraId="61CBB8EF">
            <w:pPr>
              <w:spacing w:line="400" w:lineRule="exact"/>
              <w:jc w:val="center"/>
              <w:rPr>
                <w:rFonts w:ascii="宋体" w:hAnsi="宋体"/>
                <w:color w:val="auto"/>
                <w:szCs w:val="21"/>
                <w:highlight w:val="none"/>
              </w:rPr>
            </w:pPr>
          </w:p>
        </w:tc>
        <w:tc>
          <w:tcPr>
            <w:tcW w:w="1065" w:type="dxa"/>
            <w:noWrap w:val="0"/>
            <w:vAlign w:val="top"/>
          </w:tcPr>
          <w:p w14:paraId="40B09729">
            <w:pPr>
              <w:spacing w:line="400" w:lineRule="exact"/>
              <w:jc w:val="center"/>
              <w:rPr>
                <w:rFonts w:ascii="宋体" w:hAnsi="宋体"/>
                <w:color w:val="auto"/>
                <w:szCs w:val="21"/>
                <w:highlight w:val="none"/>
              </w:rPr>
            </w:pPr>
          </w:p>
        </w:tc>
        <w:tc>
          <w:tcPr>
            <w:tcW w:w="1065" w:type="dxa"/>
            <w:noWrap w:val="0"/>
            <w:vAlign w:val="top"/>
          </w:tcPr>
          <w:p w14:paraId="7B9DD0B5">
            <w:pPr>
              <w:spacing w:line="400" w:lineRule="exact"/>
              <w:jc w:val="center"/>
              <w:rPr>
                <w:rFonts w:ascii="宋体" w:hAnsi="宋体"/>
                <w:color w:val="auto"/>
                <w:szCs w:val="21"/>
                <w:highlight w:val="none"/>
              </w:rPr>
            </w:pPr>
          </w:p>
        </w:tc>
        <w:tc>
          <w:tcPr>
            <w:tcW w:w="1064" w:type="dxa"/>
            <w:noWrap w:val="0"/>
            <w:vAlign w:val="top"/>
          </w:tcPr>
          <w:p w14:paraId="19A69389">
            <w:pPr>
              <w:spacing w:line="400" w:lineRule="exact"/>
              <w:jc w:val="center"/>
              <w:rPr>
                <w:rFonts w:ascii="宋体" w:hAnsi="宋体"/>
                <w:color w:val="auto"/>
                <w:szCs w:val="21"/>
                <w:highlight w:val="none"/>
              </w:rPr>
            </w:pPr>
          </w:p>
        </w:tc>
      </w:tr>
      <w:tr w14:paraId="45B2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427CD4E">
            <w:pPr>
              <w:spacing w:line="400" w:lineRule="exact"/>
              <w:jc w:val="center"/>
              <w:rPr>
                <w:rFonts w:ascii="宋体" w:hAnsi="宋体"/>
                <w:color w:val="auto"/>
                <w:szCs w:val="21"/>
                <w:highlight w:val="none"/>
              </w:rPr>
            </w:pPr>
          </w:p>
        </w:tc>
        <w:tc>
          <w:tcPr>
            <w:tcW w:w="1304" w:type="dxa"/>
            <w:noWrap w:val="0"/>
            <w:vAlign w:val="top"/>
          </w:tcPr>
          <w:p w14:paraId="353276BF">
            <w:pPr>
              <w:spacing w:line="400" w:lineRule="exact"/>
              <w:jc w:val="center"/>
              <w:rPr>
                <w:rFonts w:ascii="宋体" w:hAnsi="宋体"/>
                <w:color w:val="auto"/>
                <w:szCs w:val="21"/>
                <w:highlight w:val="none"/>
              </w:rPr>
            </w:pPr>
          </w:p>
        </w:tc>
        <w:tc>
          <w:tcPr>
            <w:tcW w:w="1065" w:type="dxa"/>
            <w:noWrap w:val="0"/>
            <w:vAlign w:val="top"/>
          </w:tcPr>
          <w:p w14:paraId="2439866D">
            <w:pPr>
              <w:spacing w:line="400" w:lineRule="exact"/>
              <w:jc w:val="center"/>
              <w:rPr>
                <w:rFonts w:ascii="宋体" w:hAnsi="宋体"/>
                <w:color w:val="auto"/>
                <w:szCs w:val="21"/>
                <w:highlight w:val="none"/>
              </w:rPr>
            </w:pPr>
          </w:p>
        </w:tc>
        <w:tc>
          <w:tcPr>
            <w:tcW w:w="1065" w:type="dxa"/>
            <w:noWrap w:val="0"/>
            <w:vAlign w:val="top"/>
          </w:tcPr>
          <w:p w14:paraId="4D4562CF">
            <w:pPr>
              <w:spacing w:line="400" w:lineRule="exact"/>
              <w:jc w:val="center"/>
              <w:rPr>
                <w:rFonts w:ascii="宋体" w:hAnsi="宋体"/>
                <w:color w:val="auto"/>
                <w:szCs w:val="21"/>
                <w:highlight w:val="none"/>
              </w:rPr>
            </w:pPr>
          </w:p>
        </w:tc>
        <w:tc>
          <w:tcPr>
            <w:tcW w:w="1065" w:type="dxa"/>
            <w:noWrap w:val="0"/>
            <w:vAlign w:val="top"/>
          </w:tcPr>
          <w:p w14:paraId="1B0E11C5">
            <w:pPr>
              <w:spacing w:line="400" w:lineRule="exact"/>
              <w:jc w:val="center"/>
              <w:rPr>
                <w:rFonts w:ascii="宋体" w:hAnsi="宋体"/>
                <w:color w:val="auto"/>
                <w:szCs w:val="21"/>
                <w:highlight w:val="none"/>
              </w:rPr>
            </w:pPr>
          </w:p>
        </w:tc>
        <w:tc>
          <w:tcPr>
            <w:tcW w:w="1065" w:type="dxa"/>
            <w:noWrap w:val="0"/>
            <w:vAlign w:val="top"/>
          </w:tcPr>
          <w:p w14:paraId="24D48F5F">
            <w:pPr>
              <w:spacing w:line="400" w:lineRule="exact"/>
              <w:jc w:val="center"/>
              <w:rPr>
                <w:rFonts w:ascii="宋体" w:hAnsi="宋体"/>
                <w:color w:val="auto"/>
                <w:szCs w:val="21"/>
                <w:highlight w:val="none"/>
              </w:rPr>
            </w:pPr>
          </w:p>
        </w:tc>
        <w:tc>
          <w:tcPr>
            <w:tcW w:w="1065" w:type="dxa"/>
            <w:noWrap w:val="0"/>
            <w:vAlign w:val="top"/>
          </w:tcPr>
          <w:p w14:paraId="17DDACAA">
            <w:pPr>
              <w:spacing w:line="400" w:lineRule="exact"/>
              <w:jc w:val="center"/>
              <w:rPr>
                <w:rFonts w:ascii="宋体" w:hAnsi="宋体"/>
                <w:color w:val="auto"/>
                <w:szCs w:val="21"/>
                <w:highlight w:val="none"/>
              </w:rPr>
            </w:pPr>
          </w:p>
        </w:tc>
        <w:tc>
          <w:tcPr>
            <w:tcW w:w="1064" w:type="dxa"/>
            <w:noWrap w:val="0"/>
            <w:vAlign w:val="top"/>
          </w:tcPr>
          <w:p w14:paraId="66457B75">
            <w:pPr>
              <w:spacing w:line="400" w:lineRule="exact"/>
              <w:jc w:val="center"/>
              <w:rPr>
                <w:rFonts w:ascii="宋体" w:hAnsi="宋体"/>
                <w:color w:val="auto"/>
                <w:szCs w:val="21"/>
                <w:highlight w:val="none"/>
              </w:rPr>
            </w:pPr>
          </w:p>
        </w:tc>
      </w:tr>
      <w:tr w14:paraId="63EC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754F748">
            <w:pPr>
              <w:spacing w:line="400" w:lineRule="exact"/>
              <w:jc w:val="center"/>
              <w:rPr>
                <w:rFonts w:ascii="宋体" w:hAnsi="宋体"/>
                <w:color w:val="auto"/>
                <w:szCs w:val="21"/>
                <w:highlight w:val="none"/>
              </w:rPr>
            </w:pPr>
          </w:p>
        </w:tc>
        <w:tc>
          <w:tcPr>
            <w:tcW w:w="1304" w:type="dxa"/>
            <w:noWrap w:val="0"/>
            <w:vAlign w:val="top"/>
          </w:tcPr>
          <w:p w14:paraId="7366C1A4">
            <w:pPr>
              <w:spacing w:line="400" w:lineRule="exact"/>
              <w:jc w:val="center"/>
              <w:rPr>
                <w:rFonts w:ascii="宋体" w:hAnsi="宋体"/>
                <w:color w:val="auto"/>
                <w:szCs w:val="21"/>
                <w:highlight w:val="none"/>
              </w:rPr>
            </w:pPr>
          </w:p>
        </w:tc>
        <w:tc>
          <w:tcPr>
            <w:tcW w:w="1065" w:type="dxa"/>
            <w:noWrap w:val="0"/>
            <w:vAlign w:val="top"/>
          </w:tcPr>
          <w:p w14:paraId="06C5EFF4">
            <w:pPr>
              <w:spacing w:line="400" w:lineRule="exact"/>
              <w:jc w:val="center"/>
              <w:rPr>
                <w:rFonts w:ascii="宋体" w:hAnsi="宋体"/>
                <w:color w:val="auto"/>
                <w:szCs w:val="21"/>
                <w:highlight w:val="none"/>
              </w:rPr>
            </w:pPr>
          </w:p>
        </w:tc>
        <w:tc>
          <w:tcPr>
            <w:tcW w:w="1065" w:type="dxa"/>
            <w:noWrap w:val="0"/>
            <w:vAlign w:val="top"/>
          </w:tcPr>
          <w:p w14:paraId="1C1C5DA5">
            <w:pPr>
              <w:spacing w:line="400" w:lineRule="exact"/>
              <w:jc w:val="center"/>
              <w:rPr>
                <w:rFonts w:ascii="宋体" w:hAnsi="宋体"/>
                <w:color w:val="auto"/>
                <w:szCs w:val="21"/>
                <w:highlight w:val="none"/>
              </w:rPr>
            </w:pPr>
          </w:p>
        </w:tc>
        <w:tc>
          <w:tcPr>
            <w:tcW w:w="1065" w:type="dxa"/>
            <w:noWrap w:val="0"/>
            <w:vAlign w:val="top"/>
          </w:tcPr>
          <w:p w14:paraId="30924644">
            <w:pPr>
              <w:spacing w:line="400" w:lineRule="exact"/>
              <w:jc w:val="center"/>
              <w:rPr>
                <w:rFonts w:ascii="宋体" w:hAnsi="宋体"/>
                <w:color w:val="auto"/>
                <w:szCs w:val="21"/>
                <w:highlight w:val="none"/>
              </w:rPr>
            </w:pPr>
          </w:p>
        </w:tc>
        <w:tc>
          <w:tcPr>
            <w:tcW w:w="1065" w:type="dxa"/>
            <w:noWrap w:val="0"/>
            <w:vAlign w:val="top"/>
          </w:tcPr>
          <w:p w14:paraId="639DD9B2">
            <w:pPr>
              <w:spacing w:line="400" w:lineRule="exact"/>
              <w:jc w:val="center"/>
              <w:rPr>
                <w:rFonts w:ascii="宋体" w:hAnsi="宋体"/>
                <w:color w:val="auto"/>
                <w:szCs w:val="21"/>
                <w:highlight w:val="none"/>
              </w:rPr>
            </w:pPr>
          </w:p>
        </w:tc>
        <w:tc>
          <w:tcPr>
            <w:tcW w:w="1065" w:type="dxa"/>
            <w:noWrap w:val="0"/>
            <w:vAlign w:val="top"/>
          </w:tcPr>
          <w:p w14:paraId="60B68A01">
            <w:pPr>
              <w:spacing w:line="400" w:lineRule="exact"/>
              <w:jc w:val="center"/>
              <w:rPr>
                <w:rFonts w:ascii="宋体" w:hAnsi="宋体"/>
                <w:color w:val="auto"/>
                <w:szCs w:val="21"/>
                <w:highlight w:val="none"/>
              </w:rPr>
            </w:pPr>
          </w:p>
        </w:tc>
        <w:tc>
          <w:tcPr>
            <w:tcW w:w="1064" w:type="dxa"/>
            <w:noWrap w:val="0"/>
            <w:vAlign w:val="top"/>
          </w:tcPr>
          <w:p w14:paraId="560508F6">
            <w:pPr>
              <w:spacing w:line="400" w:lineRule="exact"/>
              <w:jc w:val="center"/>
              <w:rPr>
                <w:rFonts w:ascii="宋体" w:hAnsi="宋体"/>
                <w:color w:val="auto"/>
                <w:szCs w:val="21"/>
                <w:highlight w:val="none"/>
              </w:rPr>
            </w:pPr>
          </w:p>
        </w:tc>
      </w:tr>
      <w:tr w14:paraId="5155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E5AE35E">
            <w:pPr>
              <w:spacing w:line="400" w:lineRule="exact"/>
              <w:jc w:val="center"/>
              <w:rPr>
                <w:rFonts w:ascii="宋体" w:hAnsi="宋体"/>
                <w:color w:val="auto"/>
                <w:szCs w:val="21"/>
                <w:highlight w:val="none"/>
              </w:rPr>
            </w:pPr>
          </w:p>
        </w:tc>
        <w:tc>
          <w:tcPr>
            <w:tcW w:w="1304" w:type="dxa"/>
            <w:noWrap w:val="0"/>
            <w:vAlign w:val="top"/>
          </w:tcPr>
          <w:p w14:paraId="3830156A">
            <w:pPr>
              <w:spacing w:line="400" w:lineRule="exact"/>
              <w:jc w:val="center"/>
              <w:rPr>
                <w:rFonts w:ascii="宋体" w:hAnsi="宋体"/>
                <w:color w:val="auto"/>
                <w:szCs w:val="21"/>
                <w:highlight w:val="none"/>
              </w:rPr>
            </w:pPr>
          </w:p>
        </w:tc>
        <w:tc>
          <w:tcPr>
            <w:tcW w:w="1065" w:type="dxa"/>
            <w:noWrap w:val="0"/>
            <w:vAlign w:val="top"/>
          </w:tcPr>
          <w:p w14:paraId="399A01A0">
            <w:pPr>
              <w:spacing w:line="400" w:lineRule="exact"/>
              <w:jc w:val="center"/>
              <w:rPr>
                <w:rFonts w:ascii="宋体" w:hAnsi="宋体"/>
                <w:color w:val="auto"/>
                <w:szCs w:val="21"/>
                <w:highlight w:val="none"/>
              </w:rPr>
            </w:pPr>
          </w:p>
        </w:tc>
        <w:tc>
          <w:tcPr>
            <w:tcW w:w="1065" w:type="dxa"/>
            <w:noWrap w:val="0"/>
            <w:vAlign w:val="top"/>
          </w:tcPr>
          <w:p w14:paraId="0D062501">
            <w:pPr>
              <w:spacing w:line="400" w:lineRule="exact"/>
              <w:jc w:val="center"/>
              <w:rPr>
                <w:rFonts w:ascii="宋体" w:hAnsi="宋体"/>
                <w:color w:val="auto"/>
                <w:szCs w:val="21"/>
                <w:highlight w:val="none"/>
              </w:rPr>
            </w:pPr>
          </w:p>
        </w:tc>
        <w:tc>
          <w:tcPr>
            <w:tcW w:w="1065" w:type="dxa"/>
            <w:noWrap w:val="0"/>
            <w:vAlign w:val="top"/>
          </w:tcPr>
          <w:p w14:paraId="6138BFDD">
            <w:pPr>
              <w:spacing w:line="400" w:lineRule="exact"/>
              <w:jc w:val="center"/>
              <w:rPr>
                <w:rFonts w:ascii="宋体" w:hAnsi="宋体"/>
                <w:color w:val="auto"/>
                <w:szCs w:val="21"/>
                <w:highlight w:val="none"/>
              </w:rPr>
            </w:pPr>
          </w:p>
        </w:tc>
        <w:tc>
          <w:tcPr>
            <w:tcW w:w="1065" w:type="dxa"/>
            <w:noWrap w:val="0"/>
            <w:vAlign w:val="top"/>
          </w:tcPr>
          <w:p w14:paraId="743DF69D">
            <w:pPr>
              <w:spacing w:line="400" w:lineRule="exact"/>
              <w:jc w:val="center"/>
              <w:rPr>
                <w:rFonts w:ascii="宋体" w:hAnsi="宋体"/>
                <w:color w:val="auto"/>
                <w:szCs w:val="21"/>
                <w:highlight w:val="none"/>
              </w:rPr>
            </w:pPr>
            <w:bookmarkStart w:id="1177" w:name="_Toc168476329"/>
            <w:bookmarkStart w:id="1178" w:name="_Toc168475926"/>
            <w:bookmarkStart w:id="1179" w:name="_Toc144974867"/>
            <w:bookmarkStart w:id="1180" w:name="_Toc221952101"/>
          </w:p>
        </w:tc>
        <w:tc>
          <w:tcPr>
            <w:tcW w:w="1065" w:type="dxa"/>
            <w:noWrap w:val="0"/>
            <w:vAlign w:val="top"/>
          </w:tcPr>
          <w:p w14:paraId="02D8FBE7">
            <w:pPr>
              <w:spacing w:line="400" w:lineRule="exact"/>
              <w:jc w:val="center"/>
              <w:rPr>
                <w:rFonts w:ascii="宋体" w:hAnsi="宋体"/>
                <w:color w:val="auto"/>
                <w:szCs w:val="21"/>
                <w:highlight w:val="none"/>
              </w:rPr>
            </w:pPr>
          </w:p>
        </w:tc>
        <w:tc>
          <w:tcPr>
            <w:tcW w:w="1064" w:type="dxa"/>
            <w:noWrap w:val="0"/>
            <w:vAlign w:val="top"/>
          </w:tcPr>
          <w:p w14:paraId="2D314799">
            <w:pPr>
              <w:spacing w:line="400" w:lineRule="exact"/>
              <w:jc w:val="center"/>
              <w:rPr>
                <w:rFonts w:ascii="宋体" w:hAnsi="宋体"/>
                <w:color w:val="auto"/>
                <w:szCs w:val="21"/>
                <w:highlight w:val="none"/>
              </w:rPr>
            </w:pPr>
          </w:p>
        </w:tc>
      </w:tr>
      <w:tr w14:paraId="430A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BBD3B18">
            <w:pPr>
              <w:spacing w:line="400" w:lineRule="exact"/>
              <w:jc w:val="center"/>
              <w:rPr>
                <w:rFonts w:ascii="宋体" w:hAnsi="宋体"/>
                <w:color w:val="auto"/>
                <w:szCs w:val="21"/>
                <w:highlight w:val="none"/>
              </w:rPr>
            </w:pPr>
          </w:p>
        </w:tc>
        <w:tc>
          <w:tcPr>
            <w:tcW w:w="1304" w:type="dxa"/>
            <w:noWrap w:val="0"/>
            <w:vAlign w:val="top"/>
          </w:tcPr>
          <w:p w14:paraId="78186B30">
            <w:pPr>
              <w:spacing w:line="400" w:lineRule="exact"/>
              <w:jc w:val="center"/>
              <w:rPr>
                <w:rFonts w:ascii="宋体" w:hAnsi="宋体"/>
                <w:color w:val="auto"/>
                <w:szCs w:val="21"/>
                <w:highlight w:val="none"/>
              </w:rPr>
            </w:pPr>
          </w:p>
        </w:tc>
        <w:tc>
          <w:tcPr>
            <w:tcW w:w="1065" w:type="dxa"/>
            <w:noWrap w:val="0"/>
            <w:vAlign w:val="top"/>
          </w:tcPr>
          <w:p w14:paraId="02735499">
            <w:pPr>
              <w:spacing w:line="400" w:lineRule="exact"/>
              <w:jc w:val="center"/>
              <w:rPr>
                <w:rFonts w:ascii="宋体" w:hAnsi="宋体"/>
                <w:color w:val="auto"/>
                <w:szCs w:val="21"/>
                <w:highlight w:val="none"/>
              </w:rPr>
            </w:pPr>
          </w:p>
        </w:tc>
        <w:tc>
          <w:tcPr>
            <w:tcW w:w="1065" w:type="dxa"/>
            <w:noWrap w:val="0"/>
            <w:vAlign w:val="top"/>
          </w:tcPr>
          <w:p w14:paraId="179854FA">
            <w:pPr>
              <w:spacing w:line="400" w:lineRule="exact"/>
              <w:jc w:val="center"/>
              <w:rPr>
                <w:rFonts w:ascii="宋体" w:hAnsi="宋体"/>
                <w:color w:val="auto"/>
                <w:szCs w:val="21"/>
                <w:highlight w:val="none"/>
              </w:rPr>
            </w:pPr>
          </w:p>
        </w:tc>
        <w:tc>
          <w:tcPr>
            <w:tcW w:w="1065" w:type="dxa"/>
            <w:noWrap w:val="0"/>
            <w:vAlign w:val="top"/>
          </w:tcPr>
          <w:p w14:paraId="55B06CC4">
            <w:pPr>
              <w:spacing w:line="400" w:lineRule="exact"/>
              <w:jc w:val="center"/>
              <w:rPr>
                <w:rFonts w:ascii="宋体" w:hAnsi="宋体"/>
                <w:color w:val="auto"/>
                <w:szCs w:val="21"/>
                <w:highlight w:val="none"/>
              </w:rPr>
            </w:pPr>
          </w:p>
        </w:tc>
        <w:tc>
          <w:tcPr>
            <w:tcW w:w="1065" w:type="dxa"/>
            <w:noWrap w:val="0"/>
            <w:vAlign w:val="top"/>
          </w:tcPr>
          <w:p w14:paraId="44417507">
            <w:pPr>
              <w:spacing w:line="400" w:lineRule="exact"/>
              <w:jc w:val="center"/>
              <w:rPr>
                <w:rFonts w:ascii="宋体" w:hAnsi="宋体"/>
                <w:color w:val="auto"/>
                <w:szCs w:val="21"/>
                <w:highlight w:val="none"/>
              </w:rPr>
            </w:pPr>
          </w:p>
        </w:tc>
        <w:tc>
          <w:tcPr>
            <w:tcW w:w="1065" w:type="dxa"/>
            <w:noWrap w:val="0"/>
            <w:vAlign w:val="top"/>
          </w:tcPr>
          <w:p w14:paraId="4BECEFA2">
            <w:pPr>
              <w:spacing w:line="400" w:lineRule="exact"/>
              <w:jc w:val="center"/>
              <w:rPr>
                <w:rFonts w:ascii="宋体" w:hAnsi="宋体"/>
                <w:color w:val="auto"/>
                <w:szCs w:val="21"/>
                <w:highlight w:val="none"/>
              </w:rPr>
            </w:pPr>
          </w:p>
        </w:tc>
        <w:tc>
          <w:tcPr>
            <w:tcW w:w="1064" w:type="dxa"/>
            <w:noWrap w:val="0"/>
            <w:vAlign w:val="top"/>
          </w:tcPr>
          <w:p w14:paraId="25637778">
            <w:pPr>
              <w:spacing w:line="400" w:lineRule="exact"/>
              <w:jc w:val="center"/>
              <w:rPr>
                <w:rFonts w:ascii="宋体" w:hAnsi="宋体"/>
                <w:color w:val="auto"/>
                <w:szCs w:val="21"/>
                <w:highlight w:val="none"/>
              </w:rPr>
            </w:pPr>
          </w:p>
        </w:tc>
      </w:tr>
      <w:tr w14:paraId="3E1B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5DBC7624">
            <w:pPr>
              <w:spacing w:line="400" w:lineRule="exact"/>
              <w:jc w:val="center"/>
              <w:rPr>
                <w:rFonts w:ascii="宋体" w:hAnsi="宋体"/>
                <w:color w:val="auto"/>
                <w:szCs w:val="21"/>
                <w:highlight w:val="none"/>
              </w:rPr>
            </w:pPr>
          </w:p>
        </w:tc>
        <w:tc>
          <w:tcPr>
            <w:tcW w:w="1304" w:type="dxa"/>
            <w:noWrap w:val="0"/>
            <w:vAlign w:val="top"/>
          </w:tcPr>
          <w:p w14:paraId="372D8B57">
            <w:pPr>
              <w:spacing w:line="400" w:lineRule="exact"/>
              <w:jc w:val="center"/>
              <w:rPr>
                <w:rFonts w:ascii="宋体" w:hAnsi="宋体"/>
                <w:color w:val="auto"/>
                <w:szCs w:val="21"/>
                <w:highlight w:val="none"/>
              </w:rPr>
            </w:pPr>
          </w:p>
        </w:tc>
        <w:tc>
          <w:tcPr>
            <w:tcW w:w="1065" w:type="dxa"/>
            <w:noWrap w:val="0"/>
            <w:vAlign w:val="top"/>
          </w:tcPr>
          <w:p w14:paraId="78185B99">
            <w:pPr>
              <w:spacing w:line="400" w:lineRule="exact"/>
              <w:jc w:val="center"/>
              <w:rPr>
                <w:rFonts w:ascii="宋体" w:hAnsi="宋体"/>
                <w:color w:val="auto"/>
                <w:szCs w:val="21"/>
                <w:highlight w:val="none"/>
              </w:rPr>
            </w:pPr>
          </w:p>
        </w:tc>
        <w:tc>
          <w:tcPr>
            <w:tcW w:w="1065" w:type="dxa"/>
            <w:noWrap w:val="0"/>
            <w:vAlign w:val="top"/>
          </w:tcPr>
          <w:p w14:paraId="14EDAAC9">
            <w:pPr>
              <w:spacing w:line="400" w:lineRule="exact"/>
              <w:jc w:val="center"/>
              <w:rPr>
                <w:rFonts w:ascii="宋体" w:hAnsi="宋体"/>
                <w:color w:val="auto"/>
                <w:szCs w:val="21"/>
                <w:highlight w:val="none"/>
              </w:rPr>
            </w:pPr>
          </w:p>
          <w:bookmarkEnd w:id="1177"/>
          <w:bookmarkEnd w:id="1178"/>
          <w:bookmarkEnd w:id="1179"/>
          <w:bookmarkEnd w:id="1180"/>
        </w:tc>
        <w:tc>
          <w:tcPr>
            <w:tcW w:w="1065" w:type="dxa"/>
            <w:noWrap w:val="0"/>
            <w:vAlign w:val="top"/>
          </w:tcPr>
          <w:p w14:paraId="20F171BA">
            <w:pPr>
              <w:spacing w:line="400" w:lineRule="exact"/>
              <w:jc w:val="center"/>
              <w:rPr>
                <w:rFonts w:ascii="宋体" w:hAnsi="宋体"/>
                <w:color w:val="auto"/>
                <w:szCs w:val="21"/>
                <w:highlight w:val="none"/>
              </w:rPr>
            </w:pPr>
          </w:p>
        </w:tc>
        <w:tc>
          <w:tcPr>
            <w:tcW w:w="1065" w:type="dxa"/>
            <w:noWrap w:val="0"/>
            <w:vAlign w:val="top"/>
          </w:tcPr>
          <w:p w14:paraId="4CD38E32">
            <w:pPr>
              <w:spacing w:line="400" w:lineRule="exact"/>
              <w:jc w:val="center"/>
              <w:rPr>
                <w:rFonts w:ascii="宋体" w:hAnsi="宋体"/>
                <w:color w:val="auto"/>
                <w:szCs w:val="21"/>
                <w:highlight w:val="none"/>
              </w:rPr>
            </w:pPr>
            <w:bookmarkStart w:id="1181" w:name="_Toc221952102"/>
          </w:p>
        </w:tc>
        <w:tc>
          <w:tcPr>
            <w:tcW w:w="1065" w:type="dxa"/>
            <w:noWrap w:val="0"/>
            <w:vAlign w:val="top"/>
          </w:tcPr>
          <w:p w14:paraId="74A48B22">
            <w:pPr>
              <w:spacing w:line="400" w:lineRule="exact"/>
              <w:jc w:val="center"/>
              <w:rPr>
                <w:rFonts w:ascii="宋体" w:hAnsi="宋体"/>
                <w:color w:val="auto"/>
                <w:szCs w:val="21"/>
                <w:highlight w:val="none"/>
              </w:rPr>
            </w:pPr>
          </w:p>
        </w:tc>
        <w:tc>
          <w:tcPr>
            <w:tcW w:w="1064" w:type="dxa"/>
            <w:noWrap w:val="0"/>
            <w:vAlign w:val="top"/>
          </w:tcPr>
          <w:p w14:paraId="096D36AD">
            <w:pPr>
              <w:spacing w:line="400" w:lineRule="exact"/>
              <w:jc w:val="center"/>
              <w:rPr>
                <w:rFonts w:ascii="宋体" w:hAnsi="宋体"/>
                <w:color w:val="auto"/>
                <w:szCs w:val="21"/>
                <w:highlight w:val="none"/>
              </w:rPr>
            </w:pPr>
          </w:p>
        </w:tc>
      </w:tr>
      <w:bookmarkEnd w:id="1181"/>
    </w:tbl>
    <w:p w14:paraId="4BA1A8A4">
      <w:pPr>
        <w:topLinePunct/>
        <w:spacing w:line="400" w:lineRule="exact"/>
        <w:rPr>
          <w:color w:val="auto"/>
          <w:sz w:val="20"/>
          <w:szCs w:val="20"/>
          <w:highlight w:val="none"/>
        </w:rPr>
      </w:pPr>
    </w:p>
    <w:p w14:paraId="1AD99480">
      <w:pPr>
        <w:widowControl/>
        <w:jc w:val="left"/>
        <w:rPr>
          <w:rFonts w:ascii="宋体" w:hAnsi="宋体"/>
          <w:b/>
          <w:color w:val="auto"/>
          <w:sz w:val="24"/>
          <w:szCs w:val="31"/>
          <w:highlight w:val="none"/>
        </w:rPr>
      </w:pPr>
      <w:bookmarkStart w:id="1182" w:name="_Toc221952103"/>
      <w:r>
        <w:rPr>
          <w:rFonts w:ascii="宋体" w:hAnsi="宋体"/>
          <w:b/>
          <w:color w:val="auto"/>
          <w:sz w:val="24"/>
          <w:szCs w:val="31"/>
          <w:highlight w:val="none"/>
        </w:rPr>
        <w:br w:type="page"/>
      </w:r>
    </w:p>
    <w:bookmarkEnd w:id="1182"/>
    <w:p w14:paraId="1DA5FC70">
      <w:pPr>
        <w:spacing w:line="400" w:lineRule="exact"/>
        <w:jc w:val="center"/>
        <w:outlineLvl w:val="3"/>
        <w:rPr>
          <w:rFonts w:ascii="宋体" w:hAnsi="宋体"/>
          <w:b/>
          <w:color w:val="auto"/>
          <w:sz w:val="24"/>
          <w:szCs w:val="31"/>
          <w:highlight w:val="none"/>
        </w:rPr>
      </w:pPr>
      <w:r>
        <w:rPr>
          <w:rFonts w:ascii="宋体" w:hAnsi="宋体"/>
          <w:b/>
          <w:color w:val="auto"/>
          <w:sz w:val="24"/>
          <w:szCs w:val="31"/>
          <w:highlight w:val="none"/>
        </w:rPr>
        <w:t>附</w:t>
      </w:r>
      <w:bookmarkStart w:id="1183" w:name="_Toc221952104"/>
      <w:r>
        <w:rPr>
          <w:rFonts w:ascii="宋体" w:hAnsi="宋体"/>
          <w:b/>
          <w:color w:val="auto"/>
          <w:sz w:val="24"/>
          <w:szCs w:val="31"/>
          <w:highlight w:val="none"/>
        </w:rPr>
        <w:t>表四：计划开</w:t>
      </w:r>
      <w:r>
        <w:rPr>
          <w:rFonts w:hint="eastAsia" w:ascii="宋体" w:hAnsi="宋体"/>
          <w:b/>
          <w:color w:val="auto"/>
          <w:sz w:val="24"/>
          <w:szCs w:val="31"/>
          <w:highlight w:val="none"/>
        </w:rPr>
        <w:t>工日期</w:t>
      </w:r>
      <w:r>
        <w:rPr>
          <w:rFonts w:ascii="宋体" w:hAnsi="宋体"/>
          <w:b/>
          <w:color w:val="auto"/>
          <w:sz w:val="24"/>
          <w:szCs w:val="31"/>
          <w:highlight w:val="none"/>
        </w:rPr>
        <w:t>、</w:t>
      </w:r>
      <w:r>
        <w:rPr>
          <w:rFonts w:hint="eastAsia" w:ascii="宋体" w:hAnsi="宋体"/>
          <w:b/>
          <w:color w:val="auto"/>
          <w:sz w:val="24"/>
          <w:szCs w:val="31"/>
          <w:highlight w:val="none"/>
        </w:rPr>
        <w:t>完工</w:t>
      </w:r>
      <w:r>
        <w:rPr>
          <w:rFonts w:ascii="宋体" w:hAnsi="宋体"/>
          <w:b/>
          <w:color w:val="auto"/>
          <w:sz w:val="24"/>
          <w:szCs w:val="31"/>
          <w:highlight w:val="none"/>
        </w:rPr>
        <w:t>日期</w:t>
      </w:r>
      <w:bookmarkEnd w:id="1183"/>
      <w:r>
        <w:rPr>
          <w:rFonts w:ascii="宋体" w:hAnsi="宋体"/>
          <w:b/>
          <w:color w:val="auto"/>
          <w:sz w:val="24"/>
          <w:szCs w:val="31"/>
          <w:highlight w:val="none"/>
        </w:rPr>
        <w:t>和施工进度网络图</w:t>
      </w:r>
    </w:p>
    <w:p w14:paraId="3892E83B">
      <w:pPr>
        <w:spacing w:line="400" w:lineRule="exact"/>
        <w:rPr>
          <w:rFonts w:eastAsia="黑体"/>
          <w:color w:val="auto"/>
          <w:sz w:val="19"/>
          <w:szCs w:val="19"/>
          <w:highlight w:val="none"/>
        </w:rPr>
      </w:pPr>
    </w:p>
    <w:p w14:paraId="16D7718D">
      <w:pPr>
        <w:spacing w:line="400" w:lineRule="exact"/>
        <w:ind w:firstLine="420" w:firstLineChars="200"/>
        <w:rPr>
          <w:rFonts w:ascii="宋体" w:hAnsi="宋体"/>
          <w:color w:val="auto"/>
          <w:szCs w:val="21"/>
          <w:highlight w:val="none"/>
        </w:rPr>
      </w:pPr>
      <w:r>
        <w:rPr>
          <w:rFonts w:ascii="宋体" w:hAnsi="宋体"/>
          <w:color w:val="auto"/>
          <w:szCs w:val="21"/>
          <w:highlight w:val="none"/>
        </w:rPr>
        <w:t>1. 投标人应递交施工进度网络图或施工进度表，说明按招标文件要求的计划工期进行施工的各个关键日期。</w:t>
      </w:r>
    </w:p>
    <w:p w14:paraId="40905C9C">
      <w:pPr>
        <w:spacing w:line="400" w:lineRule="exact"/>
        <w:ind w:firstLine="420" w:firstLineChars="200"/>
        <w:rPr>
          <w:rFonts w:ascii="宋体" w:hAnsi="宋体"/>
          <w:color w:val="auto"/>
          <w:szCs w:val="21"/>
          <w:highlight w:val="none"/>
        </w:rPr>
      </w:pPr>
      <w:r>
        <w:rPr>
          <w:rFonts w:ascii="宋体" w:hAnsi="宋体"/>
          <w:color w:val="auto"/>
          <w:szCs w:val="21"/>
          <w:highlight w:val="none"/>
        </w:rPr>
        <w:t>2. 施工进度表可采用网络图（或横道图）表示。</w:t>
      </w:r>
    </w:p>
    <w:p w14:paraId="60A5E67B">
      <w:pPr>
        <w:spacing w:line="400" w:lineRule="exact"/>
        <w:rPr>
          <w:color w:val="auto"/>
          <w:sz w:val="19"/>
          <w:szCs w:val="19"/>
          <w:highlight w:val="none"/>
        </w:rPr>
      </w:pPr>
    </w:p>
    <w:p w14:paraId="0E955FA2">
      <w:pPr>
        <w:spacing w:line="400" w:lineRule="exact"/>
        <w:rPr>
          <w:rFonts w:eastAsia="黑体"/>
          <w:color w:val="auto"/>
          <w:sz w:val="19"/>
          <w:szCs w:val="19"/>
          <w:highlight w:val="none"/>
        </w:rPr>
      </w:pPr>
    </w:p>
    <w:p w14:paraId="0D74325A">
      <w:pPr>
        <w:spacing w:line="400" w:lineRule="exact"/>
        <w:rPr>
          <w:rFonts w:eastAsia="黑体"/>
          <w:color w:val="auto"/>
          <w:sz w:val="19"/>
          <w:szCs w:val="19"/>
          <w:highlight w:val="none"/>
        </w:rPr>
      </w:pPr>
      <w:r>
        <w:rPr>
          <w:rFonts w:eastAsia="黑体"/>
          <w:color w:val="auto"/>
          <w:sz w:val="19"/>
          <w:szCs w:val="19"/>
          <w:highlight w:val="none"/>
        </w:rPr>
        <w:br w:type="page"/>
      </w:r>
    </w:p>
    <w:p w14:paraId="47A80F6E">
      <w:pPr>
        <w:spacing w:line="400" w:lineRule="exact"/>
        <w:jc w:val="center"/>
        <w:outlineLvl w:val="3"/>
        <w:rPr>
          <w:rFonts w:ascii="宋体" w:hAnsi="宋体"/>
          <w:b/>
          <w:color w:val="auto"/>
          <w:sz w:val="24"/>
          <w:szCs w:val="31"/>
          <w:highlight w:val="none"/>
        </w:rPr>
      </w:pPr>
      <w:r>
        <w:rPr>
          <w:rFonts w:ascii="宋体" w:hAnsi="宋体"/>
          <w:b/>
          <w:color w:val="auto"/>
          <w:sz w:val="24"/>
          <w:szCs w:val="31"/>
          <w:highlight w:val="none"/>
        </w:rPr>
        <w:t>附表五：施工总平面图</w:t>
      </w:r>
    </w:p>
    <w:p w14:paraId="13E03005">
      <w:pPr>
        <w:spacing w:line="400" w:lineRule="exact"/>
        <w:rPr>
          <w:rFonts w:eastAsia="黑体"/>
          <w:color w:val="auto"/>
          <w:sz w:val="19"/>
          <w:szCs w:val="19"/>
          <w:highlight w:val="none"/>
        </w:rPr>
      </w:pPr>
      <w:r>
        <w:rPr>
          <w:rFonts w:eastAsia="黑体"/>
          <w:color w:val="auto"/>
          <w:sz w:val="19"/>
          <w:szCs w:val="19"/>
          <w:highlight w:val="none"/>
        </w:rPr>
        <w:tab/>
      </w:r>
    </w:p>
    <w:p w14:paraId="2AB805F9">
      <w:pPr>
        <w:spacing w:line="400" w:lineRule="exact"/>
        <w:ind w:firstLine="420" w:firstLineChars="200"/>
        <w:rPr>
          <w:color w:val="auto"/>
          <w:szCs w:val="21"/>
          <w:highlight w:val="none"/>
        </w:rPr>
      </w:pPr>
      <w:r>
        <w:rPr>
          <w:color w:val="auto"/>
          <w:szCs w:val="21"/>
          <w:highlight w:val="none"/>
        </w:rPr>
        <w:t>投标人应递交一份施工总平面图，绘出现场临时设施布置图表并附文字说明，说明临时设施、加工车间、现场办公、设备及仓储、供电、供水、卫生、生活、道路、消防等设施的情况和布置。</w:t>
      </w:r>
    </w:p>
    <w:p w14:paraId="438B3C90">
      <w:pPr>
        <w:spacing w:line="400" w:lineRule="exact"/>
        <w:rPr>
          <w:rFonts w:eastAsia="黑体"/>
          <w:color w:val="auto"/>
          <w:sz w:val="19"/>
          <w:szCs w:val="19"/>
          <w:highlight w:val="none"/>
        </w:rPr>
      </w:pPr>
    </w:p>
    <w:p w14:paraId="1D17B4D0">
      <w:pPr>
        <w:spacing w:line="400" w:lineRule="exact"/>
        <w:rPr>
          <w:rFonts w:eastAsia="黑体"/>
          <w:color w:val="auto"/>
          <w:sz w:val="19"/>
          <w:szCs w:val="19"/>
          <w:highlight w:val="none"/>
        </w:rPr>
      </w:pPr>
      <w:r>
        <w:rPr>
          <w:rFonts w:eastAsia="黑体"/>
          <w:color w:val="auto"/>
          <w:sz w:val="19"/>
          <w:szCs w:val="19"/>
          <w:highlight w:val="none"/>
        </w:rPr>
        <w:br w:type="page"/>
      </w:r>
    </w:p>
    <w:p w14:paraId="68CDCB9C">
      <w:pPr>
        <w:spacing w:line="400" w:lineRule="exact"/>
        <w:jc w:val="center"/>
        <w:outlineLvl w:val="3"/>
        <w:rPr>
          <w:rFonts w:ascii="宋体" w:hAnsi="宋体"/>
          <w:b/>
          <w:color w:val="auto"/>
          <w:sz w:val="24"/>
          <w:szCs w:val="31"/>
          <w:highlight w:val="none"/>
        </w:rPr>
      </w:pPr>
      <w:r>
        <w:rPr>
          <w:rFonts w:ascii="宋体" w:hAnsi="宋体"/>
          <w:b/>
          <w:color w:val="auto"/>
          <w:sz w:val="24"/>
          <w:szCs w:val="31"/>
          <w:highlight w:val="none"/>
        </w:rPr>
        <w:t>附表六</w:t>
      </w:r>
      <w:r>
        <w:rPr>
          <w:rFonts w:hint="eastAsia" w:ascii="宋体" w:hAnsi="宋体"/>
          <w:b/>
          <w:color w:val="auto"/>
          <w:sz w:val="24"/>
          <w:szCs w:val="31"/>
          <w:highlight w:val="none"/>
        </w:rPr>
        <w:t>：</w:t>
      </w:r>
      <w:r>
        <w:rPr>
          <w:rFonts w:ascii="宋体" w:hAnsi="宋体"/>
          <w:b/>
          <w:color w:val="auto"/>
          <w:sz w:val="24"/>
          <w:szCs w:val="31"/>
          <w:highlight w:val="none"/>
        </w:rPr>
        <w:t>临时用地表</w:t>
      </w:r>
    </w:p>
    <w:p w14:paraId="7CA8195E">
      <w:pPr>
        <w:spacing w:line="400" w:lineRule="exact"/>
        <w:jc w:val="left"/>
        <w:rPr>
          <w:color w:val="auto"/>
          <w:sz w:val="22"/>
          <w:highlight w:val="none"/>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14:paraId="6B88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0C6EB3A">
            <w:pPr>
              <w:spacing w:line="400" w:lineRule="exact"/>
              <w:jc w:val="center"/>
              <w:rPr>
                <w:rFonts w:ascii="宋体" w:hAnsi="宋体"/>
                <w:color w:val="auto"/>
                <w:szCs w:val="21"/>
                <w:highlight w:val="none"/>
              </w:rPr>
            </w:pPr>
            <w:r>
              <w:rPr>
                <w:rFonts w:ascii="宋体" w:hAnsi="宋体"/>
                <w:color w:val="auto"/>
                <w:szCs w:val="21"/>
                <w:highlight w:val="none"/>
              </w:rPr>
              <w:t>用 途</w:t>
            </w:r>
          </w:p>
        </w:tc>
        <w:tc>
          <w:tcPr>
            <w:tcW w:w="2130" w:type="dxa"/>
            <w:noWrap w:val="0"/>
            <w:vAlign w:val="top"/>
          </w:tcPr>
          <w:p w14:paraId="5B5F3F8D">
            <w:pPr>
              <w:spacing w:line="400" w:lineRule="exact"/>
              <w:jc w:val="center"/>
              <w:rPr>
                <w:rFonts w:ascii="宋体" w:hAnsi="宋体"/>
                <w:color w:val="auto"/>
                <w:szCs w:val="21"/>
                <w:highlight w:val="none"/>
              </w:rPr>
            </w:pPr>
            <w:r>
              <w:rPr>
                <w:rFonts w:ascii="宋体" w:hAnsi="宋体"/>
                <w:color w:val="auto"/>
                <w:szCs w:val="21"/>
                <w:highlight w:val="none"/>
              </w:rPr>
              <w:t>面 积（</w:t>
            </w:r>
            <w:r>
              <w:rPr>
                <w:rFonts w:hint="eastAsia" w:ascii="宋体" w:hAnsi="宋体"/>
                <w:color w:val="auto"/>
                <w:szCs w:val="21"/>
                <w:highlight w:val="none"/>
              </w:rPr>
              <w:t>㎡</w:t>
            </w:r>
            <w:r>
              <w:rPr>
                <w:rFonts w:ascii="宋体" w:hAnsi="宋体"/>
                <w:color w:val="auto"/>
                <w:szCs w:val="21"/>
                <w:highlight w:val="none"/>
              </w:rPr>
              <w:t>）</w:t>
            </w:r>
          </w:p>
        </w:tc>
        <w:tc>
          <w:tcPr>
            <w:tcW w:w="2131" w:type="dxa"/>
            <w:noWrap w:val="0"/>
            <w:vAlign w:val="top"/>
          </w:tcPr>
          <w:p w14:paraId="78533993">
            <w:pPr>
              <w:spacing w:line="400" w:lineRule="exact"/>
              <w:jc w:val="center"/>
              <w:rPr>
                <w:rFonts w:ascii="宋体" w:hAnsi="宋体"/>
                <w:color w:val="auto"/>
                <w:szCs w:val="21"/>
                <w:highlight w:val="none"/>
              </w:rPr>
            </w:pPr>
            <w:bookmarkStart w:id="1184" w:name="_Toc168476330"/>
            <w:bookmarkStart w:id="1185" w:name="_Toc168475927"/>
            <w:bookmarkStart w:id="1186" w:name="_Toc221952105"/>
            <w:bookmarkStart w:id="1187" w:name="_Toc144974868"/>
            <w:r>
              <w:rPr>
                <w:rFonts w:ascii="宋体" w:hAnsi="宋体"/>
                <w:color w:val="auto"/>
                <w:szCs w:val="21"/>
                <w:highlight w:val="none"/>
              </w:rPr>
              <w:t>位 置</w:t>
            </w:r>
          </w:p>
        </w:tc>
        <w:tc>
          <w:tcPr>
            <w:tcW w:w="2131" w:type="dxa"/>
            <w:noWrap w:val="0"/>
            <w:vAlign w:val="top"/>
          </w:tcPr>
          <w:p w14:paraId="7C3CE00C">
            <w:pPr>
              <w:spacing w:line="400" w:lineRule="exact"/>
              <w:jc w:val="center"/>
              <w:rPr>
                <w:rFonts w:ascii="宋体" w:hAnsi="宋体"/>
                <w:color w:val="auto"/>
                <w:szCs w:val="21"/>
                <w:highlight w:val="none"/>
              </w:rPr>
            </w:pPr>
            <w:r>
              <w:rPr>
                <w:rFonts w:ascii="宋体" w:hAnsi="宋体"/>
                <w:color w:val="auto"/>
                <w:szCs w:val="21"/>
                <w:highlight w:val="none"/>
              </w:rPr>
              <w:t>需用时间</w:t>
            </w:r>
          </w:p>
        </w:tc>
      </w:tr>
      <w:tr w14:paraId="7254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62F03B5">
            <w:pPr>
              <w:spacing w:line="400" w:lineRule="exact"/>
              <w:jc w:val="center"/>
              <w:rPr>
                <w:rFonts w:ascii="宋体" w:hAnsi="宋体"/>
                <w:color w:val="auto"/>
                <w:szCs w:val="21"/>
                <w:highlight w:val="none"/>
              </w:rPr>
            </w:pPr>
          </w:p>
        </w:tc>
        <w:tc>
          <w:tcPr>
            <w:tcW w:w="2130" w:type="dxa"/>
            <w:noWrap w:val="0"/>
            <w:vAlign w:val="top"/>
          </w:tcPr>
          <w:p w14:paraId="6AF57DC7">
            <w:pPr>
              <w:spacing w:line="400" w:lineRule="exact"/>
              <w:jc w:val="center"/>
              <w:rPr>
                <w:rFonts w:ascii="宋体" w:hAnsi="宋体"/>
                <w:color w:val="auto"/>
                <w:szCs w:val="21"/>
                <w:highlight w:val="none"/>
              </w:rPr>
            </w:pPr>
          </w:p>
        </w:tc>
        <w:tc>
          <w:tcPr>
            <w:tcW w:w="2131" w:type="dxa"/>
            <w:noWrap w:val="0"/>
            <w:vAlign w:val="top"/>
          </w:tcPr>
          <w:p w14:paraId="10A64D03">
            <w:pPr>
              <w:spacing w:line="400" w:lineRule="exact"/>
              <w:jc w:val="center"/>
              <w:rPr>
                <w:rFonts w:ascii="宋体" w:hAnsi="宋体"/>
                <w:color w:val="auto"/>
                <w:szCs w:val="21"/>
                <w:highlight w:val="none"/>
              </w:rPr>
            </w:pPr>
          </w:p>
        </w:tc>
        <w:tc>
          <w:tcPr>
            <w:tcW w:w="2131" w:type="dxa"/>
            <w:noWrap w:val="0"/>
            <w:vAlign w:val="top"/>
          </w:tcPr>
          <w:p w14:paraId="46F8CCFF">
            <w:pPr>
              <w:spacing w:line="400" w:lineRule="exact"/>
              <w:jc w:val="center"/>
              <w:rPr>
                <w:rFonts w:ascii="宋体" w:hAnsi="宋体"/>
                <w:color w:val="auto"/>
                <w:szCs w:val="21"/>
                <w:highlight w:val="none"/>
              </w:rPr>
            </w:pPr>
          </w:p>
        </w:tc>
      </w:tr>
      <w:tr w14:paraId="0E9C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BD81D0B">
            <w:pPr>
              <w:spacing w:line="400" w:lineRule="exact"/>
              <w:jc w:val="center"/>
              <w:rPr>
                <w:rFonts w:ascii="宋体" w:hAnsi="宋体"/>
                <w:color w:val="auto"/>
                <w:szCs w:val="21"/>
                <w:highlight w:val="none"/>
              </w:rPr>
            </w:pPr>
          </w:p>
        </w:tc>
        <w:tc>
          <w:tcPr>
            <w:tcW w:w="2130" w:type="dxa"/>
            <w:noWrap w:val="0"/>
            <w:vAlign w:val="top"/>
          </w:tcPr>
          <w:p w14:paraId="3B6E374F">
            <w:pPr>
              <w:spacing w:line="400" w:lineRule="exact"/>
              <w:jc w:val="center"/>
              <w:rPr>
                <w:rFonts w:ascii="宋体" w:hAnsi="宋体"/>
                <w:color w:val="auto"/>
                <w:szCs w:val="21"/>
                <w:highlight w:val="none"/>
              </w:rPr>
            </w:pPr>
          </w:p>
        </w:tc>
        <w:tc>
          <w:tcPr>
            <w:tcW w:w="2131" w:type="dxa"/>
            <w:noWrap w:val="0"/>
            <w:vAlign w:val="top"/>
          </w:tcPr>
          <w:p w14:paraId="1DDFDA15">
            <w:pPr>
              <w:spacing w:line="400" w:lineRule="exact"/>
              <w:jc w:val="center"/>
              <w:rPr>
                <w:rFonts w:ascii="宋体" w:hAnsi="宋体"/>
                <w:color w:val="auto"/>
                <w:szCs w:val="21"/>
                <w:highlight w:val="none"/>
              </w:rPr>
            </w:pPr>
          </w:p>
        </w:tc>
        <w:tc>
          <w:tcPr>
            <w:tcW w:w="2131" w:type="dxa"/>
            <w:noWrap w:val="0"/>
            <w:vAlign w:val="top"/>
          </w:tcPr>
          <w:p w14:paraId="51F0FDC9">
            <w:pPr>
              <w:spacing w:line="400" w:lineRule="exact"/>
              <w:jc w:val="center"/>
              <w:rPr>
                <w:rFonts w:ascii="宋体" w:hAnsi="宋体"/>
                <w:color w:val="auto"/>
                <w:szCs w:val="21"/>
                <w:highlight w:val="none"/>
              </w:rPr>
            </w:pPr>
          </w:p>
        </w:tc>
      </w:tr>
      <w:tr w14:paraId="7BA6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8F46FEF">
            <w:pPr>
              <w:spacing w:line="400" w:lineRule="exact"/>
              <w:jc w:val="center"/>
              <w:rPr>
                <w:rFonts w:ascii="宋体" w:hAnsi="宋体"/>
                <w:color w:val="auto"/>
                <w:szCs w:val="21"/>
                <w:highlight w:val="none"/>
              </w:rPr>
            </w:pPr>
          </w:p>
        </w:tc>
        <w:tc>
          <w:tcPr>
            <w:tcW w:w="2130" w:type="dxa"/>
            <w:noWrap w:val="0"/>
            <w:vAlign w:val="top"/>
          </w:tcPr>
          <w:p w14:paraId="4FE53F31">
            <w:pPr>
              <w:spacing w:line="400" w:lineRule="exact"/>
              <w:jc w:val="center"/>
              <w:rPr>
                <w:rFonts w:ascii="宋体" w:hAnsi="宋体"/>
                <w:color w:val="auto"/>
                <w:szCs w:val="21"/>
                <w:highlight w:val="none"/>
              </w:rPr>
            </w:pPr>
          </w:p>
        </w:tc>
        <w:tc>
          <w:tcPr>
            <w:tcW w:w="2131" w:type="dxa"/>
            <w:noWrap w:val="0"/>
            <w:vAlign w:val="top"/>
          </w:tcPr>
          <w:p w14:paraId="3159D5F5">
            <w:pPr>
              <w:spacing w:line="400" w:lineRule="exact"/>
              <w:jc w:val="center"/>
              <w:rPr>
                <w:rFonts w:ascii="宋体" w:hAnsi="宋体"/>
                <w:color w:val="auto"/>
                <w:szCs w:val="21"/>
                <w:highlight w:val="none"/>
              </w:rPr>
            </w:pPr>
          </w:p>
        </w:tc>
        <w:tc>
          <w:tcPr>
            <w:tcW w:w="2131" w:type="dxa"/>
            <w:noWrap w:val="0"/>
            <w:vAlign w:val="top"/>
          </w:tcPr>
          <w:p w14:paraId="7A1A7191">
            <w:pPr>
              <w:spacing w:line="400" w:lineRule="exact"/>
              <w:jc w:val="center"/>
              <w:rPr>
                <w:rFonts w:ascii="宋体" w:hAnsi="宋体"/>
                <w:color w:val="auto"/>
                <w:szCs w:val="21"/>
                <w:highlight w:val="none"/>
              </w:rPr>
            </w:pPr>
          </w:p>
        </w:tc>
      </w:tr>
      <w:bookmarkEnd w:id="1184"/>
      <w:bookmarkEnd w:id="1185"/>
      <w:bookmarkEnd w:id="1186"/>
      <w:bookmarkEnd w:id="1187"/>
      <w:tr w14:paraId="77EE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8C9C85F">
            <w:pPr>
              <w:spacing w:line="400" w:lineRule="exact"/>
              <w:jc w:val="center"/>
              <w:rPr>
                <w:rFonts w:ascii="宋体" w:hAnsi="宋体"/>
                <w:color w:val="auto"/>
                <w:szCs w:val="21"/>
                <w:highlight w:val="none"/>
              </w:rPr>
            </w:pPr>
          </w:p>
        </w:tc>
        <w:tc>
          <w:tcPr>
            <w:tcW w:w="2130" w:type="dxa"/>
            <w:noWrap w:val="0"/>
            <w:vAlign w:val="top"/>
          </w:tcPr>
          <w:p w14:paraId="6DCA017C">
            <w:pPr>
              <w:spacing w:line="400" w:lineRule="exact"/>
              <w:jc w:val="center"/>
              <w:rPr>
                <w:rFonts w:ascii="宋体" w:hAnsi="宋体"/>
                <w:color w:val="auto"/>
                <w:szCs w:val="21"/>
                <w:highlight w:val="none"/>
              </w:rPr>
            </w:pPr>
          </w:p>
        </w:tc>
        <w:tc>
          <w:tcPr>
            <w:tcW w:w="2131" w:type="dxa"/>
            <w:noWrap w:val="0"/>
            <w:vAlign w:val="top"/>
          </w:tcPr>
          <w:p w14:paraId="4C522DE6">
            <w:pPr>
              <w:spacing w:line="400" w:lineRule="exact"/>
              <w:jc w:val="center"/>
              <w:rPr>
                <w:rFonts w:ascii="宋体" w:hAnsi="宋体"/>
                <w:color w:val="auto"/>
                <w:szCs w:val="21"/>
                <w:highlight w:val="none"/>
              </w:rPr>
            </w:pPr>
            <w:bookmarkStart w:id="1188" w:name="_Toc221952106"/>
          </w:p>
        </w:tc>
        <w:tc>
          <w:tcPr>
            <w:tcW w:w="2131" w:type="dxa"/>
            <w:noWrap w:val="0"/>
            <w:vAlign w:val="top"/>
          </w:tcPr>
          <w:p w14:paraId="44E278E2">
            <w:pPr>
              <w:spacing w:line="400" w:lineRule="exact"/>
              <w:jc w:val="center"/>
              <w:rPr>
                <w:rFonts w:ascii="宋体" w:hAnsi="宋体"/>
                <w:color w:val="auto"/>
                <w:szCs w:val="21"/>
                <w:highlight w:val="none"/>
              </w:rPr>
            </w:pPr>
          </w:p>
        </w:tc>
      </w:tr>
      <w:tr w14:paraId="139F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6760B7C">
            <w:pPr>
              <w:spacing w:line="400" w:lineRule="exact"/>
              <w:jc w:val="center"/>
              <w:rPr>
                <w:rFonts w:ascii="宋体" w:hAnsi="宋体"/>
                <w:color w:val="auto"/>
                <w:szCs w:val="21"/>
                <w:highlight w:val="none"/>
              </w:rPr>
            </w:pPr>
          </w:p>
        </w:tc>
        <w:tc>
          <w:tcPr>
            <w:tcW w:w="2130" w:type="dxa"/>
            <w:noWrap w:val="0"/>
            <w:vAlign w:val="top"/>
          </w:tcPr>
          <w:p w14:paraId="0BF2D812">
            <w:pPr>
              <w:spacing w:line="400" w:lineRule="exact"/>
              <w:jc w:val="center"/>
              <w:rPr>
                <w:rFonts w:ascii="宋体" w:hAnsi="宋体"/>
                <w:color w:val="auto"/>
                <w:szCs w:val="21"/>
                <w:highlight w:val="none"/>
              </w:rPr>
            </w:pPr>
          </w:p>
        </w:tc>
        <w:tc>
          <w:tcPr>
            <w:tcW w:w="2131" w:type="dxa"/>
            <w:noWrap w:val="0"/>
            <w:vAlign w:val="top"/>
          </w:tcPr>
          <w:p w14:paraId="7CD87F8B">
            <w:pPr>
              <w:spacing w:line="400" w:lineRule="exact"/>
              <w:jc w:val="center"/>
              <w:rPr>
                <w:rFonts w:ascii="宋体" w:hAnsi="宋体"/>
                <w:color w:val="auto"/>
                <w:szCs w:val="21"/>
                <w:highlight w:val="none"/>
              </w:rPr>
            </w:pPr>
          </w:p>
        </w:tc>
        <w:tc>
          <w:tcPr>
            <w:tcW w:w="2131" w:type="dxa"/>
            <w:noWrap w:val="0"/>
            <w:vAlign w:val="top"/>
          </w:tcPr>
          <w:p w14:paraId="02CD25F9">
            <w:pPr>
              <w:spacing w:line="400" w:lineRule="exact"/>
              <w:jc w:val="center"/>
              <w:rPr>
                <w:rFonts w:ascii="宋体" w:hAnsi="宋体"/>
                <w:color w:val="auto"/>
                <w:szCs w:val="21"/>
                <w:highlight w:val="none"/>
              </w:rPr>
            </w:pPr>
          </w:p>
        </w:tc>
      </w:tr>
      <w:tr w14:paraId="77D7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61A4D1B3">
            <w:pPr>
              <w:spacing w:line="400" w:lineRule="exact"/>
              <w:jc w:val="center"/>
              <w:rPr>
                <w:rFonts w:ascii="宋体" w:hAnsi="宋体"/>
                <w:color w:val="auto"/>
                <w:szCs w:val="21"/>
                <w:highlight w:val="none"/>
              </w:rPr>
            </w:pPr>
          </w:p>
        </w:tc>
        <w:tc>
          <w:tcPr>
            <w:tcW w:w="2130" w:type="dxa"/>
            <w:noWrap w:val="0"/>
            <w:vAlign w:val="top"/>
          </w:tcPr>
          <w:p w14:paraId="63CBB0A5">
            <w:pPr>
              <w:spacing w:line="400" w:lineRule="exact"/>
              <w:jc w:val="center"/>
              <w:rPr>
                <w:rFonts w:ascii="宋体" w:hAnsi="宋体"/>
                <w:color w:val="auto"/>
                <w:szCs w:val="21"/>
                <w:highlight w:val="none"/>
              </w:rPr>
            </w:pPr>
          </w:p>
        </w:tc>
        <w:tc>
          <w:tcPr>
            <w:tcW w:w="2131" w:type="dxa"/>
            <w:noWrap w:val="0"/>
            <w:vAlign w:val="top"/>
          </w:tcPr>
          <w:p w14:paraId="69C3971C">
            <w:pPr>
              <w:spacing w:line="400" w:lineRule="exact"/>
              <w:jc w:val="center"/>
              <w:rPr>
                <w:rFonts w:ascii="宋体" w:hAnsi="宋体"/>
                <w:color w:val="auto"/>
                <w:szCs w:val="21"/>
                <w:highlight w:val="none"/>
              </w:rPr>
            </w:pPr>
          </w:p>
        </w:tc>
        <w:tc>
          <w:tcPr>
            <w:tcW w:w="2131" w:type="dxa"/>
            <w:noWrap w:val="0"/>
            <w:vAlign w:val="top"/>
          </w:tcPr>
          <w:p w14:paraId="2CA52072">
            <w:pPr>
              <w:spacing w:line="400" w:lineRule="exact"/>
              <w:jc w:val="center"/>
              <w:rPr>
                <w:rFonts w:ascii="宋体" w:hAnsi="宋体"/>
                <w:color w:val="auto"/>
                <w:szCs w:val="21"/>
                <w:highlight w:val="none"/>
              </w:rPr>
            </w:pPr>
          </w:p>
        </w:tc>
      </w:tr>
      <w:tr w14:paraId="3065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86AE05E">
            <w:pPr>
              <w:spacing w:line="400" w:lineRule="exact"/>
              <w:jc w:val="center"/>
              <w:rPr>
                <w:rFonts w:ascii="宋体" w:hAnsi="宋体"/>
                <w:color w:val="auto"/>
                <w:szCs w:val="21"/>
                <w:highlight w:val="none"/>
              </w:rPr>
            </w:pPr>
          </w:p>
        </w:tc>
        <w:tc>
          <w:tcPr>
            <w:tcW w:w="2130" w:type="dxa"/>
            <w:noWrap w:val="0"/>
            <w:vAlign w:val="top"/>
          </w:tcPr>
          <w:p w14:paraId="161D7C74">
            <w:pPr>
              <w:spacing w:line="400" w:lineRule="exact"/>
              <w:jc w:val="center"/>
              <w:rPr>
                <w:rFonts w:ascii="宋体" w:hAnsi="宋体"/>
                <w:color w:val="auto"/>
                <w:szCs w:val="21"/>
                <w:highlight w:val="none"/>
              </w:rPr>
            </w:pPr>
          </w:p>
        </w:tc>
        <w:tc>
          <w:tcPr>
            <w:tcW w:w="2131" w:type="dxa"/>
            <w:noWrap w:val="0"/>
            <w:vAlign w:val="top"/>
          </w:tcPr>
          <w:p w14:paraId="293964EC">
            <w:pPr>
              <w:spacing w:line="400" w:lineRule="exact"/>
              <w:jc w:val="center"/>
              <w:rPr>
                <w:rFonts w:ascii="宋体" w:hAnsi="宋体"/>
                <w:color w:val="auto"/>
                <w:szCs w:val="21"/>
                <w:highlight w:val="none"/>
              </w:rPr>
            </w:pPr>
          </w:p>
        </w:tc>
        <w:tc>
          <w:tcPr>
            <w:tcW w:w="2131" w:type="dxa"/>
            <w:noWrap w:val="0"/>
            <w:vAlign w:val="top"/>
          </w:tcPr>
          <w:p w14:paraId="72162838">
            <w:pPr>
              <w:spacing w:line="400" w:lineRule="exact"/>
              <w:jc w:val="center"/>
              <w:rPr>
                <w:rFonts w:ascii="宋体" w:hAnsi="宋体"/>
                <w:color w:val="auto"/>
                <w:szCs w:val="21"/>
                <w:highlight w:val="none"/>
              </w:rPr>
            </w:pPr>
          </w:p>
        </w:tc>
      </w:tr>
      <w:tr w14:paraId="0E64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44A92C0">
            <w:pPr>
              <w:spacing w:line="400" w:lineRule="exact"/>
              <w:jc w:val="center"/>
              <w:rPr>
                <w:rFonts w:ascii="宋体" w:hAnsi="宋体"/>
                <w:color w:val="auto"/>
                <w:szCs w:val="21"/>
                <w:highlight w:val="none"/>
              </w:rPr>
            </w:pPr>
          </w:p>
        </w:tc>
        <w:tc>
          <w:tcPr>
            <w:tcW w:w="2130" w:type="dxa"/>
            <w:noWrap w:val="0"/>
            <w:vAlign w:val="top"/>
          </w:tcPr>
          <w:p w14:paraId="43B85AE6">
            <w:pPr>
              <w:spacing w:line="400" w:lineRule="exact"/>
              <w:jc w:val="center"/>
              <w:rPr>
                <w:rFonts w:ascii="宋体" w:hAnsi="宋体"/>
                <w:color w:val="auto"/>
                <w:szCs w:val="21"/>
                <w:highlight w:val="none"/>
              </w:rPr>
            </w:pPr>
          </w:p>
        </w:tc>
        <w:tc>
          <w:tcPr>
            <w:tcW w:w="2131" w:type="dxa"/>
            <w:noWrap w:val="0"/>
            <w:vAlign w:val="top"/>
          </w:tcPr>
          <w:p w14:paraId="326E9650">
            <w:pPr>
              <w:spacing w:line="400" w:lineRule="exact"/>
              <w:jc w:val="center"/>
              <w:rPr>
                <w:rFonts w:ascii="宋体" w:hAnsi="宋体"/>
                <w:color w:val="auto"/>
                <w:szCs w:val="21"/>
                <w:highlight w:val="none"/>
              </w:rPr>
            </w:pPr>
          </w:p>
        </w:tc>
        <w:tc>
          <w:tcPr>
            <w:tcW w:w="2131" w:type="dxa"/>
            <w:noWrap w:val="0"/>
            <w:vAlign w:val="top"/>
          </w:tcPr>
          <w:p w14:paraId="51E38129">
            <w:pPr>
              <w:spacing w:line="400" w:lineRule="exact"/>
              <w:jc w:val="center"/>
              <w:rPr>
                <w:rFonts w:ascii="宋体" w:hAnsi="宋体"/>
                <w:color w:val="auto"/>
                <w:szCs w:val="21"/>
                <w:highlight w:val="none"/>
              </w:rPr>
            </w:pPr>
          </w:p>
        </w:tc>
      </w:tr>
      <w:tr w14:paraId="6B0A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A5C8E04">
            <w:pPr>
              <w:spacing w:line="400" w:lineRule="exact"/>
              <w:jc w:val="center"/>
              <w:rPr>
                <w:rFonts w:ascii="宋体" w:hAnsi="宋体"/>
                <w:color w:val="auto"/>
                <w:szCs w:val="21"/>
                <w:highlight w:val="none"/>
              </w:rPr>
            </w:pPr>
          </w:p>
        </w:tc>
        <w:tc>
          <w:tcPr>
            <w:tcW w:w="2130" w:type="dxa"/>
            <w:noWrap w:val="0"/>
            <w:vAlign w:val="top"/>
          </w:tcPr>
          <w:p w14:paraId="2947FDF7">
            <w:pPr>
              <w:spacing w:line="400" w:lineRule="exact"/>
              <w:jc w:val="center"/>
              <w:rPr>
                <w:rFonts w:ascii="宋体" w:hAnsi="宋体"/>
                <w:color w:val="auto"/>
                <w:szCs w:val="21"/>
                <w:highlight w:val="none"/>
              </w:rPr>
            </w:pPr>
          </w:p>
        </w:tc>
        <w:tc>
          <w:tcPr>
            <w:tcW w:w="2131" w:type="dxa"/>
            <w:noWrap w:val="0"/>
            <w:vAlign w:val="top"/>
          </w:tcPr>
          <w:p w14:paraId="4C6A5980">
            <w:pPr>
              <w:spacing w:line="400" w:lineRule="exact"/>
              <w:jc w:val="center"/>
              <w:rPr>
                <w:rFonts w:ascii="宋体" w:hAnsi="宋体"/>
                <w:color w:val="auto"/>
                <w:szCs w:val="21"/>
                <w:highlight w:val="none"/>
              </w:rPr>
            </w:pPr>
          </w:p>
        </w:tc>
        <w:tc>
          <w:tcPr>
            <w:tcW w:w="2131" w:type="dxa"/>
            <w:noWrap w:val="0"/>
            <w:vAlign w:val="top"/>
          </w:tcPr>
          <w:p w14:paraId="08121771">
            <w:pPr>
              <w:spacing w:line="400" w:lineRule="exact"/>
              <w:jc w:val="center"/>
              <w:rPr>
                <w:rFonts w:ascii="宋体" w:hAnsi="宋体"/>
                <w:color w:val="auto"/>
                <w:szCs w:val="21"/>
                <w:highlight w:val="none"/>
              </w:rPr>
            </w:pPr>
          </w:p>
        </w:tc>
      </w:tr>
      <w:tr w14:paraId="1AE0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A5D0D29">
            <w:pPr>
              <w:spacing w:line="400" w:lineRule="exact"/>
              <w:jc w:val="center"/>
              <w:rPr>
                <w:rFonts w:ascii="宋体" w:hAnsi="宋体"/>
                <w:color w:val="auto"/>
                <w:szCs w:val="21"/>
                <w:highlight w:val="none"/>
              </w:rPr>
            </w:pPr>
          </w:p>
        </w:tc>
        <w:tc>
          <w:tcPr>
            <w:tcW w:w="2130" w:type="dxa"/>
            <w:noWrap w:val="0"/>
            <w:vAlign w:val="top"/>
          </w:tcPr>
          <w:p w14:paraId="4CA4EB0D">
            <w:pPr>
              <w:spacing w:line="400" w:lineRule="exact"/>
              <w:jc w:val="center"/>
              <w:rPr>
                <w:rFonts w:ascii="宋体" w:hAnsi="宋体"/>
                <w:color w:val="auto"/>
                <w:szCs w:val="21"/>
                <w:highlight w:val="none"/>
              </w:rPr>
            </w:pPr>
          </w:p>
        </w:tc>
        <w:tc>
          <w:tcPr>
            <w:tcW w:w="2131" w:type="dxa"/>
            <w:noWrap w:val="0"/>
            <w:vAlign w:val="top"/>
          </w:tcPr>
          <w:p w14:paraId="1FABA37B">
            <w:pPr>
              <w:spacing w:line="400" w:lineRule="exact"/>
              <w:jc w:val="center"/>
              <w:rPr>
                <w:rFonts w:ascii="宋体" w:hAnsi="宋体"/>
                <w:color w:val="auto"/>
                <w:szCs w:val="21"/>
                <w:highlight w:val="none"/>
              </w:rPr>
            </w:pPr>
          </w:p>
        </w:tc>
        <w:tc>
          <w:tcPr>
            <w:tcW w:w="2131" w:type="dxa"/>
            <w:noWrap w:val="0"/>
            <w:vAlign w:val="top"/>
          </w:tcPr>
          <w:p w14:paraId="0FBCEB9C">
            <w:pPr>
              <w:spacing w:line="400" w:lineRule="exact"/>
              <w:jc w:val="center"/>
              <w:rPr>
                <w:rFonts w:ascii="宋体" w:hAnsi="宋体"/>
                <w:color w:val="auto"/>
                <w:szCs w:val="21"/>
                <w:highlight w:val="none"/>
              </w:rPr>
            </w:pPr>
          </w:p>
        </w:tc>
      </w:tr>
      <w:tr w14:paraId="576E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B2F07D1">
            <w:pPr>
              <w:spacing w:line="400" w:lineRule="exact"/>
              <w:jc w:val="center"/>
              <w:rPr>
                <w:rFonts w:ascii="宋体" w:hAnsi="宋体"/>
                <w:color w:val="auto"/>
                <w:szCs w:val="21"/>
                <w:highlight w:val="none"/>
              </w:rPr>
            </w:pPr>
          </w:p>
        </w:tc>
        <w:tc>
          <w:tcPr>
            <w:tcW w:w="2130" w:type="dxa"/>
            <w:noWrap w:val="0"/>
            <w:vAlign w:val="top"/>
          </w:tcPr>
          <w:p w14:paraId="043BA99B">
            <w:pPr>
              <w:spacing w:line="400" w:lineRule="exact"/>
              <w:jc w:val="center"/>
              <w:rPr>
                <w:rFonts w:ascii="宋体" w:hAnsi="宋体"/>
                <w:color w:val="auto"/>
                <w:szCs w:val="21"/>
                <w:highlight w:val="none"/>
              </w:rPr>
            </w:pPr>
          </w:p>
        </w:tc>
        <w:tc>
          <w:tcPr>
            <w:tcW w:w="2131" w:type="dxa"/>
            <w:noWrap w:val="0"/>
            <w:vAlign w:val="top"/>
          </w:tcPr>
          <w:p w14:paraId="0152C9EE">
            <w:pPr>
              <w:spacing w:line="400" w:lineRule="exact"/>
              <w:jc w:val="center"/>
              <w:rPr>
                <w:rFonts w:ascii="宋体" w:hAnsi="宋体"/>
                <w:color w:val="auto"/>
                <w:szCs w:val="21"/>
                <w:highlight w:val="none"/>
              </w:rPr>
            </w:pPr>
          </w:p>
        </w:tc>
        <w:tc>
          <w:tcPr>
            <w:tcW w:w="2131" w:type="dxa"/>
            <w:noWrap w:val="0"/>
            <w:vAlign w:val="top"/>
          </w:tcPr>
          <w:p w14:paraId="4615A95C">
            <w:pPr>
              <w:spacing w:line="400" w:lineRule="exact"/>
              <w:jc w:val="center"/>
              <w:rPr>
                <w:rFonts w:ascii="宋体" w:hAnsi="宋体"/>
                <w:color w:val="auto"/>
                <w:szCs w:val="21"/>
                <w:highlight w:val="none"/>
              </w:rPr>
            </w:pPr>
          </w:p>
        </w:tc>
      </w:tr>
      <w:tr w14:paraId="3635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761B000">
            <w:pPr>
              <w:spacing w:line="400" w:lineRule="exact"/>
              <w:jc w:val="center"/>
              <w:rPr>
                <w:rFonts w:ascii="宋体" w:hAnsi="宋体"/>
                <w:color w:val="auto"/>
                <w:szCs w:val="21"/>
                <w:highlight w:val="none"/>
              </w:rPr>
            </w:pPr>
          </w:p>
        </w:tc>
        <w:tc>
          <w:tcPr>
            <w:tcW w:w="2130" w:type="dxa"/>
            <w:noWrap w:val="0"/>
            <w:vAlign w:val="top"/>
          </w:tcPr>
          <w:p w14:paraId="5432BB55">
            <w:pPr>
              <w:spacing w:line="400" w:lineRule="exact"/>
              <w:jc w:val="center"/>
              <w:rPr>
                <w:rFonts w:ascii="宋体" w:hAnsi="宋体"/>
                <w:color w:val="auto"/>
                <w:szCs w:val="21"/>
                <w:highlight w:val="none"/>
              </w:rPr>
            </w:pPr>
          </w:p>
        </w:tc>
        <w:tc>
          <w:tcPr>
            <w:tcW w:w="2131" w:type="dxa"/>
            <w:noWrap w:val="0"/>
            <w:vAlign w:val="top"/>
          </w:tcPr>
          <w:p w14:paraId="6E303BCD">
            <w:pPr>
              <w:spacing w:line="400" w:lineRule="exact"/>
              <w:jc w:val="center"/>
              <w:rPr>
                <w:rFonts w:ascii="宋体" w:hAnsi="宋体"/>
                <w:color w:val="auto"/>
                <w:szCs w:val="21"/>
                <w:highlight w:val="none"/>
              </w:rPr>
            </w:pPr>
          </w:p>
        </w:tc>
        <w:tc>
          <w:tcPr>
            <w:tcW w:w="2131" w:type="dxa"/>
            <w:noWrap w:val="0"/>
            <w:vAlign w:val="top"/>
          </w:tcPr>
          <w:p w14:paraId="444BA9B0">
            <w:pPr>
              <w:spacing w:line="400" w:lineRule="exact"/>
              <w:jc w:val="center"/>
              <w:rPr>
                <w:rFonts w:ascii="宋体" w:hAnsi="宋体"/>
                <w:color w:val="auto"/>
                <w:szCs w:val="21"/>
                <w:highlight w:val="none"/>
              </w:rPr>
            </w:pPr>
          </w:p>
        </w:tc>
      </w:tr>
      <w:tr w14:paraId="47D7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0AADCC0">
            <w:pPr>
              <w:spacing w:line="400" w:lineRule="exact"/>
              <w:jc w:val="center"/>
              <w:rPr>
                <w:rFonts w:ascii="宋体" w:hAnsi="宋体"/>
                <w:color w:val="auto"/>
                <w:szCs w:val="21"/>
                <w:highlight w:val="none"/>
              </w:rPr>
            </w:pPr>
          </w:p>
        </w:tc>
        <w:tc>
          <w:tcPr>
            <w:tcW w:w="2130" w:type="dxa"/>
            <w:noWrap w:val="0"/>
            <w:vAlign w:val="top"/>
          </w:tcPr>
          <w:p w14:paraId="7BEA8E6E">
            <w:pPr>
              <w:spacing w:line="400" w:lineRule="exact"/>
              <w:jc w:val="center"/>
              <w:rPr>
                <w:rFonts w:ascii="宋体" w:hAnsi="宋体"/>
                <w:color w:val="auto"/>
                <w:szCs w:val="21"/>
                <w:highlight w:val="none"/>
              </w:rPr>
            </w:pPr>
          </w:p>
        </w:tc>
        <w:tc>
          <w:tcPr>
            <w:tcW w:w="2131" w:type="dxa"/>
            <w:noWrap w:val="0"/>
            <w:vAlign w:val="top"/>
          </w:tcPr>
          <w:p w14:paraId="2249B7A5">
            <w:pPr>
              <w:spacing w:line="400" w:lineRule="exact"/>
              <w:jc w:val="center"/>
              <w:rPr>
                <w:rFonts w:ascii="宋体" w:hAnsi="宋体"/>
                <w:color w:val="auto"/>
                <w:szCs w:val="21"/>
                <w:highlight w:val="none"/>
              </w:rPr>
            </w:pPr>
          </w:p>
        </w:tc>
        <w:tc>
          <w:tcPr>
            <w:tcW w:w="2131" w:type="dxa"/>
            <w:noWrap w:val="0"/>
            <w:vAlign w:val="top"/>
          </w:tcPr>
          <w:p w14:paraId="2DEF3939">
            <w:pPr>
              <w:spacing w:line="400" w:lineRule="exact"/>
              <w:jc w:val="center"/>
              <w:rPr>
                <w:rFonts w:ascii="宋体" w:hAnsi="宋体"/>
                <w:color w:val="auto"/>
                <w:szCs w:val="21"/>
                <w:highlight w:val="none"/>
              </w:rPr>
            </w:pPr>
          </w:p>
        </w:tc>
      </w:tr>
      <w:tr w14:paraId="70FC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7593DD7">
            <w:pPr>
              <w:spacing w:line="400" w:lineRule="exact"/>
              <w:jc w:val="center"/>
              <w:rPr>
                <w:rFonts w:ascii="宋体" w:hAnsi="宋体"/>
                <w:color w:val="auto"/>
                <w:szCs w:val="21"/>
                <w:highlight w:val="none"/>
              </w:rPr>
            </w:pPr>
          </w:p>
          <w:bookmarkEnd w:id="1188"/>
        </w:tc>
        <w:tc>
          <w:tcPr>
            <w:tcW w:w="2130" w:type="dxa"/>
            <w:noWrap w:val="0"/>
            <w:vAlign w:val="top"/>
          </w:tcPr>
          <w:p w14:paraId="407C9982">
            <w:pPr>
              <w:spacing w:line="400" w:lineRule="exact"/>
              <w:jc w:val="center"/>
              <w:rPr>
                <w:rFonts w:ascii="宋体" w:hAnsi="宋体"/>
                <w:color w:val="auto"/>
                <w:szCs w:val="21"/>
                <w:highlight w:val="none"/>
              </w:rPr>
            </w:pPr>
          </w:p>
        </w:tc>
        <w:tc>
          <w:tcPr>
            <w:tcW w:w="2131" w:type="dxa"/>
            <w:noWrap w:val="0"/>
            <w:vAlign w:val="top"/>
          </w:tcPr>
          <w:p w14:paraId="56738014">
            <w:pPr>
              <w:spacing w:line="400" w:lineRule="exact"/>
              <w:jc w:val="center"/>
              <w:rPr>
                <w:rFonts w:ascii="宋体" w:hAnsi="宋体"/>
                <w:color w:val="auto"/>
                <w:szCs w:val="21"/>
                <w:highlight w:val="none"/>
              </w:rPr>
            </w:pPr>
            <w:bookmarkStart w:id="1189" w:name="_Toc221952107"/>
          </w:p>
        </w:tc>
        <w:tc>
          <w:tcPr>
            <w:tcW w:w="2131" w:type="dxa"/>
            <w:noWrap w:val="0"/>
            <w:vAlign w:val="top"/>
          </w:tcPr>
          <w:p w14:paraId="474834C5">
            <w:pPr>
              <w:spacing w:line="400" w:lineRule="exact"/>
              <w:jc w:val="center"/>
              <w:rPr>
                <w:rFonts w:ascii="宋体" w:hAnsi="宋体"/>
                <w:color w:val="auto"/>
                <w:szCs w:val="21"/>
                <w:highlight w:val="none"/>
              </w:rPr>
            </w:pPr>
          </w:p>
        </w:tc>
      </w:tr>
      <w:tr w14:paraId="2027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54DABE58">
            <w:pPr>
              <w:spacing w:line="400" w:lineRule="exact"/>
              <w:jc w:val="center"/>
              <w:rPr>
                <w:rFonts w:ascii="宋体" w:hAnsi="宋体"/>
                <w:color w:val="auto"/>
                <w:szCs w:val="21"/>
                <w:highlight w:val="none"/>
              </w:rPr>
            </w:pPr>
          </w:p>
        </w:tc>
        <w:tc>
          <w:tcPr>
            <w:tcW w:w="2130" w:type="dxa"/>
            <w:noWrap w:val="0"/>
            <w:vAlign w:val="top"/>
          </w:tcPr>
          <w:p w14:paraId="2F5422B7">
            <w:pPr>
              <w:spacing w:line="400" w:lineRule="exact"/>
              <w:jc w:val="center"/>
              <w:rPr>
                <w:rFonts w:ascii="宋体" w:hAnsi="宋体"/>
                <w:color w:val="auto"/>
                <w:szCs w:val="21"/>
                <w:highlight w:val="none"/>
              </w:rPr>
            </w:pPr>
          </w:p>
        </w:tc>
        <w:tc>
          <w:tcPr>
            <w:tcW w:w="2131" w:type="dxa"/>
            <w:noWrap w:val="0"/>
            <w:vAlign w:val="top"/>
          </w:tcPr>
          <w:p w14:paraId="7C72DF44">
            <w:pPr>
              <w:spacing w:line="400" w:lineRule="exact"/>
              <w:jc w:val="center"/>
              <w:rPr>
                <w:rFonts w:ascii="宋体" w:hAnsi="宋体"/>
                <w:color w:val="auto"/>
                <w:szCs w:val="21"/>
                <w:highlight w:val="none"/>
              </w:rPr>
            </w:pPr>
          </w:p>
        </w:tc>
        <w:tc>
          <w:tcPr>
            <w:tcW w:w="2131" w:type="dxa"/>
            <w:noWrap w:val="0"/>
            <w:vAlign w:val="top"/>
          </w:tcPr>
          <w:p w14:paraId="1D1275F3">
            <w:pPr>
              <w:spacing w:line="400" w:lineRule="exact"/>
              <w:jc w:val="center"/>
              <w:rPr>
                <w:rFonts w:ascii="宋体" w:hAnsi="宋体"/>
                <w:color w:val="auto"/>
                <w:szCs w:val="21"/>
                <w:highlight w:val="none"/>
              </w:rPr>
            </w:pPr>
          </w:p>
        </w:tc>
      </w:tr>
      <w:tr w14:paraId="17C7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DC0B375">
            <w:pPr>
              <w:spacing w:line="400" w:lineRule="exact"/>
              <w:jc w:val="center"/>
              <w:rPr>
                <w:rFonts w:ascii="宋体" w:hAnsi="宋体"/>
                <w:color w:val="auto"/>
                <w:szCs w:val="21"/>
                <w:highlight w:val="none"/>
              </w:rPr>
            </w:pPr>
          </w:p>
        </w:tc>
        <w:tc>
          <w:tcPr>
            <w:tcW w:w="2130" w:type="dxa"/>
            <w:noWrap w:val="0"/>
            <w:vAlign w:val="top"/>
          </w:tcPr>
          <w:p w14:paraId="4DE86812">
            <w:pPr>
              <w:spacing w:line="400" w:lineRule="exact"/>
              <w:jc w:val="center"/>
              <w:rPr>
                <w:rFonts w:ascii="宋体" w:hAnsi="宋体"/>
                <w:color w:val="auto"/>
                <w:szCs w:val="21"/>
                <w:highlight w:val="none"/>
              </w:rPr>
            </w:pPr>
          </w:p>
        </w:tc>
        <w:tc>
          <w:tcPr>
            <w:tcW w:w="2131" w:type="dxa"/>
            <w:noWrap w:val="0"/>
            <w:vAlign w:val="top"/>
          </w:tcPr>
          <w:p w14:paraId="39D8209B">
            <w:pPr>
              <w:spacing w:line="400" w:lineRule="exact"/>
              <w:jc w:val="center"/>
              <w:rPr>
                <w:rFonts w:ascii="宋体" w:hAnsi="宋体"/>
                <w:color w:val="auto"/>
                <w:szCs w:val="21"/>
                <w:highlight w:val="none"/>
              </w:rPr>
            </w:pPr>
          </w:p>
        </w:tc>
        <w:tc>
          <w:tcPr>
            <w:tcW w:w="2131" w:type="dxa"/>
            <w:noWrap w:val="0"/>
            <w:vAlign w:val="top"/>
          </w:tcPr>
          <w:p w14:paraId="56B377D2">
            <w:pPr>
              <w:spacing w:line="400" w:lineRule="exact"/>
              <w:jc w:val="center"/>
              <w:rPr>
                <w:rFonts w:ascii="宋体" w:hAnsi="宋体"/>
                <w:color w:val="auto"/>
                <w:szCs w:val="21"/>
                <w:highlight w:val="none"/>
              </w:rPr>
            </w:pPr>
          </w:p>
        </w:tc>
      </w:tr>
      <w:tr w14:paraId="7A86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73806221">
            <w:pPr>
              <w:spacing w:line="400" w:lineRule="exact"/>
              <w:jc w:val="center"/>
              <w:rPr>
                <w:rFonts w:ascii="宋体" w:hAnsi="宋体"/>
                <w:color w:val="auto"/>
                <w:szCs w:val="21"/>
                <w:highlight w:val="none"/>
              </w:rPr>
            </w:pPr>
          </w:p>
        </w:tc>
        <w:tc>
          <w:tcPr>
            <w:tcW w:w="2130" w:type="dxa"/>
            <w:noWrap w:val="0"/>
            <w:vAlign w:val="top"/>
          </w:tcPr>
          <w:p w14:paraId="552C7BB3">
            <w:pPr>
              <w:spacing w:line="400" w:lineRule="exact"/>
              <w:jc w:val="center"/>
              <w:rPr>
                <w:rFonts w:ascii="宋体" w:hAnsi="宋体"/>
                <w:color w:val="auto"/>
                <w:szCs w:val="21"/>
                <w:highlight w:val="none"/>
              </w:rPr>
            </w:pPr>
          </w:p>
        </w:tc>
        <w:tc>
          <w:tcPr>
            <w:tcW w:w="2131" w:type="dxa"/>
            <w:noWrap w:val="0"/>
            <w:vAlign w:val="top"/>
          </w:tcPr>
          <w:p w14:paraId="220F9744">
            <w:pPr>
              <w:spacing w:line="400" w:lineRule="exact"/>
              <w:jc w:val="center"/>
              <w:rPr>
                <w:rFonts w:ascii="宋体" w:hAnsi="宋体"/>
                <w:color w:val="auto"/>
                <w:szCs w:val="21"/>
                <w:highlight w:val="none"/>
              </w:rPr>
            </w:pPr>
          </w:p>
        </w:tc>
        <w:tc>
          <w:tcPr>
            <w:tcW w:w="2131" w:type="dxa"/>
            <w:noWrap w:val="0"/>
            <w:vAlign w:val="top"/>
          </w:tcPr>
          <w:p w14:paraId="69ED4601">
            <w:pPr>
              <w:spacing w:line="400" w:lineRule="exact"/>
              <w:jc w:val="center"/>
              <w:rPr>
                <w:rFonts w:ascii="宋体" w:hAnsi="宋体"/>
                <w:color w:val="auto"/>
                <w:szCs w:val="21"/>
                <w:highlight w:val="none"/>
              </w:rPr>
            </w:pPr>
          </w:p>
        </w:tc>
      </w:tr>
      <w:tr w14:paraId="4E1F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0027187">
            <w:pPr>
              <w:spacing w:line="400" w:lineRule="exact"/>
              <w:jc w:val="center"/>
              <w:rPr>
                <w:rFonts w:ascii="宋体" w:hAnsi="宋体"/>
                <w:color w:val="auto"/>
                <w:szCs w:val="21"/>
                <w:highlight w:val="none"/>
              </w:rPr>
            </w:pPr>
          </w:p>
        </w:tc>
        <w:tc>
          <w:tcPr>
            <w:tcW w:w="2130" w:type="dxa"/>
            <w:noWrap w:val="0"/>
            <w:vAlign w:val="top"/>
          </w:tcPr>
          <w:p w14:paraId="1FBE3EF1">
            <w:pPr>
              <w:spacing w:line="400" w:lineRule="exact"/>
              <w:jc w:val="center"/>
              <w:rPr>
                <w:rFonts w:ascii="宋体" w:hAnsi="宋体"/>
                <w:color w:val="auto"/>
                <w:szCs w:val="21"/>
                <w:highlight w:val="none"/>
              </w:rPr>
            </w:pPr>
          </w:p>
        </w:tc>
        <w:tc>
          <w:tcPr>
            <w:tcW w:w="2131" w:type="dxa"/>
            <w:noWrap w:val="0"/>
            <w:vAlign w:val="top"/>
          </w:tcPr>
          <w:p w14:paraId="0092CA41">
            <w:pPr>
              <w:spacing w:line="400" w:lineRule="exact"/>
              <w:jc w:val="center"/>
              <w:rPr>
                <w:rFonts w:ascii="宋体" w:hAnsi="宋体"/>
                <w:color w:val="auto"/>
                <w:szCs w:val="21"/>
                <w:highlight w:val="none"/>
              </w:rPr>
            </w:pPr>
          </w:p>
        </w:tc>
        <w:tc>
          <w:tcPr>
            <w:tcW w:w="2131" w:type="dxa"/>
            <w:noWrap w:val="0"/>
            <w:vAlign w:val="top"/>
          </w:tcPr>
          <w:p w14:paraId="371EBCB5">
            <w:pPr>
              <w:spacing w:line="400" w:lineRule="exact"/>
              <w:jc w:val="center"/>
              <w:rPr>
                <w:rFonts w:ascii="宋体" w:hAnsi="宋体"/>
                <w:color w:val="auto"/>
                <w:szCs w:val="21"/>
                <w:highlight w:val="none"/>
              </w:rPr>
            </w:pPr>
          </w:p>
        </w:tc>
      </w:tr>
      <w:tr w14:paraId="28C4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F53D384">
            <w:pPr>
              <w:spacing w:line="400" w:lineRule="exact"/>
              <w:jc w:val="center"/>
              <w:rPr>
                <w:rFonts w:ascii="宋体" w:hAnsi="宋体"/>
                <w:color w:val="auto"/>
                <w:szCs w:val="21"/>
                <w:highlight w:val="none"/>
              </w:rPr>
            </w:pPr>
          </w:p>
        </w:tc>
        <w:tc>
          <w:tcPr>
            <w:tcW w:w="2130" w:type="dxa"/>
            <w:noWrap w:val="0"/>
            <w:vAlign w:val="top"/>
          </w:tcPr>
          <w:p w14:paraId="0EC4DA9E">
            <w:pPr>
              <w:spacing w:line="400" w:lineRule="exact"/>
              <w:jc w:val="center"/>
              <w:rPr>
                <w:rFonts w:ascii="宋体" w:hAnsi="宋体"/>
                <w:color w:val="auto"/>
                <w:szCs w:val="21"/>
                <w:highlight w:val="none"/>
              </w:rPr>
            </w:pPr>
          </w:p>
        </w:tc>
        <w:tc>
          <w:tcPr>
            <w:tcW w:w="2131" w:type="dxa"/>
            <w:noWrap w:val="0"/>
            <w:vAlign w:val="top"/>
          </w:tcPr>
          <w:p w14:paraId="6D270461">
            <w:pPr>
              <w:spacing w:line="400" w:lineRule="exact"/>
              <w:jc w:val="center"/>
              <w:rPr>
                <w:rFonts w:ascii="宋体" w:hAnsi="宋体"/>
                <w:color w:val="auto"/>
                <w:szCs w:val="21"/>
                <w:highlight w:val="none"/>
              </w:rPr>
            </w:pPr>
          </w:p>
        </w:tc>
        <w:tc>
          <w:tcPr>
            <w:tcW w:w="2131" w:type="dxa"/>
            <w:noWrap w:val="0"/>
            <w:vAlign w:val="top"/>
          </w:tcPr>
          <w:p w14:paraId="23716F97">
            <w:pPr>
              <w:spacing w:line="400" w:lineRule="exact"/>
              <w:jc w:val="center"/>
              <w:rPr>
                <w:rFonts w:ascii="宋体" w:hAnsi="宋体"/>
                <w:color w:val="auto"/>
                <w:szCs w:val="21"/>
                <w:highlight w:val="none"/>
              </w:rPr>
            </w:pPr>
          </w:p>
        </w:tc>
      </w:tr>
      <w:tr w14:paraId="3C91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5CA75A0D">
            <w:pPr>
              <w:spacing w:line="400" w:lineRule="exact"/>
              <w:jc w:val="center"/>
              <w:rPr>
                <w:rFonts w:ascii="宋体" w:hAnsi="宋体"/>
                <w:color w:val="auto"/>
                <w:szCs w:val="21"/>
                <w:highlight w:val="none"/>
              </w:rPr>
            </w:pPr>
          </w:p>
        </w:tc>
        <w:tc>
          <w:tcPr>
            <w:tcW w:w="2130" w:type="dxa"/>
            <w:noWrap w:val="0"/>
            <w:vAlign w:val="top"/>
          </w:tcPr>
          <w:p w14:paraId="0125A9E7">
            <w:pPr>
              <w:spacing w:line="400" w:lineRule="exact"/>
              <w:jc w:val="center"/>
              <w:rPr>
                <w:rFonts w:ascii="宋体" w:hAnsi="宋体"/>
                <w:color w:val="auto"/>
                <w:szCs w:val="21"/>
                <w:highlight w:val="none"/>
              </w:rPr>
            </w:pPr>
          </w:p>
        </w:tc>
        <w:tc>
          <w:tcPr>
            <w:tcW w:w="2131" w:type="dxa"/>
            <w:noWrap w:val="0"/>
            <w:vAlign w:val="top"/>
          </w:tcPr>
          <w:p w14:paraId="6F19D2E5">
            <w:pPr>
              <w:spacing w:line="400" w:lineRule="exact"/>
              <w:jc w:val="center"/>
              <w:rPr>
                <w:rFonts w:ascii="宋体" w:hAnsi="宋体"/>
                <w:color w:val="auto"/>
                <w:szCs w:val="21"/>
                <w:highlight w:val="none"/>
              </w:rPr>
            </w:pPr>
          </w:p>
        </w:tc>
        <w:tc>
          <w:tcPr>
            <w:tcW w:w="2131" w:type="dxa"/>
            <w:noWrap w:val="0"/>
            <w:vAlign w:val="top"/>
          </w:tcPr>
          <w:p w14:paraId="3A732B7E">
            <w:pPr>
              <w:spacing w:line="400" w:lineRule="exact"/>
              <w:jc w:val="center"/>
              <w:rPr>
                <w:rFonts w:ascii="宋体" w:hAnsi="宋体"/>
                <w:color w:val="auto"/>
                <w:szCs w:val="21"/>
                <w:highlight w:val="none"/>
              </w:rPr>
            </w:pPr>
          </w:p>
        </w:tc>
      </w:tr>
      <w:tr w14:paraId="7D43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27181D7">
            <w:pPr>
              <w:spacing w:line="400" w:lineRule="exact"/>
              <w:jc w:val="center"/>
              <w:rPr>
                <w:rFonts w:ascii="宋体" w:hAnsi="宋体"/>
                <w:color w:val="auto"/>
                <w:szCs w:val="21"/>
                <w:highlight w:val="none"/>
              </w:rPr>
            </w:pPr>
          </w:p>
        </w:tc>
        <w:tc>
          <w:tcPr>
            <w:tcW w:w="2130" w:type="dxa"/>
            <w:noWrap w:val="0"/>
            <w:vAlign w:val="top"/>
          </w:tcPr>
          <w:p w14:paraId="55CA375A">
            <w:pPr>
              <w:spacing w:line="400" w:lineRule="exact"/>
              <w:jc w:val="center"/>
              <w:rPr>
                <w:rFonts w:ascii="宋体" w:hAnsi="宋体"/>
                <w:color w:val="auto"/>
                <w:szCs w:val="21"/>
                <w:highlight w:val="none"/>
              </w:rPr>
            </w:pPr>
          </w:p>
        </w:tc>
        <w:tc>
          <w:tcPr>
            <w:tcW w:w="2131" w:type="dxa"/>
            <w:noWrap w:val="0"/>
            <w:vAlign w:val="top"/>
          </w:tcPr>
          <w:p w14:paraId="0CC4D2AA">
            <w:pPr>
              <w:spacing w:line="400" w:lineRule="exact"/>
              <w:jc w:val="center"/>
              <w:rPr>
                <w:rFonts w:ascii="宋体" w:hAnsi="宋体"/>
                <w:color w:val="auto"/>
                <w:szCs w:val="21"/>
                <w:highlight w:val="none"/>
              </w:rPr>
            </w:pPr>
          </w:p>
        </w:tc>
        <w:tc>
          <w:tcPr>
            <w:tcW w:w="2131" w:type="dxa"/>
            <w:noWrap w:val="0"/>
            <w:vAlign w:val="top"/>
          </w:tcPr>
          <w:p w14:paraId="0962CEDA">
            <w:pPr>
              <w:spacing w:line="400" w:lineRule="exact"/>
              <w:jc w:val="center"/>
              <w:rPr>
                <w:rFonts w:ascii="宋体" w:hAnsi="宋体"/>
                <w:color w:val="auto"/>
                <w:szCs w:val="21"/>
                <w:highlight w:val="none"/>
              </w:rPr>
            </w:pPr>
          </w:p>
        </w:tc>
      </w:tr>
      <w:tr w14:paraId="01B9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D63F525">
            <w:pPr>
              <w:spacing w:line="400" w:lineRule="exact"/>
              <w:jc w:val="center"/>
              <w:rPr>
                <w:rFonts w:ascii="宋体" w:hAnsi="宋体"/>
                <w:color w:val="auto"/>
                <w:szCs w:val="21"/>
                <w:highlight w:val="none"/>
              </w:rPr>
            </w:pPr>
          </w:p>
        </w:tc>
        <w:tc>
          <w:tcPr>
            <w:tcW w:w="2130" w:type="dxa"/>
            <w:noWrap w:val="0"/>
            <w:vAlign w:val="top"/>
          </w:tcPr>
          <w:p w14:paraId="6848A8AC">
            <w:pPr>
              <w:spacing w:line="400" w:lineRule="exact"/>
              <w:jc w:val="center"/>
              <w:rPr>
                <w:rFonts w:ascii="宋体" w:hAnsi="宋体"/>
                <w:color w:val="auto"/>
                <w:szCs w:val="21"/>
                <w:highlight w:val="none"/>
              </w:rPr>
            </w:pPr>
          </w:p>
          <w:bookmarkEnd w:id="1189"/>
        </w:tc>
        <w:tc>
          <w:tcPr>
            <w:tcW w:w="2131" w:type="dxa"/>
            <w:noWrap w:val="0"/>
            <w:vAlign w:val="top"/>
          </w:tcPr>
          <w:p w14:paraId="1E539DFC">
            <w:pPr>
              <w:spacing w:line="400" w:lineRule="exact"/>
              <w:jc w:val="center"/>
              <w:rPr>
                <w:rFonts w:ascii="宋体" w:hAnsi="宋体"/>
                <w:color w:val="auto"/>
                <w:szCs w:val="21"/>
                <w:highlight w:val="none"/>
              </w:rPr>
            </w:pPr>
          </w:p>
        </w:tc>
        <w:tc>
          <w:tcPr>
            <w:tcW w:w="2131" w:type="dxa"/>
            <w:noWrap w:val="0"/>
            <w:vAlign w:val="top"/>
          </w:tcPr>
          <w:p w14:paraId="2C68BCB0">
            <w:pPr>
              <w:spacing w:line="400" w:lineRule="exact"/>
              <w:jc w:val="center"/>
              <w:rPr>
                <w:rFonts w:ascii="宋体" w:hAnsi="宋体"/>
                <w:color w:val="auto"/>
                <w:szCs w:val="21"/>
                <w:highlight w:val="none"/>
              </w:rPr>
            </w:pPr>
          </w:p>
        </w:tc>
      </w:tr>
      <w:tr w14:paraId="4286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3DC71DE">
            <w:pPr>
              <w:spacing w:line="400" w:lineRule="exact"/>
              <w:jc w:val="center"/>
              <w:rPr>
                <w:rFonts w:ascii="宋体" w:hAnsi="宋体"/>
                <w:color w:val="auto"/>
                <w:szCs w:val="21"/>
                <w:highlight w:val="none"/>
              </w:rPr>
            </w:pPr>
          </w:p>
        </w:tc>
        <w:tc>
          <w:tcPr>
            <w:tcW w:w="2130" w:type="dxa"/>
            <w:noWrap w:val="0"/>
            <w:vAlign w:val="top"/>
          </w:tcPr>
          <w:p w14:paraId="7290C239">
            <w:pPr>
              <w:spacing w:line="400" w:lineRule="exact"/>
              <w:jc w:val="center"/>
              <w:rPr>
                <w:rFonts w:ascii="宋体" w:hAnsi="宋体"/>
                <w:color w:val="auto"/>
                <w:szCs w:val="21"/>
                <w:highlight w:val="none"/>
              </w:rPr>
            </w:pPr>
          </w:p>
        </w:tc>
        <w:tc>
          <w:tcPr>
            <w:tcW w:w="2131" w:type="dxa"/>
            <w:noWrap w:val="0"/>
            <w:vAlign w:val="top"/>
          </w:tcPr>
          <w:p w14:paraId="0B88DB2E">
            <w:pPr>
              <w:spacing w:line="400" w:lineRule="exact"/>
              <w:jc w:val="center"/>
              <w:rPr>
                <w:rFonts w:ascii="宋体" w:hAnsi="宋体"/>
                <w:color w:val="auto"/>
                <w:szCs w:val="21"/>
                <w:highlight w:val="none"/>
              </w:rPr>
            </w:pPr>
            <w:bookmarkStart w:id="1190" w:name="_Toc168475928"/>
            <w:bookmarkStart w:id="1191" w:name="_Toc168476331"/>
            <w:bookmarkStart w:id="1192" w:name="_Toc221952108"/>
            <w:bookmarkStart w:id="1193" w:name="_Toc144974869"/>
          </w:p>
        </w:tc>
        <w:tc>
          <w:tcPr>
            <w:tcW w:w="2131" w:type="dxa"/>
            <w:noWrap w:val="0"/>
            <w:vAlign w:val="top"/>
          </w:tcPr>
          <w:p w14:paraId="46160235">
            <w:pPr>
              <w:spacing w:line="400" w:lineRule="exact"/>
              <w:jc w:val="center"/>
              <w:rPr>
                <w:rFonts w:ascii="宋体" w:hAnsi="宋体"/>
                <w:color w:val="auto"/>
                <w:szCs w:val="21"/>
                <w:highlight w:val="none"/>
              </w:rPr>
            </w:pPr>
          </w:p>
        </w:tc>
      </w:tr>
      <w:tr w14:paraId="27B8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F1717D7">
            <w:pPr>
              <w:spacing w:line="400" w:lineRule="exact"/>
              <w:jc w:val="center"/>
              <w:rPr>
                <w:rFonts w:ascii="宋体" w:hAnsi="宋体"/>
                <w:color w:val="auto"/>
                <w:szCs w:val="21"/>
                <w:highlight w:val="none"/>
              </w:rPr>
            </w:pPr>
          </w:p>
        </w:tc>
        <w:tc>
          <w:tcPr>
            <w:tcW w:w="2130" w:type="dxa"/>
            <w:noWrap w:val="0"/>
            <w:vAlign w:val="top"/>
          </w:tcPr>
          <w:p w14:paraId="6857624E">
            <w:pPr>
              <w:spacing w:line="400" w:lineRule="exact"/>
              <w:jc w:val="center"/>
              <w:rPr>
                <w:rFonts w:ascii="宋体" w:hAnsi="宋体"/>
                <w:color w:val="auto"/>
                <w:szCs w:val="21"/>
                <w:highlight w:val="none"/>
              </w:rPr>
            </w:pPr>
          </w:p>
        </w:tc>
        <w:tc>
          <w:tcPr>
            <w:tcW w:w="2131" w:type="dxa"/>
            <w:noWrap w:val="0"/>
            <w:vAlign w:val="top"/>
          </w:tcPr>
          <w:p w14:paraId="32518EB1">
            <w:pPr>
              <w:spacing w:line="400" w:lineRule="exact"/>
              <w:jc w:val="center"/>
              <w:rPr>
                <w:rFonts w:ascii="宋体" w:hAnsi="宋体"/>
                <w:color w:val="auto"/>
                <w:szCs w:val="21"/>
                <w:highlight w:val="none"/>
              </w:rPr>
            </w:pPr>
          </w:p>
        </w:tc>
        <w:tc>
          <w:tcPr>
            <w:tcW w:w="2131" w:type="dxa"/>
            <w:noWrap w:val="0"/>
            <w:vAlign w:val="top"/>
          </w:tcPr>
          <w:p w14:paraId="2884427B">
            <w:pPr>
              <w:spacing w:line="400" w:lineRule="exact"/>
              <w:jc w:val="center"/>
              <w:rPr>
                <w:rFonts w:ascii="宋体" w:hAnsi="宋体"/>
                <w:color w:val="auto"/>
                <w:szCs w:val="21"/>
                <w:highlight w:val="none"/>
              </w:rPr>
            </w:pPr>
          </w:p>
        </w:tc>
      </w:tr>
      <w:tr w14:paraId="2D26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7F098BC">
            <w:pPr>
              <w:spacing w:line="400" w:lineRule="exact"/>
              <w:jc w:val="center"/>
              <w:rPr>
                <w:rFonts w:ascii="宋体" w:hAnsi="宋体"/>
                <w:color w:val="auto"/>
                <w:szCs w:val="21"/>
                <w:highlight w:val="none"/>
              </w:rPr>
            </w:pPr>
          </w:p>
        </w:tc>
        <w:tc>
          <w:tcPr>
            <w:tcW w:w="2130" w:type="dxa"/>
            <w:noWrap w:val="0"/>
            <w:vAlign w:val="top"/>
          </w:tcPr>
          <w:p w14:paraId="150DE5FD">
            <w:pPr>
              <w:spacing w:line="400" w:lineRule="exact"/>
              <w:jc w:val="center"/>
              <w:rPr>
                <w:rFonts w:ascii="宋体" w:hAnsi="宋体"/>
                <w:color w:val="auto"/>
                <w:szCs w:val="21"/>
                <w:highlight w:val="none"/>
              </w:rPr>
            </w:pPr>
          </w:p>
          <w:bookmarkEnd w:id="1190"/>
          <w:bookmarkEnd w:id="1191"/>
          <w:bookmarkEnd w:id="1192"/>
          <w:bookmarkEnd w:id="1193"/>
        </w:tc>
        <w:tc>
          <w:tcPr>
            <w:tcW w:w="2131" w:type="dxa"/>
            <w:noWrap w:val="0"/>
            <w:vAlign w:val="top"/>
          </w:tcPr>
          <w:p w14:paraId="41AE8795">
            <w:pPr>
              <w:spacing w:line="400" w:lineRule="exact"/>
              <w:jc w:val="center"/>
              <w:rPr>
                <w:rFonts w:ascii="宋体" w:hAnsi="宋体"/>
                <w:color w:val="auto"/>
                <w:szCs w:val="21"/>
                <w:highlight w:val="none"/>
              </w:rPr>
            </w:pPr>
          </w:p>
        </w:tc>
        <w:tc>
          <w:tcPr>
            <w:tcW w:w="2131" w:type="dxa"/>
            <w:noWrap w:val="0"/>
            <w:vAlign w:val="top"/>
          </w:tcPr>
          <w:p w14:paraId="14029ACB">
            <w:pPr>
              <w:spacing w:line="400" w:lineRule="exact"/>
              <w:jc w:val="center"/>
              <w:rPr>
                <w:rFonts w:ascii="宋体" w:hAnsi="宋体"/>
                <w:color w:val="auto"/>
                <w:szCs w:val="21"/>
                <w:highlight w:val="none"/>
              </w:rPr>
            </w:pPr>
          </w:p>
        </w:tc>
      </w:tr>
    </w:tbl>
    <w:p w14:paraId="701D1114">
      <w:pPr>
        <w:topLinePunct/>
        <w:spacing w:line="400" w:lineRule="exact"/>
        <w:rPr>
          <w:color w:val="auto"/>
          <w:sz w:val="20"/>
          <w:szCs w:val="20"/>
          <w:highlight w:val="none"/>
        </w:rPr>
      </w:pPr>
      <w:bookmarkStart w:id="1194" w:name="_Toc221952109"/>
    </w:p>
    <w:bookmarkEnd w:id="1194"/>
    <w:p w14:paraId="43FE63EE">
      <w:pPr>
        <w:spacing w:line="360" w:lineRule="auto"/>
        <w:jc w:val="center"/>
        <w:outlineLvl w:val="2"/>
        <w:rPr>
          <w:rFonts w:hint="eastAsia" w:ascii="黑体" w:hAnsi="黑体" w:eastAsia="黑体"/>
          <w:color w:val="auto"/>
          <w:sz w:val="28"/>
          <w:szCs w:val="27"/>
          <w:highlight w:val="none"/>
        </w:rPr>
        <w:sectPr>
          <w:pgSz w:w="11906" w:h="16838"/>
          <w:pgMar w:top="1440" w:right="1800" w:bottom="1440" w:left="1800" w:header="851" w:footer="992" w:gutter="0"/>
          <w:cols w:space="720" w:num="1"/>
          <w:docGrid w:type="lines" w:linePitch="312" w:charSpace="0"/>
        </w:sectPr>
      </w:pPr>
    </w:p>
    <w:p w14:paraId="01FA046F">
      <w:pPr>
        <w:spacing w:line="360" w:lineRule="auto"/>
        <w:jc w:val="center"/>
        <w:outlineLvl w:val="2"/>
        <w:rPr>
          <w:rFonts w:ascii="黑体" w:hAnsi="黑体" w:eastAsia="黑体"/>
          <w:color w:val="auto"/>
          <w:sz w:val="28"/>
          <w:szCs w:val="27"/>
          <w:highlight w:val="none"/>
        </w:rPr>
      </w:pPr>
      <w:bookmarkStart w:id="1195" w:name="_Toc21787767"/>
      <w:bookmarkStart w:id="1196" w:name="_Toc3792"/>
      <w:bookmarkStart w:id="1197" w:name="_Toc180758604"/>
      <w:r>
        <w:rPr>
          <w:rFonts w:hint="eastAsia" w:ascii="黑体" w:hAnsi="黑体" w:eastAsia="黑体"/>
          <w:color w:val="auto"/>
          <w:sz w:val="28"/>
          <w:szCs w:val="27"/>
          <w:highlight w:val="none"/>
        </w:rPr>
        <w:t>八</w:t>
      </w:r>
      <w:r>
        <w:rPr>
          <w:rFonts w:ascii="黑体" w:hAnsi="黑体" w:eastAsia="黑体"/>
          <w:color w:val="auto"/>
          <w:sz w:val="28"/>
          <w:szCs w:val="27"/>
          <w:highlight w:val="none"/>
        </w:rPr>
        <w:t>、项目管理机构</w:t>
      </w:r>
      <w:bookmarkEnd w:id="1195"/>
      <w:bookmarkEnd w:id="1196"/>
    </w:p>
    <w:p w14:paraId="234E18C5">
      <w:pPr>
        <w:spacing w:line="400" w:lineRule="exact"/>
        <w:jc w:val="left"/>
        <w:outlineLvl w:val="3"/>
        <w:rPr>
          <w:rFonts w:ascii="宋体" w:hAnsi="宋体"/>
          <w:b/>
          <w:color w:val="auto"/>
          <w:sz w:val="24"/>
          <w:szCs w:val="31"/>
          <w:highlight w:val="none"/>
        </w:rPr>
      </w:pPr>
      <w:r>
        <w:rPr>
          <w:rFonts w:ascii="宋体" w:hAnsi="宋体"/>
          <w:b/>
          <w:color w:val="auto"/>
          <w:sz w:val="24"/>
          <w:szCs w:val="31"/>
          <w:highlight w:val="none"/>
        </w:rPr>
        <w:t>（一）项目管理机构组成表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21"/>
        <w:gridCol w:w="719"/>
        <w:gridCol w:w="1081"/>
        <w:gridCol w:w="719"/>
        <w:gridCol w:w="721"/>
        <w:gridCol w:w="719"/>
        <w:gridCol w:w="2523"/>
        <w:gridCol w:w="670"/>
      </w:tblGrid>
      <w:tr w14:paraId="390D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restart"/>
            <w:noWrap w:val="0"/>
            <w:vAlign w:val="center"/>
          </w:tcPr>
          <w:p w14:paraId="474EA92A">
            <w:pPr>
              <w:spacing w:line="400" w:lineRule="exact"/>
              <w:jc w:val="center"/>
              <w:rPr>
                <w:rFonts w:ascii="宋体" w:hAnsi="宋体"/>
                <w:color w:val="auto"/>
                <w:szCs w:val="21"/>
                <w:highlight w:val="none"/>
              </w:rPr>
            </w:pPr>
            <w:r>
              <w:rPr>
                <w:rFonts w:ascii="宋体" w:hAnsi="宋体"/>
                <w:color w:val="auto"/>
                <w:szCs w:val="21"/>
                <w:highlight w:val="none"/>
              </w:rPr>
              <w:t>职务</w:t>
            </w:r>
          </w:p>
        </w:tc>
        <w:tc>
          <w:tcPr>
            <w:tcW w:w="721" w:type="dxa"/>
            <w:vMerge w:val="restart"/>
            <w:noWrap w:val="0"/>
            <w:vAlign w:val="center"/>
          </w:tcPr>
          <w:p w14:paraId="2952A31E">
            <w:pPr>
              <w:spacing w:line="400" w:lineRule="exact"/>
              <w:jc w:val="center"/>
              <w:rPr>
                <w:rFonts w:ascii="宋体" w:hAnsi="宋体"/>
                <w:color w:val="auto"/>
                <w:szCs w:val="21"/>
                <w:highlight w:val="none"/>
              </w:rPr>
            </w:pPr>
            <w:r>
              <w:rPr>
                <w:rFonts w:ascii="宋体" w:hAnsi="宋体"/>
                <w:color w:val="auto"/>
                <w:szCs w:val="21"/>
                <w:highlight w:val="none"/>
              </w:rPr>
              <w:t>姓名</w:t>
            </w:r>
          </w:p>
        </w:tc>
        <w:tc>
          <w:tcPr>
            <w:tcW w:w="719" w:type="dxa"/>
            <w:vMerge w:val="restart"/>
            <w:noWrap w:val="0"/>
            <w:vAlign w:val="center"/>
          </w:tcPr>
          <w:p w14:paraId="49538D6A">
            <w:pPr>
              <w:spacing w:line="400" w:lineRule="exact"/>
              <w:jc w:val="center"/>
              <w:rPr>
                <w:rFonts w:ascii="宋体" w:hAnsi="宋体"/>
                <w:color w:val="auto"/>
                <w:szCs w:val="21"/>
                <w:highlight w:val="none"/>
              </w:rPr>
            </w:pPr>
            <w:r>
              <w:rPr>
                <w:rFonts w:ascii="宋体" w:hAnsi="宋体"/>
                <w:color w:val="auto"/>
                <w:szCs w:val="21"/>
                <w:highlight w:val="none"/>
              </w:rPr>
              <w:t>职称</w:t>
            </w:r>
          </w:p>
        </w:tc>
        <w:tc>
          <w:tcPr>
            <w:tcW w:w="5763" w:type="dxa"/>
            <w:gridSpan w:val="5"/>
            <w:noWrap w:val="0"/>
            <w:vAlign w:val="center"/>
          </w:tcPr>
          <w:p w14:paraId="57F5905A">
            <w:pPr>
              <w:spacing w:line="400" w:lineRule="exact"/>
              <w:jc w:val="center"/>
              <w:rPr>
                <w:rFonts w:ascii="宋体" w:hAnsi="宋体"/>
                <w:color w:val="auto"/>
                <w:szCs w:val="21"/>
                <w:highlight w:val="none"/>
              </w:rPr>
            </w:pPr>
            <w:r>
              <w:rPr>
                <w:rFonts w:ascii="宋体" w:hAnsi="宋体"/>
                <w:color w:val="auto"/>
                <w:szCs w:val="21"/>
                <w:highlight w:val="none"/>
              </w:rPr>
              <w:t>执业或职业资格证明</w:t>
            </w:r>
          </w:p>
        </w:tc>
        <w:tc>
          <w:tcPr>
            <w:tcW w:w="670" w:type="dxa"/>
            <w:noWrap w:val="0"/>
            <w:vAlign w:val="center"/>
          </w:tcPr>
          <w:p w14:paraId="0DF6C505">
            <w:pPr>
              <w:spacing w:line="400" w:lineRule="exact"/>
              <w:jc w:val="center"/>
              <w:rPr>
                <w:rFonts w:ascii="宋体" w:hAnsi="宋体"/>
                <w:color w:val="auto"/>
                <w:szCs w:val="21"/>
                <w:highlight w:val="none"/>
              </w:rPr>
            </w:pPr>
            <w:r>
              <w:rPr>
                <w:rFonts w:ascii="宋体" w:hAnsi="宋体"/>
                <w:color w:val="auto"/>
                <w:szCs w:val="21"/>
                <w:highlight w:val="none"/>
              </w:rPr>
              <w:t>备注</w:t>
            </w:r>
          </w:p>
        </w:tc>
      </w:tr>
      <w:tr w14:paraId="1CB8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continue"/>
            <w:noWrap w:val="0"/>
            <w:vAlign w:val="center"/>
          </w:tcPr>
          <w:p w14:paraId="5704C031">
            <w:pPr>
              <w:spacing w:line="400" w:lineRule="exact"/>
              <w:jc w:val="center"/>
              <w:rPr>
                <w:rFonts w:ascii="宋体" w:hAnsi="宋体"/>
                <w:color w:val="auto"/>
                <w:szCs w:val="21"/>
                <w:highlight w:val="none"/>
              </w:rPr>
            </w:pPr>
          </w:p>
        </w:tc>
        <w:tc>
          <w:tcPr>
            <w:tcW w:w="721" w:type="dxa"/>
            <w:vMerge w:val="continue"/>
            <w:noWrap w:val="0"/>
            <w:vAlign w:val="center"/>
          </w:tcPr>
          <w:p w14:paraId="5151CFF4">
            <w:pPr>
              <w:spacing w:line="400" w:lineRule="exact"/>
              <w:jc w:val="center"/>
              <w:rPr>
                <w:rFonts w:ascii="宋体" w:hAnsi="宋体"/>
                <w:color w:val="auto"/>
                <w:szCs w:val="21"/>
                <w:highlight w:val="none"/>
              </w:rPr>
            </w:pPr>
          </w:p>
        </w:tc>
        <w:tc>
          <w:tcPr>
            <w:tcW w:w="719" w:type="dxa"/>
            <w:vMerge w:val="continue"/>
            <w:noWrap w:val="0"/>
            <w:vAlign w:val="center"/>
          </w:tcPr>
          <w:p w14:paraId="2BFEBD9E">
            <w:pPr>
              <w:spacing w:line="400" w:lineRule="exact"/>
              <w:jc w:val="center"/>
              <w:rPr>
                <w:rFonts w:ascii="宋体" w:hAnsi="宋体"/>
                <w:color w:val="auto"/>
                <w:szCs w:val="21"/>
                <w:highlight w:val="none"/>
              </w:rPr>
            </w:pPr>
          </w:p>
        </w:tc>
        <w:tc>
          <w:tcPr>
            <w:tcW w:w="1081" w:type="dxa"/>
            <w:noWrap w:val="0"/>
            <w:vAlign w:val="center"/>
          </w:tcPr>
          <w:p w14:paraId="3CE6AA9B">
            <w:pPr>
              <w:spacing w:line="400" w:lineRule="exact"/>
              <w:jc w:val="center"/>
              <w:rPr>
                <w:rFonts w:ascii="宋体" w:hAnsi="宋体"/>
                <w:color w:val="auto"/>
                <w:szCs w:val="21"/>
                <w:highlight w:val="none"/>
              </w:rPr>
            </w:pPr>
            <w:r>
              <w:rPr>
                <w:rFonts w:ascii="宋体" w:hAnsi="宋体"/>
                <w:color w:val="auto"/>
                <w:szCs w:val="21"/>
                <w:highlight w:val="none"/>
              </w:rPr>
              <w:t>证书名称</w:t>
            </w:r>
          </w:p>
        </w:tc>
        <w:tc>
          <w:tcPr>
            <w:tcW w:w="719" w:type="dxa"/>
            <w:noWrap w:val="0"/>
            <w:vAlign w:val="center"/>
          </w:tcPr>
          <w:p w14:paraId="19D54DF1">
            <w:pPr>
              <w:spacing w:line="400" w:lineRule="exact"/>
              <w:jc w:val="center"/>
              <w:rPr>
                <w:rFonts w:ascii="宋体" w:hAnsi="宋体"/>
                <w:color w:val="auto"/>
                <w:szCs w:val="21"/>
                <w:highlight w:val="none"/>
              </w:rPr>
            </w:pPr>
            <w:r>
              <w:rPr>
                <w:rFonts w:ascii="宋体" w:hAnsi="宋体"/>
                <w:color w:val="auto"/>
                <w:szCs w:val="21"/>
                <w:highlight w:val="none"/>
              </w:rPr>
              <w:t>级别</w:t>
            </w:r>
          </w:p>
        </w:tc>
        <w:tc>
          <w:tcPr>
            <w:tcW w:w="721" w:type="dxa"/>
            <w:noWrap w:val="0"/>
            <w:vAlign w:val="center"/>
          </w:tcPr>
          <w:p w14:paraId="52A9D2DC">
            <w:pPr>
              <w:spacing w:line="400" w:lineRule="exact"/>
              <w:jc w:val="center"/>
              <w:rPr>
                <w:rFonts w:ascii="宋体" w:hAnsi="宋体"/>
                <w:color w:val="auto"/>
                <w:szCs w:val="21"/>
                <w:highlight w:val="none"/>
              </w:rPr>
            </w:pPr>
            <w:r>
              <w:rPr>
                <w:rFonts w:ascii="宋体" w:hAnsi="宋体"/>
                <w:color w:val="auto"/>
                <w:szCs w:val="21"/>
                <w:highlight w:val="none"/>
              </w:rPr>
              <w:t>证号</w:t>
            </w:r>
          </w:p>
        </w:tc>
        <w:tc>
          <w:tcPr>
            <w:tcW w:w="719" w:type="dxa"/>
            <w:noWrap w:val="0"/>
            <w:vAlign w:val="center"/>
          </w:tcPr>
          <w:p w14:paraId="73BDFDF9">
            <w:pPr>
              <w:spacing w:line="400" w:lineRule="exact"/>
              <w:jc w:val="center"/>
              <w:rPr>
                <w:rFonts w:ascii="宋体" w:hAnsi="宋体"/>
                <w:color w:val="auto"/>
                <w:szCs w:val="21"/>
                <w:highlight w:val="none"/>
              </w:rPr>
            </w:pPr>
            <w:r>
              <w:rPr>
                <w:rFonts w:ascii="宋体" w:hAnsi="宋体"/>
                <w:color w:val="auto"/>
                <w:szCs w:val="21"/>
                <w:highlight w:val="none"/>
              </w:rPr>
              <w:t>专业</w:t>
            </w:r>
          </w:p>
        </w:tc>
        <w:tc>
          <w:tcPr>
            <w:tcW w:w="2523" w:type="dxa"/>
            <w:noWrap w:val="0"/>
            <w:vAlign w:val="center"/>
          </w:tcPr>
          <w:p w14:paraId="21521320">
            <w:pPr>
              <w:spacing w:line="400" w:lineRule="exact"/>
              <w:jc w:val="center"/>
              <w:rPr>
                <w:rFonts w:ascii="宋体" w:hAnsi="宋体"/>
                <w:color w:val="auto"/>
                <w:szCs w:val="21"/>
                <w:highlight w:val="none"/>
              </w:rPr>
            </w:pPr>
            <w:r>
              <w:rPr>
                <w:rFonts w:hint="eastAsia" w:ascii="宋体" w:hAnsi="宋体"/>
                <w:color w:val="auto"/>
                <w:szCs w:val="21"/>
                <w:highlight w:val="none"/>
              </w:rPr>
              <w:t>社会</w:t>
            </w:r>
            <w:r>
              <w:rPr>
                <w:rFonts w:ascii="宋体" w:hAnsi="宋体"/>
                <w:color w:val="auto"/>
                <w:szCs w:val="21"/>
                <w:highlight w:val="none"/>
              </w:rPr>
              <w:t>保险</w:t>
            </w:r>
          </w:p>
        </w:tc>
        <w:tc>
          <w:tcPr>
            <w:tcW w:w="670" w:type="dxa"/>
            <w:noWrap w:val="0"/>
            <w:vAlign w:val="center"/>
          </w:tcPr>
          <w:p w14:paraId="575B5B11">
            <w:pPr>
              <w:spacing w:line="400" w:lineRule="exact"/>
              <w:jc w:val="center"/>
              <w:rPr>
                <w:rFonts w:ascii="宋体" w:hAnsi="宋体"/>
                <w:color w:val="auto"/>
                <w:szCs w:val="21"/>
                <w:highlight w:val="none"/>
              </w:rPr>
            </w:pPr>
          </w:p>
        </w:tc>
      </w:tr>
      <w:tr w14:paraId="1D76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1F872F73">
            <w:pPr>
              <w:spacing w:line="400" w:lineRule="exact"/>
              <w:jc w:val="center"/>
              <w:rPr>
                <w:rFonts w:ascii="宋体" w:hAnsi="宋体"/>
                <w:color w:val="auto"/>
                <w:szCs w:val="21"/>
                <w:highlight w:val="none"/>
              </w:rPr>
            </w:pPr>
          </w:p>
        </w:tc>
        <w:tc>
          <w:tcPr>
            <w:tcW w:w="721" w:type="dxa"/>
            <w:noWrap w:val="0"/>
            <w:vAlign w:val="center"/>
          </w:tcPr>
          <w:p w14:paraId="23508232">
            <w:pPr>
              <w:spacing w:line="400" w:lineRule="exact"/>
              <w:jc w:val="center"/>
              <w:rPr>
                <w:rFonts w:ascii="宋体" w:hAnsi="宋体"/>
                <w:color w:val="auto"/>
                <w:szCs w:val="21"/>
                <w:highlight w:val="none"/>
              </w:rPr>
            </w:pPr>
          </w:p>
        </w:tc>
        <w:tc>
          <w:tcPr>
            <w:tcW w:w="719" w:type="dxa"/>
            <w:noWrap w:val="0"/>
            <w:vAlign w:val="center"/>
          </w:tcPr>
          <w:p w14:paraId="42559B5E">
            <w:pPr>
              <w:spacing w:line="400" w:lineRule="exact"/>
              <w:jc w:val="center"/>
              <w:rPr>
                <w:rFonts w:ascii="宋体" w:hAnsi="宋体"/>
                <w:color w:val="auto"/>
                <w:szCs w:val="21"/>
                <w:highlight w:val="none"/>
              </w:rPr>
            </w:pPr>
          </w:p>
        </w:tc>
        <w:tc>
          <w:tcPr>
            <w:tcW w:w="1081" w:type="dxa"/>
            <w:noWrap w:val="0"/>
            <w:vAlign w:val="center"/>
          </w:tcPr>
          <w:p w14:paraId="2B11B6DB">
            <w:pPr>
              <w:spacing w:line="400" w:lineRule="exact"/>
              <w:jc w:val="center"/>
              <w:rPr>
                <w:rFonts w:ascii="宋体" w:hAnsi="宋体"/>
                <w:color w:val="auto"/>
                <w:szCs w:val="21"/>
                <w:highlight w:val="none"/>
              </w:rPr>
            </w:pPr>
          </w:p>
        </w:tc>
        <w:tc>
          <w:tcPr>
            <w:tcW w:w="719" w:type="dxa"/>
            <w:noWrap w:val="0"/>
            <w:vAlign w:val="center"/>
          </w:tcPr>
          <w:p w14:paraId="2D82BA64">
            <w:pPr>
              <w:spacing w:line="400" w:lineRule="exact"/>
              <w:jc w:val="center"/>
              <w:rPr>
                <w:rFonts w:ascii="宋体" w:hAnsi="宋体"/>
                <w:color w:val="auto"/>
                <w:szCs w:val="21"/>
                <w:highlight w:val="none"/>
              </w:rPr>
            </w:pPr>
          </w:p>
        </w:tc>
        <w:tc>
          <w:tcPr>
            <w:tcW w:w="721" w:type="dxa"/>
            <w:noWrap w:val="0"/>
            <w:vAlign w:val="center"/>
          </w:tcPr>
          <w:p w14:paraId="7B17FE8F">
            <w:pPr>
              <w:spacing w:line="400" w:lineRule="exact"/>
              <w:jc w:val="center"/>
              <w:rPr>
                <w:rFonts w:ascii="宋体" w:hAnsi="宋体"/>
                <w:color w:val="auto"/>
                <w:szCs w:val="21"/>
                <w:highlight w:val="none"/>
              </w:rPr>
            </w:pPr>
          </w:p>
        </w:tc>
        <w:tc>
          <w:tcPr>
            <w:tcW w:w="719" w:type="dxa"/>
            <w:noWrap w:val="0"/>
            <w:vAlign w:val="center"/>
          </w:tcPr>
          <w:p w14:paraId="044F6718">
            <w:pPr>
              <w:spacing w:line="400" w:lineRule="exact"/>
              <w:jc w:val="center"/>
              <w:rPr>
                <w:rFonts w:ascii="宋体" w:hAnsi="宋体"/>
                <w:color w:val="auto"/>
                <w:szCs w:val="21"/>
                <w:highlight w:val="none"/>
              </w:rPr>
            </w:pPr>
          </w:p>
        </w:tc>
        <w:tc>
          <w:tcPr>
            <w:tcW w:w="2523" w:type="dxa"/>
            <w:noWrap w:val="0"/>
            <w:vAlign w:val="center"/>
          </w:tcPr>
          <w:p w14:paraId="7F435919">
            <w:pPr>
              <w:spacing w:line="400" w:lineRule="exact"/>
              <w:jc w:val="center"/>
              <w:rPr>
                <w:rFonts w:ascii="宋体" w:hAnsi="宋体"/>
                <w:color w:val="auto"/>
                <w:szCs w:val="21"/>
                <w:highlight w:val="none"/>
              </w:rPr>
            </w:pPr>
          </w:p>
        </w:tc>
        <w:tc>
          <w:tcPr>
            <w:tcW w:w="670" w:type="dxa"/>
            <w:noWrap w:val="0"/>
            <w:vAlign w:val="center"/>
          </w:tcPr>
          <w:p w14:paraId="7289FECB">
            <w:pPr>
              <w:spacing w:line="400" w:lineRule="exact"/>
              <w:jc w:val="center"/>
              <w:rPr>
                <w:rFonts w:ascii="宋体" w:hAnsi="宋体"/>
                <w:color w:val="auto"/>
                <w:szCs w:val="21"/>
                <w:highlight w:val="none"/>
              </w:rPr>
            </w:pPr>
          </w:p>
        </w:tc>
      </w:tr>
      <w:tr w14:paraId="128E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2AD15829">
            <w:pPr>
              <w:spacing w:line="400" w:lineRule="exact"/>
              <w:jc w:val="center"/>
              <w:rPr>
                <w:rFonts w:ascii="宋体" w:hAnsi="宋体"/>
                <w:color w:val="auto"/>
                <w:szCs w:val="21"/>
                <w:highlight w:val="none"/>
              </w:rPr>
            </w:pPr>
          </w:p>
        </w:tc>
        <w:tc>
          <w:tcPr>
            <w:tcW w:w="721" w:type="dxa"/>
            <w:noWrap w:val="0"/>
            <w:vAlign w:val="center"/>
          </w:tcPr>
          <w:p w14:paraId="728C348D">
            <w:pPr>
              <w:spacing w:line="400" w:lineRule="exact"/>
              <w:jc w:val="center"/>
              <w:rPr>
                <w:rFonts w:ascii="宋体" w:hAnsi="宋体"/>
                <w:color w:val="auto"/>
                <w:szCs w:val="21"/>
                <w:highlight w:val="none"/>
              </w:rPr>
            </w:pPr>
          </w:p>
        </w:tc>
        <w:tc>
          <w:tcPr>
            <w:tcW w:w="719" w:type="dxa"/>
            <w:noWrap w:val="0"/>
            <w:vAlign w:val="center"/>
          </w:tcPr>
          <w:p w14:paraId="5ADDC471">
            <w:pPr>
              <w:spacing w:line="400" w:lineRule="exact"/>
              <w:jc w:val="center"/>
              <w:rPr>
                <w:rFonts w:ascii="宋体" w:hAnsi="宋体"/>
                <w:color w:val="auto"/>
                <w:szCs w:val="21"/>
                <w:highlight w:val="none"/>
              </w:rPr>
            </w:pPr>
          </w:p>
        </w:tc>
        <w:tc>
          <w:tcPr>
            <w:tcW w:w="1081" w:type="dxa"/>
            <w:noWrap w:val="0"/>
            <w:vAlign w:val="center"/>
          </w:tcPr>
          <w:p w14:paraId="5248E101">
            <w:pPr>
              <w:spacing w:line="400" w:lineRule="exact"/>
              <w:jc w:val="center"/>
              <w:rPr>
                <w:rFonts w:ascii="宋体" w:hAnsi="宋体"/>
                <w:color w:val="auto"/>
                <w:szCs w:val="21"/>
                <w:highlight w:val="none"/>
              </w:rPr>
            </w:pPr>
          </w:p>
        </w:tc>
        <w:tc>
          <w:tcPr>
            <w:tcW w:w="719" w:type="dxa"/>
            <w:noWrap w:val="0"/>
            <w:vAlign w:val="center"/>
          </w:tcPr>
          <w:p w14:paraId="2D146340">
            <w:pPr>
              <w:spacing w:line="400" w:lineRule="exact"/>
              <w:jc w:val="center"/>
              <w:rPr>
                <w:rFonts w:ascii="宋体" w:hAnsi="宋体"/>
                <w:color w:val="auto"/>
                <w:szCs w:val="21"/>
                <w:highlight w:val="none"/>
              </w:rPr>
            </w:pPr>
          </w:p>
        </w:tc>
        <w:tc>
          <w:tcPr>
            <w:tcW w:w="721" w:type="dxa"/>
            <w:noWrap w:val="0"/>
            <w:vAlign w:val="center"/>
          </w:tcPr>
          <w:p w14:paraId="6346EC8B">
            <w:pPr>
              <w:spacing w:line="400" w:lineRule="exact"/>
              <w:jc w:val="center"/>
              <w:rPr>
                <w:rFonts w:ascii="宋体" w:hAnsi="宋体"/>
                <w:color w:val="auto"/>
                <w:szCs w:val="21"/>
                <w:highlight w:val="none"/>
              </w:rPr>
            </w:pPr>
          </w:p>
        </w:tc>
        <w:tc>
          <w:tcPr>
            <w:tcW w:w="719" w:type="dxa"/>
            <w:noWrap w:val="0"/>
            <w:vAlign w:val="center"/>
          </w:tcPr>
          <w:p w14:paraId="56F60802">
            <w:pPr>
              <w:spacing w:line="400" w:lineRule="exact"/>
              <w:jc w:val="center"/>
              <w:rPr>
                <w:rFonts w:ascii="宋体" w:hAnsi="宋体"/>
                <w:color w:val="auto"/>
                <w:szCs w:val="21"/>
                <w:highlight w:val="none"/>
              </w:rPr>
            </w:pPr>
          </w:p>
        </w:tc>
        <w:tc>
          <w:tcPr>
            <w:tcW w:w="2523" w:type="dxa"/>
            <w:noWrap w:val="0"/>
            <w:vAlign w:val="center"/>
          </w:tcPr>
          <w:p w14:paraId="6F7D2D74">
            <w:pPr>
              <w:spacing w:line="400" w:lineRule="exact"/>
              <w:jc w:val="center"/>
              <w:rPr>
                <w:rFonts w:ascii="宋体" w:hAnsi="宋体"/>
                <w:color w:val="auto"/>
                <w:szCs w:val="21"/>
                <w:highlight w:val="none"/>
              </w:rPr>
            </w:pPr>
          </w:p>
        </w:tc>
        <w:tc>
          <w:tcPr>
            <w:tcW w:w="670" w:type="dxa"/>
            <w:noWrap w:val="0"/>
            <w:vAlign w:val="center"/>
          </w:tcPr>
          <w:p w14:paraId="573EF1C7">
            <w:pPr>
              <w:spacing w:line="400" w:lineRule="exact"/>
              <w:jc w:val="center"/>
              <w:rPr>
                <w:rFonts w:ascii="宋体" w:hAnsi="宋体"/>
                <w:color w:val="auto"/>
                <w:szCs w:val="21"/>
                <w:highlight w:val="none"/>
              </w:rPr>
            </w:pPr>
          </w:p>
        </w:tc>
      </w:tr>
      <w:tr w14:paraId="2A7A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37396E37">
            <w:pPr>
              <w:spacing w:line="400" w:lineRule="exact"/>
              <w:jc w:val="center"/>
              <w:rPr>
                <w:rFonts w:ascii="宋体" w:hAnsi="宋体"/>
                <w:color w:val="auto"/>
                <w:szCs w:val="21"/>
                <w:highlight w:val="none"/>
              </w:rPr>
            </w:pPr>
          </w:p>
        </w:tc>
        <w:tc>
          <w:tcPr>
            <w:tcW w:w="721" w:type="dxa"/>
            <w:noWrap w:val="0"/>
            <w:vAlign w:val="center"/>
          </w:tcPr>
          <w:p w14:paraId="4464813B">
            <w:pPr>
              <w:spacing w:line="400" w:lineRule="exact"/>
              <w:jc w:val="center"/>
              <w:rPr>
                <w:rFonts w:ascii="宋体" w:hAnsi="宋体"/>
                <w:color w:val="auto"/>
                <w:szCs w:val="21"/>
                <w:highlight w:val="none"/>
              </w:rPr>
            </w:pPr>
          </w:p>
        </w:tc>
        <w:tc>
          <w:tcPr>
            <w:tcW w:w="719" w:type="dxa"/>
            <w:noWrap w:val="0"/>
            <w:vAlign w:val="center"/>
          </w:tcPr>
          <w:p w14:paraId="6675AAD8">
            <w:pPr>
              <w:spacing w:line="400" w:lineRule="exact"/>
              <w:jc w:val="center"/>
              <w:rPr>
                <w:rFonts w:ascii="宋体" w:hAnsi="宋体"/>
                <w:color w:val="auto"/>
                <w:szCs w:val="21"/>
                <w:highlight w:val="none"/>
              </w:rPr>
            </w:pPr>
          </w:p>
        </w:tc>
        <w:tc>
          <w:tcPr>
            <w:tcW w:w="1081" w:type="dxa"/>
            <w:noWrap w:val="0"/>
            <w:vAlign w:val="center"/>
          </w:tcPr>
          <w:p w14:paraId="50C79D3E">
            <w:pPr>
              <w:spacing w:line="400" w:lineRule="exact"/>
              <w:jc w:val="center"/>
              <w:rPr>
                <w:rFonts w:ascii="宋体" w:hAnsi="宋体"/>
                <w:color w:val="auto"/>
                <w:szCs w:val="21"/>
                <w:highlight w:val="none"/>
              </w:rPr>
            </w:pPr>
          </w:p>
        </w:tc>
        <w:tc>
          <w:tcPr>
            <w:tcW w:w="719" w:type="dxa"/>
            <w:noWrap w:val="0"/>
            <w:vAlign w:val="center"/>
          </w:tcPr>
          <w:p w14:paraId="38371300">
            <w:pPr>
              <w:spacing w:line="400" w:lineRule="exact"/>
              <w:jc w:val="center"/>
              <w:rPr>
                <w:rFonts w:ascii="宋体" w:hAnsi="宋体"/>
                <w:color w:val="auto"/>
                <w:szCs w:val="21"/>
                <w:highlight w:val="none"/>
              </w:rPr>
            </w:pPr>
          </w:p>
        </w:tc>
        <w:tc>
          <w:tcPr>
            <w:tcW w:w="721" w:type="dxa"/>
            <w:noWrap w:val="0"/>
            <w:vAlign w:val="center"/>
          </w:tcPr>
          <w:p w14:paraId="26555FAD">
            <w:pPr>
              <w:spacing w:line="400" w:lineRule="exact"/>
              <w:jc w:val="center"/>
              <w:rPr>
                <w:rFonts w:ascii="宋体" w:hAnsi="宋体"/>
                <w:color w:val="auto"/>
                <w:szCs w:val="21"/>
                <w:highlight w:val="none"/>
              </w:rPr>
            </w:pPr>
          </w:p>
        </w:tc>
        <w:tc>
          <w:tcPr>
            <w:tcW w:w="719" w:type="dxa"/>
            <w:noWrap w:val="0"/>
            <w:vAlign w:val="center"/>
          </w:tcPr>
          <w:p w14:paraId="69049A27">
            <w:pPr>
              <w:spacing w:line="400" w:lineRule="exact"/>
              <w:jc w:val="center"/>
              <w:rPr>
                <w:rFonts w:ascii="宋体" w:hAnsi="宋体"/>
                <w:color w:val="auto"/>
                <w:szCs w:val="21"/>
                <w:highlight w:val="none"/>
              </w:rPr>
            </w:pPr>
          </w:p>
        </w:tc>
        <w:tc>
          <w:tcPr>
            <w:tcW w:w="2523" w:type="dxa"/>
            <w:noWrap w:val="0"/>
            <w:vAlign w:val="center"/>
          </w:tcPr>
          <w:p w14:paraId="0AACB364">
            <w:pPr>
              <w:spacing w:line="400" w:lineRule="exact"/>
              <w:jc w:val="center"/>
              <w:rPr>
                <w:rFonts w:ascii="宋体" w:hAnsi="宋体"/>
                <w:color w:val="auto"/>
                <w:szCs w:val="21"/>
                <w:highlight w:val="none"/>
              </w:rPr>
            </w:pPr>
          </w:p>
        </w:tc>
        <w:tc>
          <w:tcPr>
            <w:tcW w:w="670" w:type="dxa"/>
            <w:noWrap w:val="0"/>
            <w:vAlign w:val="center"/>
          </w:tcPr>
          <w:p w14:paraId="7484C826">
            <w:pPr>
              <w:spacing w:line="400" w:lineRule="exact"/>
              <w:jc w:val="center"/>
              <w:rPr>
                <w:rFonts w:ascii="宋体" w:hAnsi="宋体"/>
                <w:color w:val="auto"/>
                <w:szCs w:val="21"/>
                <w:highlight w:val="none"/>
              </w:rPr>
            </w:pPr>
          </w:p>
        </w:tc>
      </w:tr>
      <w:tr w14:paraId="0B81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7B10B0E2">
            <w:pPr>
              <w:spacing w:line="400" w:lineRule="exact"/>
              <w:jc w:val="center"/>
              <w:rPr>
                <w:rFonts w:ascii="宋体" w:hAnsi="宋体"/>
                <w:color w:val="auto"/>
                <w:szCs w:val="21"/>
                <w:highlight w:val="none"/>
              </w:rPr>
            </w:pPr>
          </w:p>
        </w:tc>
        <w:tc>
          <w:tcPr>
            <w:tcW w:w="721" w:type="dxa"/>
            <w:noWrap w:val="0"/>
            <w:vAlign w:val="center"/>
          </w:tcPr>
          <w:p w14:paraId="62A139C7">
            <w:pPr>
              <w:spacing w:line="400" w:lineRule="exact"/>
              <w:jc w:val="center"/>
              <w:rPr>
                <w:rFonts w:ascii="宋体" w:hAnsi="宋体"/>
                <w:color w:val="auto"/>
                <w:szCs w:val="21"/>
                <w:highlight w:val="none"/>
              </w:rPr>
            </w:pPr>
          </w:p>
        </w:tc>
        <w:tc>
          <w:tcPr>
            <w:tcW w:w="719" w:type="dxa"/>
            <w:noWrap w:val="0"/>
            <w:vAlign w:val="center"/>
          </w:tcPr>
          <w:p w14:paraId="01B93E75">
            <w:pPr>
              <w:spacing w:line="400" w:lineRule="exact"/>
              <w:jc w:val="center"/>
              <w:rPr>
                <w:rFonts w:ascii="宋体" w:hAnsi="宋体"/>
                <w:color w:val="auto"/>
                <w:szCs w:val="21"/>
                <w:highlight w:val="none"/>
              </w:rPr>
            </w:pPr>
          </w:p>
        </w:tc>
        <w:tc>
          <w:tcPr>
            <w:tcW w:w="1081" w:type="dxa"/>
            <w:noWrap w:val="0"/>
            <w:vAlign w:val="center"/>
          </w:tcPr>
          <w:p w14:paraId="6F5345FC">
            <w:pPr>
              <w:spacing w:line="400" w:lineRule="exact"/>
              <w:jc w:val="center"/>
              <w:rPr>
                <w:rFonts w:ascii="宋体" w:hAnsi="宋体"/>
                <w:color w:val="auto"/>
                <w:szCs w:val="21"/>
                <w:highlight w:val="none"/>
              </w:rPr>
            </w:pPr>
          </w:p>
        </w:tc>
        <w:tc>
          <w:tcPr>
            <w:tcW w:w="719" w:type="dxa"/>
            <w:noWrap w:val="0"/>
            <w:vAlign w:val="center"/>
          </w:tcPr>
          <w:p w14:paraId="245FB3D5">
            <w:pPr>
              <w:spacing w:line="400" w:lineRule="exact"/>
              <w:jc w:val="center"/>
              <w:rPr>
                <w:rFonts w:ascii="宋体" w:hAnsi="宋体"/>
                <w:color w:val="auto"/>
                <w:szCs w:val="21"/>
                <w:highlight w:val="none"/>
              </w:rPr>
            </w:pPr>
          </w:p>
        </w:tc>
        <w:tc>
          <w:tcPr>
            <w:tcW w:w="721" w:type="dxa"/>
            <w:noWrap w:val="0"/>
            <w:vAlign w:val="center"/>
          </w:tcPr>
          <w:p w14:paraId="4A8D1DDE">
            <w:pPr>
              <w:spacing w:line="400" w:lineRule="exact"/>
              <w:jc w:val="center"/>
              <w:rPr>
                <w:rFonts w:ascii="宋体" w:hAnsi="宋体"/>
                <w:color w:val="auto"/>
                <w:szCs w:val="21"/>
                <w:highlight w:val="none"/>
              </w:rPr>
            </w:pPr>
          </w:p>
        </w:tc>
        <w:tc>
          <w:tcPr>
            <w:tcW w:w="719" w:type="dxa"/>
            <w:noWrap w:val="0"/>
            <w:vAlign w:val="center"/>
          </w:tcPr>
          <w:p w14:paraId="18820D7D">
            <w:pPr>
              <w:spacing w:line="400" w:lineRule="exact"/>
              <w:jc w:val="center"/>
              <w:rPr>
                <w:rFonts w:ascii="宋体" w:hAnsi="宋体"/>
                <w:color w:val="auto"/>
                <w:szCs w:val="21"/>
                <w:highlight w:val="none"/>
              </w:rPr>
            </w:pPr>
          </w:p>
        </w:tc>
        <w:tc>
          <w:tcPr>
            <w:tcW w:w="2523" w:type="dxa"/>
            <w:noWrap w:val="0"/>
            <w:vAlign w:val="center"/>
          </w:tcPr>
          <w:p w14:paraId="5AE95883">
            <w:pPr>
              <w:spacing w:line="400" w:lineRule="exact"/>
              <w:jc w:val="center"/>
              <w:rPr>
                <w:rFonts w:ascii="宋体" w:hAnsi="宋体"/>
                <w:color w:val="auto"/>
                <w:szCs w:val="21"/>
                <w:highlight w:val="none"/>
              </w:rPr>
            </w:pPr>
          </w:p>
        </w:tc>
        <w:tc>
          <w:tcPr>
            <w:tcW w:w="670" w:type="dxa"/>
            <w:noWrap w:val="0"/>
            <w:vAlign w:val="center"/>
          </w:tcPr>
          <w:p w14:paraId="65537B66">
            <w:pPr>
              <w:spacing w:line="400" w:lineRule="exact"/>
              <w:jc w:val="center"/>
              <w:rPr>
                <w:rFonts w:ascii="宋体" w:hAnsi="宋体"/>
                <w:color w:val="auto"/>
                <w:szCs w:val="21"/>
                <w:highlight w:val="none"/>
              </w:rPr>
            </w:pPr>
          </w:p>
        </w:tc>
      </w:tr>
      <w:tr w14:paraId="6C2B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6391D97A">
            <w:pPr>
              <w:spacing w:line="400" w:lineRule="exact"/>
              <w:jc w:val="center"/>
              <w:rPr>
                <w:rFonts w:ascii="宋体" w:hAnsi="宋体"/>
                <w:color w:val="auto"/>
                <w:szCs w:val="21"/>
                <w:highlight w:val="none"/>
              </w:rPr>
            </w:pPr>
          </w:p>
        </w:tc>
        <w:tc>
          <w:tcPr>
            <w:tcW w:w="721" w:type="dxa"/>
            <w:noWrap w:val="0"/>
            <w:vAlign w:val="center"/>
          </w:tcPr>
          <w:p w14:paraId="518BFAF2">
            <w:pPr>
              <w:spacing w:line="400" w:lineRule="exact"/>
              <w:jc w:val="center"/>
              <w:rPr>
                <w:rFonts w:ascii="宋体" w:hAnsi="宋体"/>
                <w:color w:val="auto"/>
                <w:szCs w:val="21"/>
                <w:highlight w:val="none"/>
              </w:rPr>
            </w:pPr>
          </w:p>
        </w:tc>
        <w:tc>
          <w:tcPr>
            <w:tcW w:w="719" w:type="dxa"/>
            <w:noWrap w:val="0"/>
            <w:vAlign w:val="center"/>
          </w:tcPr>
          <w:p w14:paraId="0DA533D5">
            <w:pPr>
              <w:spacing w:line="400" w:lineRule="exact"/>
              <w:jc w:val="center"/>
              <w:rPr>
                <w:rFonts w:ascii="宋体" w:hAnsi="宋体"/>
                <w:color w:val="auto"/>
                <w:szCs w:val="21"/>
                <w:highlight w:val="none"/>
              </w:rPr>
            </w:pPr>
          </w:p>
        </w:tc>
        <w:tc>
          <w:tcPr>
            <w:tcW w:w="1081" w:type="dxa"/>
            <w:noWrap w:val="0"/>
            <w:vAlign w:val="center"/>
          </w:tcPr>
          <w:p w14:paraId="6C0B89ED">
            <w:pPr>
              <w:spacing w:line="400" w:lineRule="exact"/>
              <w:jc w:val="center"/>
              <w:rPr>
                <w:rFonts w:ascii="宋体" w:hAnsi="宋体"/>
                <w:color w:val="auto"/>
                <w:szCs w:val="21"/>
                <w:highlight w:val="none"/>
              </w:rPr>
            </w:pPr>
          </w:p>
        </w:tc>
        <w:tc>
          <w:tcPr>
            <w:tcW w:w="719" w:type="dxa"/>
            <w:noWrap w:val="0"/>
            <w:vAlign w:val="center"/>
          </w:tcPr>
          <w:p w14:paraId="0F1DA8F5">
            <w:pPr>
              <w:spacing w:line="400" w:lineRule="exact"/>
              <w:jc w:val="center"/>
              <w:rPr>
                <w:rFonts w:ascii="宋体" w:hAnsi="宋体"/>
                <w:color w:val="auto"/>
                <w:szCs w:val="21"/>
                <w:highlight w:val="none"/>
              </w:rPr>
            </w:pPr>
          </w:p>
        </w:tc>
        <w:tc>
          <w:tcPr>
            <w:tcW w:w="721" w:type="dxa"/>
            <w:noWrap w:val="0"/>
            <w:vAlign w:val="center"/>
          </w:tcPr>
          <w:p w14:paraId="01DF3F8B">
            <w:pPr>
              <w:spacing w:line="400" w:lineRule="exact"/>
              <w:jc w:val="center"/>
              <w:rPr>
                <w:rFonts w:ascii="宋体" w:hAnsi="宋体"/>
                <w:color w:val="auto"/>
                <w:szCs w:val="21"/>
                <w:highlight w:val="none"/>
              </w:rPr>
            </w:pPr>
          </w:p>
        </w:tc>
        <w:tc>
          <w:tcPr>
            <w:tcW w:w="719" w:type="dxa"/>
            <w:noWrap w:val="0"/>
            <w:vAlign w:val="center"/>
          </w:tcPr>
          <w:p w14:paraId="78556393">
            <w:pPr>
              <w:spacing w:line="400" w:lineRule="exact"/>
              <w:jc w:val="center"/>
              <w:rPr>
                <w:rFonts w:ascii="宋体" w:hAnsi="宋体"/>
                <w:color w:val="auto"/>
                <w:szCs w:val="21"/>
                <w:highlight w:val="none"/>
              </w:rPr>
            </w:pPr>
          </w:p>
        </w:tc>
        <w:tc>
          <w:tcPr>
            <w:tcW w:w="2523" w:type="dxa"/>
            <w:noWrap w:val="0"/>
            <w:vAlign w:val="center"/>
          </w:tcPr>
          <w:p w14:paraId="44330722">
            <w:pPr>
              <w:spacing w:line="400" w:lineRule="exact"/>
              <w:jc w:val="center"/>
              <w:rPr>
                <w:rFonts w:ascii="宋体" w:hAnsi="宋体"/>
                <w:color w:val="auto"/>
                <w:szCs w:val="21"/>
                <w:highlight w:val="none"/>
              </w:rPr>
            </w:pPr>
          </w:p>
        </w:tc>
        <w:tc>
          <w:tcPr>
            <w:tcW w:w="670" w:type="dxa"/>
            <w:noWrap w:val="0"/>
            <w:vAlign w:val="center"/>
          </w:tcPr>
          <w:p w14:paraId="769487A0">
            <w:pPr>
              <w:spacing w:line="400" w:lineRule="exact"/>
              <w:jc w:val="center"/>
              <w:rPr>
                <w:rFonts w:ascii="宋体" w:hAnsi="宋体"/>
                <w:color w:val="auto"/>
                <w:szCs w:val="21"/>
                <w:highlight w:val="none"/>
              </w:rPr>
            </w:pPr>
          </w:p>
        </w:tc>
      </w:tr>
      <w:tr w14:paraId="4F76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168DD0A4">
            <w:pPr>
              <w:spacing w:line="400" w:lineRule="exact"/>
              <w:jc w:val="center"/>
              <w:rPr>
                <w:rFonts w:ascii="宋体" w:hAnsi="宋体"/>
                <w:color w:val="auto"/>
                <w:szCs w:val="21"/>
                <w:highlight w:val="none"/>
              </w:rPr>
            </w:pPr>
          </w:p>
        </w:tc>
        <w:tc>
          <w:tcPr>
            <w:tcW w:w="721" w:type="dxa"/>
            <w:noWrap w:val="0"/>
            <w:vAlign w:val="center"/>
          </w:tcPr>
          <w:p w14:paraId="52DEC3B7">
            <w:pPr>
              <w:spacing w:line="400" w:lineRule="exact"/>
              <w:jc w:val="center"/>
              <w:rPr>
                <w:rFonts w:ascii="宋体" w:hAnsi="宋体"/>
                <w:color w:val="auto"/>
                <w:szCs w:val="21"/>
                <w:highlight w:val="none"/>
              </w:rPr>
            </w:pPr>
          </w:p>
        </w:tc>
        <w:tc>
          <w:tcPr>
            <w:tcW w:w="719" w:type="dxa"/>
            <w:noWrap w:val="0"/>
            <w:vAlign w:val="center"/>
          </w:tcPr>
          <w:p w14:paraId="78C55995">
            <w:pPr>
              <w:spacing w:line="400" w:lineRule="exact"/>
              <w:jc w:val="center"/>
              <w:rPr>
                <w:rFonts w:ascii="宋体" w:hAnsi="宋体"/>
                <w:color w:val="auto"/>
                <w:szCs w:val="21"/>
                <w:highlight w:val="none"/>
              </w:rPr>
            </w:pPr>
          </w:p>
        </w:tc>
        <w:tc>
          <w:tcPr>
            <w:tcW w:w="1081" w:type="dxa"/>
            <w:noWrap w:val="0"/>
            <w:vAlign w:val="center"/>
          </w:tcPr>
          <w:p w14:paraId="14E857E5">
            <w:pPr>
              <w:spacing w:line="400" w:lineRule="exact"/>
              <w:jc w:val="center"/>
              <w:rPr>
                <w:rFonts w:ascii="宋体" w:hAnsi="宋体"/>
                <w:color w:val="auto"/>
                <w:szCs w:val="21"/>
                <w:highlight w:val="none"/>
              </w:rPr>
            </w:pPr>
          </w:p>
        </w:tc>
        <w:tc>
          <w:tcPr>
            <w:tcW w:w="719" w:type="dxa"/>
            <w:noWrap w:val="0"/>
            <w:vAlign w:val="center"/>
          </w:tcPr>
          <w:p w14:paraId="027F8ACA">
            <w:pPr>
              <w:spacing w:line="400" w:lineRule="exact"/>
              <w:jc w:val="center"/>
              <w:rPr>
                <w:rFonts w:ascii="宋体" w:hAnsi="宋体"/>
                <w:color w:val="auto"/>
                <w:szCs w:val="21"/>
                <w:highlight w:val="none"/>
              </w:rPr>
            </w:pPr>
          </w:p>
        </w:tc>
        <w:tc>
          <w:tcPr>
            <w:tcW w:w="721" w:type="dxa"/>
            <w:noWrap w:val="0"/>
            <w:vAlign w:val="center"/>
          </w:tcPr>
          <w:p w14:paraId="5D1F0731">
            <w:pPr>
              <w:spacing w:line="400" w:lineRule="exact"/>
              <w:jc w:val="center"/>
              <w:rPr>
                <w:rFonts w:ascii="宋体" w:hAnsi="宋体"/>
                <w:color w:val="auto"/>
                <w:szCs w:val="21"/>
                <w:highlight w:val="none"/>
              </w:rPr>
            </w:pPr>
          </w:p>
        </w:tc>
        <w:tc>
          <w:tcPr>
            <w:tcW w:w="719" w:type="dxa"/>
            <w:noWrap w:val="0"/>
            <w:vAlign w:val="center"/>
          </w:tcPr>
          <w:p w14:paraId="593F99F3">
            <w:pPr>
              <w:spacing w:line="400" w:lineRule="exact"/>
              <w:jc w:val="center"/>
              <w:rPr>
                <w:rFonts w:ascii="宋体" w:hAnsi="宋体"/>
                <w:color w:val="auto"/>
                <w:szCs w:val="21"/>
                <w:highlight w:val="none"/>
              </w:rPr>
            </w:pPr>
          </w:p>
        </w:tc>
        <w:tc>
          <w:tcPr>
            <w:tcW w:w="2523" w:type="dxa"/>
            <w:noWrap w:val="0"/>
            <w:vAlign w:val="center"/>
          </w:tcPr>
          <w:p w14:paraId="18B757AF">
            <w:pPr>
              <w:spacing w:line="400" w:lineRule="exact"/>
              <w:jc w:val="center"/>
              <w:rPr>
                <w:rFonts w:ascii="宋体" w:hAnsi="宋体"/>
                <w:color w:val="auto"/>
                <w:szCs w:val="21"/>
                <w:highlight w:val="none"/>
              </w:rPr>
            </w:pPr>
          </w:p>
        </w:tc>
        <w:tc>
          <w:tcPr>
            <w:tcW w:w="670" w:type="dxa"/>
            <w:noWrap w:val="0"/>
            <w:vAlign w:val="center"/>
          </w:tcPr>
          <w:p w14:paraId="384D095F">
            <w:pPr>
              <w:spacing w:line="400" w:lineRule="exact"/>
              <w:jc w:val="center"/>
              <w:rPr>
                <w:rFonts w:ascii="宋体" w:hAnsi="宋体"/>
                <w:color w:val="auto"/>
                <w:szCs w:val="21"/>
                <w:highlight w:val="none"/>
              </w:rPr>
            </w:pPr>
          </w:p>
        </w:tc>
      </w:tr>
      <w:tr w14:paraId="3E97C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79145940">
            <w:pPr>
              <w:spacing w:line="400" w:lineRule="exact"/>
              <w:jc w:val="center"/>
              <w:rPr>
                <w:rFonts w:ascii="宋体" w:hAnsi="宋体"/>
                <w:color w:val="auto"/>
                <w:szCs w:val="21"/>
                <w:highlight w:val="none"/>
              </w:rPr>
            </w:pPr>
          </w:p>
        </w:tc>
        <w:tc>
          <w:tcPr>
            <w:tcW w:w="721" w:type="dxa"/>
            <w:noWrap w:val="0"/>
            <w:vAlign w:val="center"/>
          </w:tcPr>
          <w:p w14:paraId="4843048B">
            <w:pPr>
              <w:spacing w:line="400" w:lineRule="exact"/>
              <w:jc w:val="center"/>
              <w:rPr>
                <w:rFonts w:ascii="宋体" w:hAnsi="宋体"/>
                <w:color w:val="auto"/>
                <w:szCs w:val="21"/>
                <w:highlight w:val="none"/>
              </w:rPr>
            </w:pPr>
          </w:p>
        </w:tc>
        <w:tc>
          <w:tcPr>
            <w:tcW w:w="719" w:type="dxa"/>
            <w:noWrap w:val="0"/>
            <w:vAlign w:val="center"/>
          </w:tcPr>
          <w:p w14:paraId="1433CE0D">
            <w:pPr>
              <w:spacing w:line="400" w:lineRule="exact"/>
              <w:jc w:val="center"/>
              <w:rPr>
                <w:rFonts w:ascii="宋体" w:hAnsi="宋体"/>
                <w:color w:val="auto"/>
                <w:szCs w:val="21"/>
                <w:highlight w:val="none"/>
              </w:rPr>
            </w:pPr>
          </w:p>
        </w:tc>
        <w:tc>
          <w:tcPr>
            <w:tcW w:w="1081" w:type="dxa"/>
            <w:noWrap w:val="0"/>
            <w:vAlign w:val="center"/>
          </w:tcPr>
          <w:p w14:paraId="27C4D569">
            <w:pPr>
              <w:spacing w:line="400" w:lineRule="exact"/>
              <w:jc w:val="center"/>
              <w:rPr>
                <w:rFonts w:ascii="宋体" w:hAnsi="宋体"/>
                <w:color w:val="auto"/>
                <w:szCs w:val="21"/>
                <w:highlight w:val="none"/>
              </w:rPr>
            </w:pPr>
          </w:p>
        </w:tc>
        <w:tc>
          <w:tcPr>
            <w:tcW w:w="719" w:type="dxa"/>
            <w:noWrap w:val="0"/>
            <w:vAlign w:val="center"/>
          </w:tcPr>
          <w:p w14:paraId="623BBFCC">
            <w:pPr>
              <w:spacing w:line="400" w:lineRule="exact"/>
              <w:jc w:val="center"/>
              <w:rPr>
                <w:rFonts w:ascii="宋体" w:hAnsi="宋体"/>
                <w:color w:val="auto"/>
                <w:szCs w:val="21"/>
                <w:highlight w:val="none"/>
              </w:rPr>
            </w:pPr>
          </w:p>
        </w:tc>
        <w:tc>
          <w:tcPr>
            <w:tcW w:w="721" w:type="dxa"/>
            <w:noWrap w:val="0"/>
            <w:vAlign w:val="center"/>
          </w:tcPr>
          <w:p w14:paraId="2C4F0946">
            <w:pPr>
              <w:spacing w:line="400" w:lineRule="exact"/>
              <w:jc w:val="center"/>
              <w:rPr>
                <w:rFonts w:ascii="宋体" w:hAnsi="宋体"/>
                <w:color w:val="auto"/>
                <w:szCs w:val="21"/>
                <w:highlight w:val="none"/>
              </w:rPr>
            </w:pPr>
          </w:p>
        </w:tc>
        <w:tc>
          <w:tcPr>
            <w:tcW w:w="719" w:type="dxa"/>
            <w:noWrap w:val="0"/>
            <w:vAlign w:val="center"/>
          </w:tcPr>
          <w:p w14:paraId="555DC3CB">
            <w:pPr>
              <w:spacing w:line="400" w:lineRule="exact"/>
              <w:jc w:val="center"/>
              <w:rPr>
                <w:rFonts w:ascii="宋体" w:hAnsi="宋体"/>
                <w:color w:val="auto"/>
                <w:szCs w:val="21"/>
                <w:highlight w:val="none"/>
              </w:rPr>
            </w:pPr>
          </w:p>
        </w:tc>
        <w:tc>
          <w:tcPr>
            <w:tcW w:w="2523" w:type="dxa"/>
            <w:noWrap w:val="0"/>
            <w:vAlign w:val="center"/>
          </w:tcPr>
          <w:p w14:paraId="7492064C">
            <w:pPr>
              <w:spacing w:line="400" w:lineRule="exact"/>
              <w:jc w:val="center"/>
              <w:rPr>
                <w:rFonts w:ascii="宋体" w:hAnsi="宋体"/>
                <w:color w:val="auto"/>
                <w:szCs w:val="21"/>
                <w:highlight w:val="none"/>
              </w:rPr>
            </w:pPr>
          </w:p>
        </w:tc>
        <w:tc>
          <w:tcPr>
            <w:tcW w:w="670" w:type="dxa"/>
            <w:noWrap w:val="0"/>
            <w:vAlign w:val="center"/>
          </w:tcPr>
          <w:p w14:paraId="2FC301E4">
            <w:pPr>
              <w:spacing w:line="400" w:lineRule="exact"/>
              <w:jc w:val="center"/>
              <w:rPr>
                <w:rFonts w:ascii="宋体" w:hAnsi="宋体"/>
                <w:color w:val="auto"/>
                <w:szCs w:val="21"/>
                <w:highlight w:val="none"/>
              </w:rPr>
            </w:pPr>
          </w:p>
        </w:tc>
      </w:tr>
      <w:tr w14:paraId="05C5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06EFBF02">
            <w:pPr>
              <w:spacing w:line="400" w:lineRule="exact"/>
              <w:jc w:val="center"/>
              <w:rPr>
                <w:rFonts w:ascii="宋体" w:hAnsi="宋体"/>
                <w:color w:val="auto"/>
                <w:szCs w:val="21"/>
                <w:highlight w:val="none"/>
              </w:rPr>
            </w:pPr>
          </w:p>
        </w:tc>
        <w:tc>
          <w:tcPr>
            <w:tcW w:w="721" w:type="dxa"/>
            <w:noWrap w:val="0"/>
            <w:vAlign w:val="center"/>
          </w:tcPr>
          <w:p w14:paraId="3E1EA0B1">
            <w:pPr>
              <w:spacing w:line="400" w:lineRule="exact"/>
              <w:jc w:val="center"/>
              <w:rPr>
                <w:rFonts w:ascii="宋体" w:hAnsi="宋体"/>
                <w:color w:val="auto"/>
                <w:szCs w:val="21"/>
                <w:highlight w:val="none"/>
              </w:rPr>
            </w:pPr>
          </w:p>
        </w:tc>
        <w:tc>
          <w:tcPr>
            <w:tcW w:w="719" w:type="dxa"/>
            <w:noWrap w:val="0"/>
            <w:vAlign w:val="center"/>
          </w:tcPr>
          <w:p w14:paraId="254F6DBF">
            <w:pPr>
              <w:spacing w:line="400" w:lineRule="exact"/>
              <w:jc w:val="center"/>
              <w:rPr>
                <w:rFonts w:ascii="宋体" w:hAnsi="宋体"/>
                <w:color w:val="auto"/>
                <w:szCs w:val="21"/>
                <w:highlight w:val="none"/>
              </w:rPr>
            </w:pPr>
          </w:p>
        </w:tc>
        <w:tc>
          <w:tcPr>
            <w:tcW w:w="1081" w:type="dxa"/>
            <w:noWrap w:val="0"/>
            <w:vAlign w:val="center"/>
          </w:tcPr>
          <w:p w14:paraId="399ED1A3">
            <w:pPr>
              <w:spacing w:line="400" w:lineRule="exact"/>
              <w:jc w:val="center"/>
              <w:rPr>
                <w:rFonts w:ascii="宋体" w:hAnsi="宋体"/>
                <w:color w:val="auto"/>
                <w:szCs w:val="21"/>
                <w:highlight w:val="none"/>
              </w:rPr>
            </w:pPr>
          </w:p>
        </w:tc>
        <w:tc>
          <w:tcPr>
            <w:tcW w:w="719" w:type="dxa"/>
            <w:noWrap w:val="0"/>
            <w:vAlign w:val="center"/>
          </w:tcPr>
          <w:p w14:paraId="7421A4C7">
            <w:pPr>
              <w:spacing w:line="400" w:lineRule="exact"/>
              <w:jc w:val="center"/>
              <w:rPr>
                <w:rFonts w:ascii="宋体" w:hAnsi="宋体"/>
                <w:color w:val="auto"/>
                <w:szCs w:val="21"/>
                <w:highlight w:val="none"/>
              </w:rPr>
            </w:pPr>
          </w:p>
        </w:tc>
        <w:tc>
          <w:tcPr>
            <w:tcW w:w="721" w:type="dxa"/>
            <w:noWrap w:val="0"/>
            <w:vAlign w:val="center"/>
          </w:tcPr>
          <w:p w14:paraId="4960CBD1">
            <w:pPr>
              <w:spacing w:line="400" w:lineRule="exact"/>
              <w:jc w:val="center"/>
              <w:rPr>
                <w:rFonts w:ascii="宋体" w:hAnsi="宋体"/>
                <w:color w:val="auto"/>
                <w:szCs w:val="21"/>
                <w:highlight w:val="none"/>
              </w:rPr>
            </w:pPr>
          </w:p>
        </w:tc>
        <w:tc>
          <w:tcPr>
            <w:tcW w:w="719" w:type="dxa"/>
            <w:noWrap w:val="0"/>
            <w:vAlign w:val="center"/>
          </w:tcPr>
          <w:p w14:paraId="69B4B0F9">
            <w:pPr>
              <w:spacing w:line="400" w:lineRule="exact"/>
              <w:jc w:val="center"/>
              <w:rPr>
                <w:rFonts w:ascii="宋体" w:hAnsi="宋体"/>
                <w:color w:val="auto"/>
                <w:szCs w:val="21"/>
                <w:highlight w:val="none"/>
              </w:rPr>
            </w:pPr>
          </w:p>
        </w:tc>
        <w:tc>
          <w:tcPr>
            <w:tcW w:w="2523" w:type="dxa"/>
            <w:noWrap w:val="0"/>
            <w:vAlign w:val="center"/>
          </w:tcPr>
          <w:p w14:paraId="72BD6038">
            <w:pPr>
              <w:spacing w:line="400" w:lineRule="exact"/>
              <w:jc w:val="center"/>
              <w:rPr>
                <w:rFonts w:ascii="宋体" w:hAnsi="宋体"/>
                <w:color w:val="auto"/>
                <w:szCs w:val="21"/>
                <w:highlight w:val="none"/>
              </w:rPr>
            </w:pPr>
          </w:p>
        </w:tc>
        <w:tc>
          <w:tcPr>
            <w:tcW w:w="670" w:type="dxa"/>
            <w:noWrap w:val="0"/>
            <w:vAlign w:val="center"/>
          </w:tcPr>
          <w:p w14:paraId="60B9DDF2">
            <w:pPr>
              <w:spacing w:line="400" w:lineRule="exact"/>
              <w:jc w:val="center"/>
              <w:rPr>
                <w:rFonts w:ascii="宋体" w:hAnsi="宋体"/>
                <w:color w:val="auto"/>
                <w:szCs w:val="21"/>
                <w:highlight w:val="none"/>
              </w:rPr>
            </w:pPr>
          </w:p>
        </w:tc>
      </w:tr>
      <w:tr w14:paraId="5D0E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49" w:type="dxa"/>
            <w:noWrap w:val="0"/>
            <w:vAlign w:val="center"/>
          </w:tcPr>
          <w:p w14:paraId="0E98D85F">
            <w:pPr>
              <w:spacing w:line="400" w:lineRule="exact"/>
              <w:jc w:val="center"/>
              <w:rPr>
                <w:rFonts w:ascii="宋体" w:hAnsi="宋体"/>
                <w:color w:val="auto"/>
                <w:szCs w:val="21"/>
                <w:highlight w:val="none"/>
              </w:rPr>
            </w:pPr>
          </w:p>
        </w:tc>
        <w:tc>
          <w:tcPr>
            <w:tcW w:w="721" w:type="dxa"/>
            <w:noWrap w:val="0"/>
            <w:vAlign w:val="center"/>
          </w:tcPr>
          <w:p w14:paraId="514C7026">
            <w:pPr>
              <w:spacing w:line="400" w:lineRule="exact"/>
              <w:jc w:val="center"/>
              <w:rPr>
                <w:rFonts w:ascii="宋体" w:hAnsi="宋体"/>
                <w:color w:val="auto"/>
                <w:szCs w:val="21"/>
                <w:highlight w:val="none"/>
              </w:rPr>
            </w:pPr>
          </w:p>
        </w:tc>
        <w:tc>
          <w:tcPr>
            <w:tcW w:w="719" w:type="dxa"/>
            <w:noWrap w:val="0"/>
            <w:vAlign w:val="center"/>
          </w:tcPr>
          <w:p w14:paraId="344FA1E4">
            <w:pPr>
              <w:spacing w:line="400" w:lineRule="exact"/>
              <w:jc w:val="center"/>
              <w:rPr>
                <w:rFonts w:ascii="宋体" w:hAnsi="宋体"/>
                <w:color w:val="auto"/>
                <w:szCs w:val="21"/>
                <w:highlight w:val="none"/>
              </w:rPr>
            </w:pPr>
          </w:p>
        </w:tc>
        <w:tc>
          <w:tcPr>
            <w:tcW w:w="1081" w:type="dxa"/>
            <w:noWrap w:val="0"/>
            <w:vAlign w:val="center"/>
          </w:tcPr>
          <w:p w14:paraId="703F51BA">
            <w:pPr>
              <w:spacing w:line="400" w:lineRule="exact"/>
              <w:jc w:val="center"/>
              <w:rPr>
                <w:rFonts w:ascii="宋体" w:hAnsi="宋体"/>
                <w:color w:val="auto"/>
                <w:szCs w:val="21"/>
                <w:highlight w:val="none"/>
              </w:rPr>
            </w:pPr>
          </w:p>
        </w:tc>
        <w:tc>
          <w:tcPr>
            <w:tcW w:w="719" w:type="dxa"/>
            <w:noWrap w:val="0"/>
            <w:vAlign w:val="center"/>
          </w:tcPr>
          <w:p w14:paraId="2C3280D9">
            <w:pPr>
              <w:spacing w:line="400" w:lineRule="exact"/>
              <w:jc w:val="center"/>
              <w:rPr>
                <w:rFonts w:ascii="宋体" w:hAnsi="宋体"/>
                <w:color w:val="auto"/>
                <w:szCs w:val="21"/>
                <w:highlight w:val="none"/>
              </w:rPr>
            </w:pPr>
          </w:p>
        </w:tc>
        <w:tc>
          <w:tcPr>
            <w:tcW w:w="721" w:type="dxa"/>
            <w:noWrap w:val="0"/>
            <w:vAlign w:val="center"/>
          </w:tcPr>
          <w:p w14:paraId="5D096884">
            <w:pPr>
              <w:spacing w:line="400" w:lineRule="exact"/>
              <w:jc w:val="center"/>
              <w:rPr>
                <w:rFonts w:ascii="宋体" w:hAnsi="宋体"/>
                <w:color w:val="auto"/>
                <w:szCs w:val="21"/>
                <w:highlight w:val="none"/>
              </w:rPr>
            </w:pPr>
          </w:p>
        </w:tc>
        <w:tc>
          <w:tcPr>
            <w:tcW w:w="719" w:type="dxa"/>
            <w:noWrap w:val="0"/>
            <w:vAlign w:val="center"/>
          </w:tcPr>
          <w:p w14:paraId="27ED30E2">
            <w:pPr>
              <w:spacing w:line="400" w:lineRule="exact"/>
              <w:jc w:val="center"/>
              <w:rPr>
                <w:rFonts w:ascii="宋体" w:hAnsi="宋体"/>
                <w:color w:val="auto"/>
                <w:szCs w:val="21"/>
                <w:highlight w:val="none"/>
              </w:rPr>
            </w:pPr>
          </w:p>
        </w:tc>
        <w:tc>
          <w:tcPr>
            <w:tcW w:w="2523" w:type="dxa"/>
            <w:noWrap w:val="0"/>
            <w:vAlign w:val="center"/>
          </w:tcPr>
          <w:p w14:paraId="768E694C">
            <w:pPr>
              <w:spacing w:line="400" w:lineRule="exact"/>
              <w:jc w:val="center"/>
              <w:rPr>
                <w:rFonts w:ascii="宋体" w:hAnsi="宋体"/>
                <w:color w:val="auto"/>
                <w:szCs w:val="21"/>
                <w:highlight w:val="none"/>
              </w:rPr>
            </w:pPr>
          </w:p>
        </w:tc>
        <w:tc>
          <w:tcPr>
            <w:tcW w:w="670" w:type="dxa"/>
            <w:noWrap w:val="0"/>
            <w:vAlign w:val="center"/>
          </w:tcPr>
          <w:p w14:paraId="7147FA72">
            <w:pPr>
              <w:spacing w:line="400" w:lineRule="exact"/>
              <w:jc w:val="center"/>
              <w:rPr>
                <w:rFonts w:ascii="宋体" w:hAnsi="宋体"/>
                <w:color w:val="auto"/>
                <w:szCs w:val="21"/>
                <w:highlight w:val="none"/>
              </w:rPr>
            </w:pPr>
          </w:p>
        </w:tc>
      </w:tr>
      <w:tr w14:paraId="77B2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21E6FB6D">
            <w:pPr>
              <w:spacing w:line="400" w:lineRule="exact"/>
              <w:jc w:val="center"/>
              <w:rPr>
                <w:rFonts w:ascii="宋体" w:hAnsi="宋体"/>
                <w:color w:val="auto"/>
                <w:szCs w:val="21"/>
                <w:highlight w:val="none"/>
              </w:rPr>
            </w:pPr>
          </w:p>
        </w:tc>
        <w:tc>
          <w:tcPr>
            <w:tcW w:w="721" w:type="dxa"/>
            <w:noWrap w:val="0"/>
            <w:vAlign w:val="center"/>
          </w:tcPr>
          <w:p w14:paraId="7930887B">
            <w:pPr>
              <w:spacing w:line="400" w:lineRule="exact"/>
              <w:jc w:val="center"/>
              <w:rPr>
                <w:rFonts w:ascii="宋体" w:hAnsi="宋体"/>
                <w:color w:val="auto"/>
                <w:szCs w:val="21"/>
                <w:highlight w:val="none"/>
              </w:rPr>
            </w:pPr>
          </w:p>
        </w:tc>
        <w:tc>
          <w:tcPr>
            <w:tcW w:w="719" w:type="dxa"/>
            <w:noWrap w:val="0"/>
            <w:vAlign w:val="center"/>
          </w:tcPr>
          <w:p w14:paraId="3D35CB7C">
            <w:pPr>
              <w:spacing w:line="400" w:lineRule="exact"/>
              <w:jc w:val="center"/>
              <w:rPr>
                <w:rFonts w:ascii="宋体" w:hAnsi="宋体"/>
                <w:color w:val="auto"/>
                <w:szCs w:val="21"/>
                <w:highlight w:val="none"/>
              </w:rPr>
            </w:pPr>
          </w:p>
        </w:tc>
        <w:tc>
          <w:tcPr>
            <w:tcW w:w="1081" w:type="dxa"/>
            <w:noWrap w:val="0"/>
            <w:vAlign w:val="center"/>
          </w:tcPr>
          <w:p w14:paraId="241C900A">
            <w:pPr>
              <w:spacing w:line="400" w:lineRule="exact"/>
              <w:jc w:val="center"/>
              <w:rPr>
                <w:rFonts w:ascii="宋体" w:hAnsi="宋体"/>
                <w:color w:val="auto"/>
                <w:szCs w:val="21"/>
                <w:highlight w:val="none"/>
              </w:rPr>
            </w:pPr>
          </w:p>
        </w:tc>
        <w:tc>
          <w:tcPr>
            <w:tcW w:w="719" w:type="dxa"/>
            <w:noWrap w:val="0"/>
            <w:vAlign w:val="center"/>
          </w:tcPr>
          <w:p w14:paraId="591B91A5">
            <w:pPr>
              <w:spacing w:line="400" w:lineRule="exact"/>
              <w:jc w:val="center"/>
              <w:rPr>
                <w:rFonts w:ascii="宋体" w:hAnsi="宋体"/>
                <w:color w:val="auto"/>
                <w:szCs w:val="21"/>
                <w:highlight w:val="none"/>
              </w:rPr>
            </w:pPr>
          </w:p>
        </w:tc>
        <w:tc>
          <w:tcPr>
            <w:tcW w:w="721" w:type="dxa"/>
            <w:noWrap w:val="0"/>
            <w:vAlign w:val="center"/>
          </w:tcPr>
          <w:p w14:paraId="235D8D1A">
            <w:pPr>
              <w:spacing w:line="400" w:lineRule="exact"/>
              <w:jc w:val="center"/>
              <w:rPr>
                <w:rFonts w:ascii="宋体" w:hAnsi="宋体"/>
                <w:color w:val="auto"/>
                <w:szCs w:val="21"/>
                <w:highlight w:val="none"/>
              </w:rPr>
            </w:pPr>
          </w:p>
        </w:tc>
        <w:tc>
          <w:tcPr>
            <w:tcW w:w="719" w:type="dxa"/>
            <w:noWrap w:val="0"/>
            <w:vAlign w:val="center"/>
          </w:tcPr>
          <w:p w14:paraId="5A4A46D2">
            <w:pPr>
              <w:spacing w:line="400" w:lineRule="exact"/>
              <w:jc w:val="center"/>
              <w:rPr>
                <w:rFonts w:ascii="宋体" w:hAnsi="宋体"/>
                <w:color w:val="auto"/>
                <w:szCs w:val="21"/>
                <w:highlight w:val="none"/>
              </w:rPr>
            </w:pPr>
          </w:p>
        </w:tc>
        <w:tc>
          <w:tcPr>
            <w:tcW w:w="2523" w:type="dxa"/>
            <w:noWrap w:val="0"/>
            <w:vAlign w:val="center"/>
          </w:tcPr>
          <w:p w14:paraId="51EEBED3">
            <w:pPr>
              <w:spacing w:line="400" w:lineRule="exact"/>
              <w:jc w:val="center"/>
              <w:rPr>
                <w:rFonts w:ascii="宋体" w:hAnsi="宋体"/>
                <w:color w:val="auto"/>
                <w:szCs w:val="21"/>
                <w:highlight w:val="none"/>
              </w:rPr>
            </w:pPr>
          </w:p>
        </w:tc>
        <w:tc>
          <w:tcPr>
            <w:tcW w:w="670" w:type="dxa"/>
            <w:noWrap w:val="0"/>
            <w:vAlign w:val="center"/>
          </w:tcPr>
          <w:p w14:paraId="7DBA5EBB">
            <w:pPr>
              <w:spacing w:line="400" w:lineRule="exact"/>
              <w:jc w:val="center"/>
              <w:rPr>
                <w:rFonts w:ascii="宋体" w:hAnsi="宋体"/>
                <w:color w:val="auto"/>
                <w:szCs w:val="21"/>
                <w:highlight w:val="none"/>
              </w:rPr>
            </w:pPr>
          </w:p>
        </w:tc>
      </w:tr>
      <w:tr w14:paraId="1A97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5D8F0C40">
            <w:pPr>
              <w:spacing w:line="400" w:lineRule="exact"/>
              <w:jc w:val="center"/>
              <w:rPr>
                <w:rFonts w:ascii="宋体" w:hAnsi="宋体"/>
                <w:color w:val="auto"/>
                <w:szCs w:val="21"/>
                <w:highlight w:val="none"/>
              </w:rPr>
            </w:pPr>
          </w:p>
        </w:tc>
        <w:tc>
          <w:tcPr>
            <w:tcW w:w="721" w:type="dxa"/>
            <w:noWrap w:val="0"/>
            <w:vAlign w:val="center"/>
          </w:tcPr>
          <w:p w14:paraId="7F62F14C">
            <w:pPr>
              <w:spacing w:line="400" w:lineRule="exact"/>
              <w:jc w:val="center"/>
              <w:rPr>
                <w:rFonts w:ascii="宋体" w:hAnsi="宋体"/>
                <w:color w:val="auto"/>
                <w:szCs w:val="21"/>
                <w:highlight w:val="none"/>
              </w:rPr>
            </w:pPr>
          </w:p>
        </w:tc>
        <w:tc>
          <w:tcPr>
            <w:tcW w:w="719" w:type="dxa"/>
            <w:noWrap w:val="0"/>
            <w:vAlign w:val="center"/>
          </w:tcPr>
          <w:p w14:paraId="203DBEB7">
            <w:pPr>
              <w:spacing w:line="400" w:lineRule="exact"/>
              <w:jc w:val="center"/>
              <w:rPr>
                <w:rFonts w:ascii="宋体" w:hAnsi="宋体"/>
                <w:color w:val="auto"/>
                <w:szCs w:val="21"/>
                <w:highlight w:val="none"/>
              </w:rPr>
            </w:pPr>
          </w:p>
        </w:tc>
        <w:tc>
          <w:tcPr>
            <w:tcW w:w="1081" w:type="dxa"/>
            <w:noWrap w:val="0"/>
            <w:vAlign w:val="center"/>
          </w:tcPr>
          <w:p w14:paraId="3A23BB66">
            <w:pPr>
              <w:spacing w:line="400" w:lineRule="exact"/>
              <w:jc w:val="center"/>
              <w:rPr>
                <w:rFonts w:ascii="宋体" w:hAnsi="宋体"/>
                <w:color w:val="auto"/>
                <w:szCs w:val="21"/>
                <w:highlight w:val="none"/>
              </w:rPr>
            </w:pPr>
          </w:p>
        </w:tc>
        <w:tc>
          <w:tcPr>
            <w:tcW w:w="719" w:type="dxa"/>
            <w:noWrap w:val="0"/>
            <w:vAlign w:val="center"/>
          </w:tcPr>
          <w:p w14:paraId="6AA32A63">
            <w:pPr>
              <w:spacing w:line="400" w:lineRule="exact"/>
              <w:jc w:val="center"/>
              <w:rPr>
                <w:rFonts w:ascii="宋体" w:hAnsi="宋体"/>
                <w:color w:val="auto"/>
                <w:szCs w:val="21"/>
                <w:highlight w:val="none"/>
              </w:rPr>
            </w:pPr>
          </w:p>
        </w:tc>
        <w:tc>
          <w:tcPr>
            <w:tcW w:w="721" w:type="dxa"/>
            <w:noWrap w:val="0"/>
            <w:vAlign w:val="center"/>
          </w:tcPr>
          <w:p w14:paraId="18A1E040">
            <w:pPr>
              <w:spacing w:line="400" w:lineRule="exact"/>
              <w:jc w:val="center"/>
              <w:rPr>
                <w:rFonts w:ascii="宋体" w:hAnsi="宋体"/>
                <w:color w:val="auto"/>
                <w:szCs w:val="21"/>
                <w:highlight w:val="none"/>
              </w:rPr>
            </w:pPr>
          </w:p>
        </w:tc>
        <w:tc>
          <w:tcPr>
            <w:tcW w:w="719" w:type="dxa"/>
            <w:noWrap w:val="0"/>
            <w:vAlign w:val="center"/>
          </w:tcPr>
          <w:p w14:paraId="4656509E">
            <w:pPr>
              <w:spacing w:line="400" w:lineRule="exact"/>
              <w:jc w:val="center"/>
              <w:rPr>
                <w:rFonts w:ascii="宋体" w:hAnsi="宋体"/>
                <w:color w:val="auto"/>
                <w:szCs w:val="21"/>
                <w:highlight w:val="none"/>
              </w:rPr>
            </w:pPr>
          </w:p>
        </w:tc>
        <w:tc>
          <w:tcPr>
            <w:tcW w:w="2523" w:type="dxa"/>
            <w:noWrap w:val="0"/>
            <w:vAlign w:val="center"/>
          </w:tcPr>
          <w:p w14:paraId="4991C1F4">
            <w:pPr>
              <w:spacing w:line="400" w:lineRule="exact"/>
              <w:jc w:val="center"/>
              <w:rPr>
                <w:rFonts w:ascii="宋体" w:hAnsi="宋体"/>
                <w:color w:val="auto"/>
                <w:szCs w:val="21"/>
                <w:highlight w:val="none"/>
              </w:rPr>
            </w:pPr>
          </w:p>
        </w:tc>
        <w:tc>
          <w:tcPr>
            <w:tcW w:w="670" w:type="dxa"/>
            <w:noWrap w:val="0"/>
            <w:vAlign w:val="center"/>
          </w:tcPr>
          <w:p w14:paraId="2C08CB27">
            <w:pPr>
              <w:spacing w:line="400" w:lineRule="exact"/>
              <w:jc w:val="center"/>
              <w:rPr>
                <w:rFonts w:ascii="宋体" w:hAnsi="宋体"/>
                <w:color w:val="auto"/>
                <w:szCs w:val="21"/>
                <w:highlight w:val="none"/>
              </w:rPr>
            </w:pPr>
          </w:p>
        </w:tc>
      </w:tr>
      <w:tr w14:paraId="2951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219D9BDE">
            <w:pPr>
              <w:spacing w:line="400" w:lineRule="exact"/>
              <w:jc w:val="center"/>
              <w:rPr>
                <w:rFonts w:ascii="宋体" w:hAnsi="宋体"/>
                <w:color w:val="auto"/>
                <w:szCs w:val="21"/>
                <w:highlight w:val="none"/>
              </w:rPr>
            </w:pPr>
          </w:p>
        </w:tc>
        <w:tc>
          <w:tcPr>
            <w:tcW w:w="721" w:type="dxa"/>
            <w:noWrap w:val="0"/>
            <w:vAlign w:val="center"/>
          </w:tcPr>
          <w:p w14:paraId="0772790D">
            <w:pPr>
              <w:spacing w:line="400" w:lineRule="exact"/>
              <w:jc w:val="center"/>
              <w:rPr>
                <w:rFonts w:ascii="宋体" w:hAnsi="宋体"/>
                <w:color w:val="auto"/>
                <w:szCs w:val="21"/>
                <w:highlight w:val="none"/>
              </w:rPr>
            </w:pPr>
          </w:p>
        </w:tc>
        <w:tc>
          <w:tcPr>
            <w:tcW w:w="719" w:type="dxa"/>
            <w:noWrap w:val="0"/>
            <w:vAlign w:val="center"/>
          </w:tcPr>
          <w:p w14:paraId="1749361C">
            <w:pPr>
              <w:spacing w:line="400" w:lineRule="exact"/>
              <w:jc w:val="center"/>
              <w:rPr>
                <w:rFonts w:ascii="宋体" w:hAnsi="宋体"/>
                <w:color w:val="auto"/>
                <w:szCs w:val="21"/>
                <w:highlight w:val="none"/>
              </w:rPr>
            </w:pPr>
          </w:p>
        </w:tc>
        <w:tc>
          <w:tcPr>
            <w:tcW w:w="1081" w:type="dxa"/>
            <w:noWrap w:val="0"/>
            <w:vAlign w:val="center"/>
          </w:tcPr>
          <w:p w14:paraId="6CCEAC70">
            <w:pPr>
              <w:spacing w:line="400" w:lineRule="exact"/>
              <w:jc w:val="center"/>
              <w:rPr>
                <w:rFonts w:ascii="宋体" w:hAnsi="宋体"/>
                <w:color w:val="auto"/>
                <w:szCs w:val="21"/>
                <w:highlight w:val="none"/>
              </w:rPr>
            </w:pPr>
          </w:p>
        </w:tc>
        <w:tc>
          <w:tcPr>
            <w:tcW w:w="719" w:type="dxa"/>
            <w:noWrap w:val="0"/>
            <w:vAlign w:val="center"/>
          </w:tcPr>
          <w:p w14:paraId="19C26FAA">
            <w:pPr>
              <w:spacing w:line="400" w:lineRule="exact"/>
              <w:jc w:val="center"/>
              <w:rPr>
                <w:rFonts w:ascii="宋体" w:hAnsi="宋体"/>
                <w:color w:val="auto"/>
                <w:szCs w:val="21"/>
                <w:highlight w:val="none"/>
              </w:rPr>
            </w:pPr>
          </w:p>
        </w:tc>
        <w:tc>
          <w:tcPr>
            <w:tcW w:w="721" w:type="dxa"/>
            <w:noWrap w:val="0"/>
            <w:vAlign w:val="center"/>
          </w:tcPr>
          <w:p w14:paraId="3E5F9D78">
            <w:pPr>
              <w:spacing w:line="400" w:lineRule="exact"/>
              <w:jc w:val="center"/>
              <w:rPr>
                <w:rFonts w:ascii="宋体" w:hAnsi="宋体"/>
                <w:color w:val="auto"/>
                <w:szCs w:val="21"/>
                <w:highlight w:val="none"/>
              </w:rPr>
            </w:pPr>
          </w:p>
        </w:tc>
        <w:tc>
          <w:tcPr>
            <w:tcW w:w="719" w:type="dxa"/>
            <w:noWrap w:val="0"/>
            <w:vAlign w:val="center"/>
          </w:tcPr>
          <w:p w14:paraId="59476FA9">
            <w:pPr>
              <w:spacing w:line="400" w:lineRule="exact"/>
              <w:jc w:val="center"/>
              <w:rPr>
                <w:rFonts w:ascii="宋体" w:hAnsi="宋体"/>
                <w:color w:val="auto"/>
                <w:szCs w:val="21"/>
                <w:highlight w:val="none"/>
              </w:rPr>
            </w:pPr>
          </w:p>
        </w:tc>
        <w:tc>
          <w:tcPr>
            <w:tcW w:w="2523" w:type="dxa"/>
            <w:noWrap w:val="0"/>
            <w:vAlign w:val="center"/>
          </w:tcPr>
          <w:p w14:paraId="722AED6C">
            <w:pPr>
              <w:spacing w:line="400" w:lineRule="exact"/>
              <w:jc w:val="center"/>
              <w:rPr>
                <w:rFonts w:ascii="宋体" w:hAnsi="宋体"/>
                <w:color w:val="auto"/>
                <w:szCs w:val="21"/>
                <w:highlight w:val="none"/>
              </w:rPr>
            </w:pPr>
          </w:p>
        </w:tc>
        <w:tc>
          <w:tcPr>
            <w:tcW w:w="670" w:type="dxa"/>
            <w:noWrap w:val="0"/>
            <w:vAlign w:val="center"/>
          </w:tcPr>
          <w:p w14:paraId="142FAE5E">
            <w:pPr>
              <w:spacing w:line="400" w:lineRule="exact"/>
              <w:jc w:val="center"/>
              <w:rPr>
                <w:rFonts w:ascii="宋体" w:hAnsi="宋体"/>
                <w:color w:val="auto"/>
                <w:szCs w:val="21"/>
                <w:highlight w:val="none"/>
              </w:rPr>
            </w:pPr>
          </w:p>
        </w:tc>
      </w:tr>
      <w:tr w14:paraId="10E7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4205B9F3">
            <w:pPr>
              <w:spacing w:line="400" w:lineRule="exact"/>
              <w:jc w:val="center"/>
              <w:rPr>
                <w:rFonts w:ascii="宋体" w:hAnsi="宋体"/>
                <w:color w:val="auto"/>
                <w:szCs w:val="21"/>
                <w:highlight w:val="none"/>
              </w:rPr>
            </w:pPr>
          </w:p>
        </w:tc>
        <w:tc>
          <w:tcPr>
            <w:tcW w:w="721" w:type="dxa"/>
            <w:noWrap w:val="0"/>
            <w:vAlign w:val="center"/>
          </w:tcPr>
          <w:p w14:paraId="1B709290">
            <w:pPr>
              <w:spacing w:line="400" w:lineRule="exact"/>
              <w:jc w:val="center"/>
              <w:rPr>
                <w:rFonts w:ascii="宋体" w:hAnsi="宋体"/>
                <w:color w:val="auto"/>
                <w:szCs w:val="21"/>
                <w:highlight w:val="none"/>
              </w:rPr>
            </w:pPr>
          </w:p>
        </w:tc>
        <w:tc>
          <w:tcPr>
            <w:tcW w:w="719" w:type="dxa"/>
            <w:noWrap w:val="0"/>
            <w:vAlign w:val="center"/>
          </w:tcPr>
          <w:p w14:paraId="0EDC7BBA">
            <w:pPr>
              <w:spacing w:line="400" w:lineRule="exact"/>
              <w:jc w:val="center"/>
              <w:rPr>
                <w:rFonts w:ascii="宋体" w:hAnsi="宋体"/>
                <w:color w:val="auto"/>
                <w:szCs w:val="21"/>
                <w:highlight w:val="none"/>
              </w:rPr>
            </w:pPr>
          </w:p>
        </w:tc>
        <w:tc>
          <w:tcPr>
            <w:tcW w:w="1081" w:type="dxa"/>
            <w:noWrap w:val="0"/>
            <w:vAlign w:val="center"/>
          </w:tcPr>
          <w:p w14:paraId="04D3D05B">
            <w:pPr>
              <w:spacing w:line="400" w:lineRule="exact"/>
              <w:jc w:val="center"/>
              <w:rPr>
                <w:rFonts w:ascii="宋体" w:hAnsi="宋体"/>
                <w:color w:val="auto"/>
                <w:szCs w:val="21"/>
                <w:highlight w:val="none"/>
              </w:rPr>
            </w:pPr>
          </w:p>
        </w:tc>
        <w:tc>
          <w:tcPr>
            <w:tcW w:w="719" w:type="dxa"/>
            <w:noWrap w:val="0"/>
            <w:vAlign w:val="center"/>
          </w:tcPr>
          <w:p w14:paraId="12E9C225">
            <w:pPr>
              <w:spacing w:line="400" w:lineRule="exact"/>
              <w:jc w:val="center"/>
              <w:rPr>
                <w:rFonts w:ascii="宋体" w:hAnsi="宋体"/>
                <w:color w:val="auto"/>
                <w:szCs w:val="21"/>
                <w:highlight w:val="none"/>
              </w:rPr>
            </w:pPr>
          </w:p>
        </w:tc>
        <w:tc>
          <w:tcPr>
            <w:tcW w:w="721" w:type="dxa"/>
            <w:noWrap w:val="0"/>
            <w:vAlign w:val="center"/>
          </w:tcPr>
          <w:p w14:paraId="3794B32A">
            <w:pPr>
              <w:spacing w:line="400" w:lineRule="exact"/>
              <w:jc w:val="center"/>
              <w:rPr>
                <w:rFonts w:ascii="宋体" w:hAnsi="宋体"/>
                <w:color w:val="auto"/>
                <w:szCs w:val="21"/>
                <w:highlight w:val="none"/>
              </w:rPr>
            </w:pPr>
          </w:p>
        </w:tc>
        <w:tc>
          <w:tcPr>
            <w:tcW w:w="719" w:type="dxa"/>
            <w:noWrap w:val="0"/>
            <w:vAlign w:val="center"/>
          </w:tcPr>
          <w:p w14:paraId="6B3CA404">
            <w:pPr>
              <w:spacing w:line="400" w:lineRule="exact"/>
              <w:jc w:val="center"/>
              <w:rPr>
                <w:rFonts w:ascii="宋体" w:hAnsi="宋体"/>
                <w:color w:val="auto"/>
                <w:szCs w:val="21"/>
                <w:highlight w:val="none"/>
              </w:rPr>
            </w:pPr>
          </w:p>
        </w:tc>
        <w:tc>
          <w:tcPr>
            <w:tcW w:w="2523" w:type="dxa"/>
            <w:noWrap w:val="0"/>
            <w:vAlign w:val="center"/>
          </w:tcPr>
          <w:p w14:paraId="06410C2E">
            <w:pPr>
              <w:spacing w:line="400" w:lineRule="exact"/>
              <w:jc w:val="center"/>
              <w:rPr>
                <w:rFonts w:ascii="宋体" w:hAnsi="宋体"/>
                <w:color w:val="auto"/>
                <w:szCs w:val="21"/>
                <w:highlight w:val="none"/>
              </w:rPr>
            </w:pPr>
          </w:p>
        </w:tc>
        <w:tc>
          <w:tcPr>
            <w:tcW w:w="670" w:type="dxa"/>
            <w:noWrap w:val="0"/>
            <w:vAlign w:val="center"/>
          </w:tcPr>
          <w:p w14:paraId="58BBCF7B">
            <w:pPr>
              <w:spacing w:line="400" w:lineRule="exact"/>
              <w:jc w:val="center"/>
              <w:rPr>
                <w:rFonts w:ascii="宋体" w:hAnsi="宋体"/>
                <w:color w:val="auto"/>
                <w:szCs w:val="21"/>
                <w:highlight w:val="none"/>
              </w:rPr>
            </w:pPr>
          </w:p>
        </w:tc>
      </w:tr>
      <w:tr w14:paraId="78DB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63F9A896">
            <w:pPr>
              <w:spacing w:line="400" w:lineRule="exact"/>
              <w:jc w:val="center"/>
              <w:rPr>
                <w:rFonts w:ascii="宋体" w:hAnsi="宋体"/>
                <w:color w:val="auto"/>
                <w:szCs w:val="21"/>
                <w:highlight w:val="none"/>
              </w:rPr>
            </w:pPr>
          </w:p>
        </w:tc>
        <w:tc>
          <w:tcPr>
            <w:tcW w:w="721" w:type="dxa"/>
            <w:noWrap w:val="0"/>
            <w:vAlign w:val="center"/>
          </w:tcPr>
          <w:p w14:paraId="081E13D8">
            <w:pPr>
              <w:spacing w:line="400" w:lineRule="exact"/>
              <w:jc w:val="center"/>
              <w:rPr>
                <w:rFonts w:ascii="宋体" w:hAnsi="宋体"/>
                <w:color w:val="auto"/>
                <w:szCs w:val="21"/>
                <w:highlight w:val="none"/>
              </w:rPr>
            </w:pPr>
          </w:p>
        </w:tc>
        <w:tc>
          <w:tcPr>
            <w:tcW w:w="719" w:type="dxa"/>
            <w:noWrap w:val="0"/>
            <w:vAlign w:val="center"/>
          </w:tcPr>
          <w:p w14:paraId="2917346B">
            <w:pPr>
              <w:spacing w:line="400" w:lineRule="exact"/>
              <w:jc w:val="center"/>
              <w:rPr>
                <w:rFonts w:ascii="宋体" w:hAnsi="宋体"/>
                <w:color w:val="auto"/>
                <w:szCs w:val="21"/>
                <w:highlight w:val="none"/>
              </w:rPr>
            </w:pPr>
          </w:p>
        </w:tc>
        <w:tc>
          <w:tcPr>
            <w:tcW w:w="1081" w:type="dxa"/>
            <w:noWrap w:val="0"/>
            <w:vAlign w:val="center"/>
          </w:tcPr>
          <w:p w14:paraId="5DE17731">
            <w:pPr>
              <w:spacing w:line="400" w:lineRule="exact"/>
              <w:jc w:val="center"/>
              <w:rPr>
                <w:rFonts w:ascii="宋体" w:hAnsi="宋体"/>
                <w:color w:val="auto"/>
                <w:szCs w:val="21"/>
                <w:highlight w:val="none"/>
              </w:rPr>
            </w:pPr>
          </w:p>
        </w:tc>
        <w:tc>
          <w:tcPr>
            <w:tcW w:w="719" w:type="dxa"/>
            <w:noWrap w:val="0"/>
            <w:vAlign w:val="center"/>
          </w:tcPr>
          <w:p w14:paraId="781D9AB4">
            <w:pPr>
              <w:spacing w:line="400" w:lineRule="exact"/>
              <w:jc w:val="center"/>
              <w:rPr>
                <w:rFonts w:ascii="宋体" w:hAnsi="宋体"/>
                <w:color w:val="auto"/>
                <w:szCs w:val="21"/>
                <w:highlight w:val="none"/>
              </w:rPr>
            </w:pPr>
          </w:p>
        </w:tc>
        <w:tc>
          <w:tcPr>
            <w:tcW w:w="721" w:type="dxa"/>
            <w:noWrap w:val="0"/>
            <w:vAlign w:val="center"/>
          </w:tcPr>
          <w:p w14:paraId="251D2A1F">
            <w:pPr>
              <w:spacing w:line="400" w:lineRule="exact"/>
              <w:jc w:val="center"/>
              <w:rPr>
                <w:rFonts w:ascii="宋体" w:hAnsi="宋体"/>
                <w:color w:val="auto"/>
                <w:szCs w:val="21"/>
                <w:highlight w:val="none"/>
              </w:rPr>
            </w:pPr>
          </w:p>
        </w:tc>
        <w:tc>
          <w:tcPr>
            <w:tcW w:w="719" w:type="dxa"/>
            <w:noWrap w:val="0"/>
            <w:vAlign w:val="center"/>
          </w:tcPr>
          <w:p w14:paraId="1A686715">
            <w:pPr>
              <w:spacing w:line="400" w:lineRule="exact"/>
              <w:jc w:val="center"/>
              <w:rPr>
                <w:rFonts w:ascii="宋体" w:hAnsi="宋体"/>
                <w:color w:val="auto"/>
                <w:szCs w:val="21"/>
                <w:highlight w:val="none"/>
              </w:rPr>
            </w:pPr>
          </w:p>
        </w:tc>
        <w:tc>
          <w:tcPr>
            <w:tcW w:w="2523" w:type="dxa"/>
            <w:noWrap w:val="0"/>
            <w:vAlign w:val="center"/>
          </w:tcPr>
          <w:p w14:paraId="0B454860">
            <w:pPr>
              <w:spacing w:line="400" w:lineRule="exact"/>
              <w:jc w:val="center"/>
              <w:rPr>
                <w:rFonts w:ascii="宋体" w:hAnsi="宋体"/>
                <w:color w:val="auto"/>
                <w:szCs w:val="21"/>
                <w:highlight w:val="none"/>
              </w:rPr>
            </w:pPr>
          </w:p>
        </w:tc>
        <w:tc>
          <w:tcPr>
            <w:tcW w:w="670" w:type="dxa"/>
            <w:noWrap w:val="0"/>
            <w:vAlign w:val="center"/>
          </w:tcPr>
          <w:p w14:paraId="3093B022">
            <w:pPr>
              <w:spacing w:line="400" w:lineRule="exact"/>
              <w:jc w:val="center"/>
              <w:rPr>
                <w:rFonts w:ascii="宋体" w:hAnsi="宋体"/>
                <w:color w:val="auto"/>
                <w:szCs w:val="21"/>
                <w:highlight w:val="none"/>
              </w:rPr>
            </w:pPr>
          </w:p>
        </w:tc>
      </w:tr>
      <w:tr w14:paraId="60F0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3D0B7F9E">
            <w:pPr>
              <w:spacing w:line="400" w:lineRule="exact"/>
              <w:jc w:val="center"/>
              <w:rPr>
                <w:rFonts w:ascii="宋体" w:hAnsi="宋体"/>
                <w:color w:val="auto"/>
                <w:szCs w:val="21"/>
                <w:highlight w:val="none"/>
              </w:rPr>
            </w:pPr>
          </w:p>
        </w:tc>
        <w:tc>
          <w:tcPr>
            <w:tcW w:w="721" w:type="dxa"/>
            <w:noWrap w:val="0"/>
            <w:vAlign w:val="center"/>
          </w:tcPr>
          <w:p w14:paraId="6BE72FE1">
            <w:pPr>
              <w:spacing w:line="400" w:lineRule="exact"/>
              <w:jc w:val="center"/>
              <w:rPr>
                <w:rFonts w:ascii="宋体" w:hAnsi="宋体"/>
                <w:color w:val="auto"/>
                <w:szCs w:val="21"/>
                <w:highlight w:val="none"/>
              </w:rPr>
            </w:pPr>
          </w:p>
        </w:tc>
        <w:tc>
          <w:tcPr>
            <w:tcW w:w="719" w:type="dxa"/>
            <w:noWrap w:val="0"/>
            <w:vAlign w:val="center"/>
          </w:tcPr>
          <w:p w14:paraId="2BF3645A">
            <w:pPr>
              <w:spacing w:line="400" w:lineRule="exact"/>
              <w:jc w:val="center"/>
              <w:rPr>
                <w:rFonts w:ascii="宋体" w:hAnsi="宋体"/>
                <w:color w:val="auto"/>
                <w:szCs w:val="21"/>
                <w:highlight w:val="none"/>
              </w:rPr>
            </w:pPr>
          </w:p>
        </w:tc>
        <w:tc>
          <w:tcPr>
            <w:tcW w:w="1081" w:type="dxa"/>
            <w:noWrap w:val="0"/>
            <w:vAlign w:val="center"/>
          </w:tcPr>
          <w:p w14:paraId="67E79C0B">
            <w:pPr>
              <w:spacing w:line="400" w:lineRule="exact"/>
              <w:jc w:val="center"/>
              <w:rPr>
                <w:rFonts w:ascii="宋体" w:hAnsi="宋体"/>
                <w:color w:val="auto"/>
                <w:szCs w:val="21"/>
                <w:highlight w:val="none"/>
              </w:rPr>
            </w:pPr>
          </w:p>
        </w:tc>
        <w:tc>
          <w:tcPr>
            <w:tcW w:w="719" w:type="dxa"/>
            <w:noWrap w:val="0"/>
            <w:vAlign w:val="center"/>
          </w:tcPr>
          <w:p w14:paraId="1B076647">
            <w:pPr>
              <w:spacing w:line="400" w:lineRule="exact"/>
              <w:jc w:val="center"/>
              <w:rPr>
                <w:rFonts w:ascii="宋体" w:hAnsi="宋体"/>
                <w:color w:val="auto"/>
                <w:szCs w:val="21"/>
                <w:highlight w:val="none"/>
              </w:rPr>
            </w:pPr>
          </w:p>
        </w:tc>
        <w:tc>
          <w:tcPr>
            <w:tcW w:w="721" w:type="dxa"/>
            <w:noWrap w:val="0"/>
            <w:vAlign w:val="center"/>
          </w:tcPr>
          <w:p w14:paraId="540ACC1B">
            <w:pPr>
              <w:spacing w:line="400" w:lineRule="exact"/>
              <w:jc w:val="center"/>
              <w:rPr>
                <w:rFonts w:ascii="宋体" w:hAnsi="宋体"/>
                <w:color w:val="auto"/>
                <w:szCs w:val="21"/>
                <w:highlight w:val="none"/>
              </w:rPr>
            </w:pPr>
          </w:p>
        </w:tc>
        <w:tc>
          <w:tcPr>
            <w:tcW w:w="719" w:type="dxa"/>
            <w:noWrap w:val="0"/>
            <w:vAlign w:val="center"/>
          </w:tcPr>
          <w:p w14:paraId="25B66F1A">
            <w:pPr>
              <w:spacing w:line="400" w:lineRule="exact"/>
              <w:jc w:val="center"/>
              <w:rPr>
                <w:rFonts w:ascii="宋体" w:hAnsi="宋体"/>
                <w:color w:val="auto"/>
                <w:szCs w:val="21"/>
                <w:highlight w:val="none"/>
              </w:rPr>
            </w:pPr>
          </w:p>
        </w:tc>
        <w:tc>
          <w:tcPr>
            <w:tcW w:w="2523" w:type="dxa"/>
            <w:noWrap w:val="0"/>
            <w:vAlign w:val="center"/>
          </w:tcPr>
          <w:p w14:paraId="2AEA1305">
            <w:pPr>
              <w:spacing w:line="400" w:lineRule="exact"/>
              <w:jc w:val="center"/>
              <w:rPr>
                <w:rFonts w:ascii="宋体" w:hAnsi="宋体"/>
                <w:color w:val="auto"/>
                <w:szCs w:val="21"/>
                <w:highlight w:val="none"/>
              </w:rPr>
            </w:pPr>
          </w:p>
        </w:tc>
        <w:tc>
          <w:tcPr>
            <w:tcW w:w="670" w:type="dxa"/>
            <w:noWrap w:val="0"/>
            <w:vAlign w:val="center"/>
          </w:tcPr>
          <w:p w14:paraId="2672026E">
            <w:pPr>
              <w:spacing w:line="400" w:lineRule="exact"/>
              <w:jc w:val="center"/>
              <w:rPr>
                <w:rFonts w:ascii="宋体" w:hAnsi="宋体"/>
                <w:color w:val="auto"/>
                <w:szCs w:val="21"/>
                <w:highlight w:val="none"/>
              </w:rPr>
            </w:pPr>
          </w:p>
        </w:tc>
      </w:tr>
      <w:tr w14:paraId="0A76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04B7A9E1">
            <w:pPr>
              <w:spacing w:line="400" w:lineRule="exact"/>
              <w:jc w:val="center"/>
              <w:rPr>
                <w:rFonts w:ascii="宋体" w:hAnsi="宋体"/>
                <w:color w:val="auto"/>
                <w:szCs w:val="21"/>
                <w:highlight w:val="none"/>
              </w:rPr>
            </w:pPr>
          </w:p>
        </w:tc>
        <w:tc>
          <w:tcPr>
            <w:tcW w:w="721" w:type="dxa"/>
            <w:noWrap w:val="0"/>
            <w:vAlign w:val="center"/>
          </w:tcPr>
          <w:p w14:paraId="40DCB7E6">
            <w:pPr>
              <w:spacing w:line="400" w:lineRule="exact"/>
              <w:jc w:val="center"/>
              <w:rPr>
                <w:rFonts w:ascii="宋体" w:hAnsi="宋体"/>
                <w:color w:val="auto"/>
                <w:szCs w:val="21"/>
                <w:highlight w:val="none"/>
              </w:rPr>
            </w:pPr>
          </w:p>
        </w:tc>
        <w:tc>
          <w:tcPr>
            <w:tcW w:w="719" w:type="dxa"/>
            <w:noWrap w:val="0"/>
            <w:vAlign w:val="center"/>
          </w:tcPr>
          <w:p w14:paraId="299D9BDA">
            <w:pPr>
              <w:spacing w:line="400" w:lineRule="exact"/>
              <w:jc w:val="center"/>
              <w:rPr>
                <w:rFonts w:ascii="宋体" w:hAnsi="宋体"/>
                <w:color w:val="auto"/>
                <w:szCs w:val="21"/>
                <w:highlight w:val="none"/>
              </w:rPr>
            </w:pPr>
          </w:p>
        </w:tc>
        <w:tc>
          <w:tcPr>
            <w:tcW w:w="1081" w:type="dxa"/>
            <w:noWrap w:val="0"/>
            <w:vAlign w:val="center"/>
          </w:tcPr>
          <w:p w14:paraId="1AF1448D">
            <w:pPr>
              <w:spacing w:line="400" w:lineRule="exact"/>
              <w:jc w:val="center"/>
              <w:rPr>
                <w:rFonts w:ascii="宋体" w:hAnsi="宋体"/>
                <w:color w:val="auto"/>
                <w:szCs w:val="21"/>
                <w:highlight w:val="none"/>
              </w:rPr>
            </w:pPr>
          </w:p>
        </w:tc>
        <w:tc>
          <w:tcPr>
            <w:tcW w:w="719" w:type="dxa"/>
            <w:noWrap w:val="0"/>
            <w:vAlign w:val="center"/>
          </w:tcPr>
          <w:p w14:paraId="13FC5564">
            <w:pPr>
              <w:spacing w:line="400" w:lineRule="exact"/>
              <w:jc w:val="center"/>
              <w:rPr>
                <w:rFonts w:ascii="宋体" w:hAnsi="宋体"/>
                <w:color w:val="auto"/>
                <w:szCs w:val="21"/>
                <w:highlight w:val="none"/>
              </w:rPr>
            </w:pPr>
          </w:p>
        </w:tc>
        <w:tc>
          <w:tcPr>
            <w:tcW w:w="721" w:type="dxa"/>
            <w:noWrap w:val="0"/>
            <w:vAlign w:val="center"/>
          </w:tcPr>
          <w:p w14:paraId="6EB0C8C7">
            <w:pPr>
              <w:spacing w:line="400" w:lineRule="exact"/>
              <w:jc w:val="center"/>
              <w:rPr>
                <w:rFonts w:ascii="宋体" w:hAnsi="宋体"/>
                <w:color w:val="auto"/>
                <w:szCs w:val="21"/>
                <w:highlight w:val="none"/>
              </w:rPr>
            </w:pPr>
          </w:p>
        </w:tc>
        <w:tc>
          <w:tcPr>
            <w:tcW w:w="719" w:type="dxa"/>
            <w:noWrap w:val="0"/>
            <w:vAlign w:val="center"/>
          </w:tcPr>
          <w:p w14:paraId="78AABBCA">
            <w:pPr>
              <w:spacing w:line="400" w:lineRule="exact"/>
              <w:jc w:val="center"/>
              <w:rPr>
                <w:rFonts w:ascii="宋体" w:hAnsi="宋体"/>
                <w:color w:val="auto"/>
                <w:szCs w:val="21"/>
                <w:highlight w:val="none"/>
              </w:rPr>
            </w:pPr>
          </w:p>
        </w:tc>
        <w:tc>
          <w:tcPr>
            <w:tcW w:w="2523" w:type="dxa"/>
            <w:noWrap w:val="0"/>
            <w:vAlign w:val="center"/>
          </w:tcPr>
          <w:p w14:paraId="034C6057">
            <w:pPr>
              <w:spacing w:line="400" w:lineRule="exact"/>
              <w:jc w:val="center"/>
              <w:rPr>
                <w:rFonts w:ascii="宋体" w:hAnsi="宋体"/>
                <w:color w:val="auto"/>
                <w:szCs w:val="21"/>
                <w:highlight w:val="none"/>
              </w:rPr>
            </w:pPr>
          </w:p>
        </w:tc>
        <w:tc>
          <w:tcPr>
            <w:tcW w:w="670" w:type="dxa"/>
            <w:noWrap w:val="0"/>
            <w:vAlign w:val="center"/>
          </w:tcPr>
          <w:p w14:paraId="465AA66F">
            <w:pPr>
              <w:spacing w:line="400" w:lineRule="exact"/>
              <w:jc w:val="center"/>
              <w:rPr>
                <w:rFonts w:ascii="宋体" w:hAnsi="宋体"/>
                <w:color w:val="auto"/>
                <w:szCs w:val="21"/>
                <w:highlight w:val="none"/>
              </w:rPr>
            </w:pPr>
          </w:p>
        </w:tc>
      </w:tr>
      <w:tr w14:paraId="490F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7A870693">
            <w:pPr>
              <w:spacing w:line="400" w:lineRule="exact"/>
              <w:jc w:val="center"/>
              <w:rPr>
                <w:rFonts w:ascii="宋体" w:hAnsi="宋体"/>
                <w:color w:val="auto"/>
                <w:szCs w:val="21"/>
                <w:highlight w:val="none"/>
              </w:rPr>
            </w:pPr>
          </w:p>
        </w:tc>
        <w:tc>
          <w:tcPr>
            <w:tcW w:w="721" w:type="dxa"/>
            <w:noWrap w:val="0"/>
            <w:vAlign w:val="center"/>
          </w:tcPr>
          <w:p w14:paraId="5301C7E3">
            <w:pPr>
              <w:spacing w:line="400" w:lineRule="exact"/>
              <w:jc w:val="center"/>
              <w:rPr>
                <w:rFonts w:ascii="宋体" w:hAnsi="宋体"/>
                <w:color w:val="auto"/>
                <w:szCs w:val="21"/>
                <w:highlight w:val="none"/>
              </w:rPr>
            </w:pPr>
          </w:p>
        </w:tc>
        <w:tc>
          <w:tcPr>
            <w:tcW w:w="719" w:type="dxa"/>
            <w:noWrap w:val="0"/>
            <w:vAlign w:val="center"/>
          </w:tcPr>
          <w:p w14:paraId="7112EF40">
            <w:pPr>
              <w:spacing w:line="400" w:lineRule="exact"/>
              <w:jc w:val="center"/>
              <w:rPr>
                <w:rFonts w:ascii="宋体" w:hAnsi="宋体"/>
                <w:color w:val="auto"/>
                <w:szCs w:val="21"/>
                <w:highlight w:val="none"/>
              </w:rPr>
            </w:pPr>
          </w:p>
        </w:tc>
        <w:tc>
          <w:tcPr>
            <w:tcW w:w="1081" w:type="dxa"/>
            <w:noWrap w:val="0"/>
            <w:vAlign w:val="center"/>
          </w:tcPr>
          <w:p w14:paraId="29E1A11A">
            <w:pPr>
              <w:spacing w:line="400" w:lineRule="exact"/>
              <w:jc w:val="center"/>
              <w:rPr>
                <w:rFonts w:ascii="宋体" w:hAnsi="宋体"/>
                <w:color w:val="auto"/>
                <w:szCs w:val="21"/>
                <w:highlight w:val="none"/>
              </w:rPr>
            </w:pPr>
          </w:p>
        </w:tc>
        <w:tc>
          <w:tcPr>
            <w:tcW w:w="719" w:type="dxa"/>
            <w:noWrap w:val="0"/>
            <w:vAlign w:val="center"/>
          </w:tcPr>
          <w:p w14:paraId="7CBC0F1C">
            <w:pPr>
              <w:spacing w:line="400" w:lineRule="exact"/>
              <w:jc w:val="center"/>
              <w:rPr>
                <w:rFonts w:ascii="宋体" w:hAnsi="宋体"/>
                <w:color w:val="auto"/>
                <w:szCs w:val="21"/>
                <w:highlight w:val="none"/>
              </w:rPr>
            </w:pPr>
          </w:p>
        </w:tc>
        <w:tc>
          <w:tcPr>
            <w:tcW w:w="721" w:type="dxa"/>
            <w:noWrap w:val="0"/>
            <w:vAlign w:val="center"/>
          </w:tcPr>
          <w:p w14:paraId="0E832E74">
            <w:pPr>
              <w:spacing w:line="400" w:lineRule="exact"/>
              <w:jc w:val="center"/>
              <w:rPr>
                <w:rFonts w:ascii="宋体" w:hAnsi="宋体"/>
                <w:color w:val="auto"/>
                <w:szCs w:val="21"/>
                <w:highlight w:val="none"/>
              </w:rPr>
            </w:pPr>
          </w:p>
        </w:tc>
        <w:tc>
          <w:tcPr>
            <w:tcW w:w="719" w:type="dxa"/>
            <w:noWrap w:val="0"/>
            <w:vAlign w:val="center"/>
          </w:tcPr>
          <w:p w14:paraId="4E99C819">
            <w:pPr>
              <w:spacing w:line="400" w:lineRule="exact"/>
              <w:jc w:val="center"/>
              <w:rPr>
                <w:rFonts w:ascii="宋体" w:hAnsi="宋体"/>
                <w:color w:val="auto"/>
                <w:szCs w:val="21"/>
                <w:highlight w:val="none"/>
              </w:rPr>
            </w:pPr>
          </w:p>
        </w:tc>
        <w:tc>
          <w:tcPr>
            <w:tcW w:w="2523" w:type="dxa"/>
            <w:noWrap w:val="0"/>
            <w:vAlign w:val="center"/>
          </w:tcPr>
          <w:p w14:paraId="304D7822">
            <w:pPr>
              <w:spacing w:line="400" w:lineRule="exact"/>
              <w:jc w:val="center"/>
              <w:rPr>
                <w:rFonts w:ascii="宋体" w:hAnsi="宋体"/>
                <w:color w:val="auto"/>
                <w:szCs w:val="21"/>
                <w:highlight w:val="none"/>
              </w:rPr>
            </w:pPr>
          </w:p>
        </w:tc>
        <w:tc>
          <w:tcPr>
            <w:tcW w:w="670" w:type="dxa"/>
            <w:noWrap w:val="0"/>
            <w:vAlign w:val="center"/>
          </w:tcPr>
          <w:p w14:paraId="1AA123BE">
            <w:pPr>
              <w:spacing w:line="400" w:lineRule="exact"/>
              <w:jc w:val="center"/>
              <w:rPr>
                <w:rFonts w:ascii="宋体" w:hAnsi="宋体"/>
                <w:color w:val="auto"/>
                <w:szCs w:val="21"/>
                <w:highlight w:val="none"/>
              </w:rPr>
            </w:pPr>
          </w:p>
        </w:tc>
      </w:tr>
      <w:tr w14:paraId="4F31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1E6A4B05">
            <w:pPr>
              <w:spacing w:line="400" w:lineRule="exact"/>
              <w:jc w:val="center"/>
              <w:rPr>
                <w:rFonts w:ascii="宋体" w:hAnsi="宋体"/>
                <w:color w:val="auto"/>
                <w:szCs w:val="21"/>
                <w:highlight w:val="none"/>
              </w:rPr>
            </w:pPr>
          </w:p>
        </w:tc>
        <w:tc>
          <w:tcPr>
            <w:tcW w:w="721" w:type="dxa"/>
            <w:noWrap w:val="0"/>
            <w:vAlign w:val="center"/>
          </w:tcPr>
          <w:p w14:paraId="2C26D6F0">
            <w:pPr>
              <w:spacing w:line="400" w:lineRule="exact"/>
              <w:jc w:val="center"/>
              <w:rPr>
                <w:rFonts w:ascii="宋体" w:hAnsi="宋体"/>
                <w:color w:val="auto"/>
                <w:szCs w:val="21"/>
                <w:highlight w:val="none"/>
              </w:rPr>
            </w:pPr>
          </w:p>
        </w:tc>
        <w:tc>
          <w:tcPr>
            <w:tcW w:w="719" w:type="dxa"/>
            <w:noWrap w:val="0"/>
            <w:vAlign w:val="center"/>
          </w:tcPr>
          <w:p w14:paraId="1A37EAF3">
            <w:pPr>
              <w:spacing w:line="400" w:lineRule="exact"/>
              <w:jc w:val="center"/>
              <w:rPr>
                <w:rFonts w:ascii="宋体" w:hAnsi="宋体"/>
                <w:color w:val="auto"/>
                <w:szCs w:val="21"/>
                <w:highlight w:val="none"/>
              </w:rPr>
            </w:pPr>
          </w:p>
        </w:tc>
        <w:tc>
          <w:tcPr>
            <w:tcW w:w="1081" w:type="dxa"/>
            <w:noWrap w:val="0"/>
            <w:vAlign w:val="center"/>
          </w:tcPr>
          <w:p w14:paraId="1BDCBFB7">
            <w:pPr>
              <w:spacing w:line="400" w:lineRule="exact"/>
              <w:jc w:val="center"/>
              <w:rPr>
                <w:rFonts w:ascii="宋体" w:hAnsi="宋体"/>
                <w:color w:val="auto"/>
                <w:szCs w:val="21"/>
                <w:highlight w:val="none"/>
              </w:rPr>
            </w:pPr>
          </w:p>
        </w:tc>
        <w:tc>
          <w:tcPr>
            <w:tcW w:w="719" w:type="dxa"/>
            <w:noWrap w:val="0"/>
            <w:vAlign w:val="center"/>
          </w:tcPr>
          <w:p w14:paraId="412A2707">
            <w:pPr>
              <w:spacing w:line="400" w:lineRule="exact"/>
              <w:jc w:val="center"/>
              <w:rPr>
                <w:rFonts w:ascii="宋体" w:hAnsi="宋体"/>
                <w:color w:val="auto"/>
                <w:szCs w:val="21"/>
                <w:highlight w:val="none"/>
              </w:rPr>
            </w:pPr>
          </w:p>
        </w:tc>
        <w:tc>
          <w:tcPr>
            <w:tcW w:w="721" w:type="dxa"/>
            <w:noWrap w:val="0"/>
            <w:vAlign w:val="center"/>
          </w:tcPr>
          <w:p w14:paraId="084BCC3B">
            <w:pPr>
              <w:spacing w:line="400" w:lineRule="exact"/>
              <w:jc w:val="center"/>
              <w:rPr>
                <w:rFonts w:ascii="宋体" w:hAnsi="宋体"/>
                <w:color w:val="auto"/>
                <w:szCs w:val="21"/>
                <w:highlight w:val="none"/>
              </w:rPr>
            </w:pPr>
          </w:p>
        </w:tc>
        <w:tc>
          <w:tcPr>
            <w:tcW w:w="719" w:type="dxa"/>
            <w:noWrap w:val="0"/>
            <w:vAlign w:val="center"/>
          </w:tcPr>
          <w:p w14:paraId="4E4264FC">
            <w:pPr>
              <w:spacing w:line="400" w:lineRule="exact"/>
              <w:jc w:val="center"/>
              <w:rPr>
                <w:rFonts w:ascii="宋体" w:hAnsi="宋体"/>
                <w:color w:val="auto"/>
                <w:szCs w:val="21"/>
                <w:highlight w:val="none"/>
              </w:rPr>
            </w:pPr>
            <w:bookmarkStart w:id="1198" w:name="_Toc359263288"/>
          </w:p>
        </w:tc>
        <w:tc>
          <w:tcPr>
            <w:tcW w:w="2523" w:type="dxa"/>
            <w:noWrap w:val="0"/>
            <w:vAlign w:val="center"/>
          </w:tcPr>
          <w:p w14:paraId="39A8A3D9">
            <w:pPr>
              <w:spacing w:line="400" w:lineRule="exact"/>
              <w:jc w:val="center"/>
              <w:rPr>
                <w:rFonts w:ascii="宋体" w:hAnsi="宋体"/>
                <w:color w:val="auto"/>
                <w:szCs w:val="21"/>
                <w:highlight w:val="none"/>
              </w:rPr>
            </w:pPr>
          </w:p>
        </w:tc>
        <w:tc>
          <w:tcPr>
            <w:tcW w:w="670" w:type="dxa"/>
            <w:noWrap w:val="0"/>
            <w:vAlign w:val="center"/>
          </w:tcPr>
          <w:p w14:paraId="2A338682">
            <w:pPr>
              <w:spacing w:line="400" w:lineRule="exact"/>
              <w:jc w:val="center"/>
              <w:rPr>
                <w:rFonts w:ascii="宋体" w:hAnsi="宋体"/>
                <w:color w:val="auto"/>
                <w:szCs w:val="21"/>
                <w:highlight w:val="none"/>
              </w:rPr>
            </w:pPr>
          </w:p>
        </w:tc>
      </w:tr>
      <w:tr w14:paraId="1BC1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30D78D39">
            <w:pPr>
              <w:spacing w:line="400" w:lineRule="exact"/>
              <w:jc w:val="center"/>
              <w:rPr>
                <w:rFonts w:ascii="宋体" w:hAnsi="宋体"/>
                <w:color w:val="auto"/>
                <w:szCs w:val="21"/>
                <w:highlight w:val="none"/>
              </w:rPr>
            </w:pPr>
          </w:p>
        </w:tc>
        <w:tc>
          <w:tcPr>
            <w:tcW w:w="721" w:type="dxa"/>
            <w:noWrap w:val="0"/>
            <w:vAlign w:val="center"/>
          </w:tcPr>
          <w:p w14:paraId="3619140C">
            <w:pPr>
              <w:spacing w:line="400" w:lineRule="exact"/>
              <w:jc w:val="center"/>
              <w:rPr>
                <w:rFonts w:ascii="宋体" w:hAnsi="宋体"/>
                <w:color w:val="auto"/>
                <w:szCs w:val="21"/>
                <w:highlight w:val="none"/>
              </w:rPr>
            </w:pPr>
          </w:p>
        </w:tc>
        <w:tc>
          <w:tcPr>
            <w:tcW w:w="719" w:type="dxa"/>
            <w:noWrap w:val="0"/>
            <w:vAlign w:val="center"/>
          </w:tcPr>
          <w:p w14:paraId="4721D0F1">
            <w:pPr>
              <w:spacing w:line="400" w:lineRule="exact"/>
              <w:jc w:val="center"/>
              <w:rPr>
                <w:rFonts w:ascii="宋体" w:hAnsi="宋体"/>
                <w:color w:val="auto"/>
                <w:szCs w:val="21"/>
                <w:highlight w:val="none"/>
              </w:rPr>
            </w:pPr>
          </w:p>
        </w:tc>
        <w:tc>
          <w:tcPr>
            <w:tcW w:w="1081" w:type="dxa"/>
            <w:noWrap w:val="0"/>
            <w:vAlign w:val="center"/>
          </w:tcPr>
          <w:p w14:paraId="76D58116">
            <w:pPr>
              <w:spacing w:line="400" w:lineRule="exact"/>
              <w:jc w:val="center"/>
              <w:rPr>
                <w:rFonts w:ascii="宋体" w:hAnsi="宋体"/>
                <w:color w:val="auto"/>
                <w:szCs w:val="21"/>
                <w:highlight w:val="none"/>
              </w:rPr>
            </w:pPr>
          </w:p>
          <w:bookmarkEnd w:id="1198"/>
        </w:tc>
        <w:tc>
          <w:tcPr>
            <w:tcW w:w="719" w:type="dxa"/>
            <w:noWrap w:val="0"/>
            <w:vAlign w:val="center"/>
          </w:tcPr>
          <w:p w14:paraId="7DA9CA92">
            <w:pPr>
              <w:spacing w:line="400" w:lineRule="exact"/>
              <w:jc w:val="center"/>
              <w:rPr>
                <w:rFonts w:ascii="宋体" w:hAnsi="宋体"/>
                <w:color w:val="auto"/>
                <w:szCs w:val="21"/>
                <w:highlight w:val="none"/>
              </w:rPr>
            </w:pPr>
          </w:p>
        </w:tc>
        <w:tc>
          <w:tcPr>
            <w:tcW w:w="721" w:type="dxa"/>
            <w:noWrap w:val="0"/>
            <w:vAlign w:val="center"/>
          </w:tcPr>
          <w:p w14:paraId="23791CDA">
            <w:pPr>
              <w:spacing w:line="400" w:lineRule="exact"/>
              <w:jc w:val="center"/>
              <w:rPr>
                <w:rFonts w:ascii="宋体" w:hAnsi="宋体"/>
                <w:color w:val="auto"/>
                <w:szCs w:val="21"/>
                <w:highlight w:val="none"/>
              </w:rPr>
            </w:pPr>
            <w:bookmarkStart w:id="1199" w:name="_Toc168475931"/>
            <w:bookmarkStart w:id="1200" w:name="_Toc144974872"/>
            <w:bookmarkStart w:id="1201" w:name="_Toc221952116"/>
            <w:bookmarkStart w:id="1202" w:name="_Toc168476334"/>
          </w:p>
        </w:tc>
        <w:tc>
          <w:tcPr>
            <w:tcW w:w="719" w:type="dxa"/>
            <w:noWrap w:val="0"/>
            <w:vAlign w:val="center"/>
          </w:tcPr>
          <w:p w14:paraId="6B7FC3B4">
            <w:pPr>
              <w:spacing w:line="400" w:lineRule="exact"/>
              <w:jc w:val="center"/>
              <w:rPr>
                <w:rFonts w:ascii="宋体" w:hAnsi="宋体"/>
                <w:color w:val="auto"/>
                <w:szCs w:val="21"/>
                <w:highlight w:val="none"/>
              </w:rPr>
            </w:pPr>
          </w:p>
        </w:tc>
        <w:tc>
          <w:tcPr>
            <w:tcW w:w="2523" w:type="dxa"/>
            <w:noWrap w:val="0"/>
            <w:vAlign w:val="center"/>
          </w:tcPr>
          <w:p w14:paraId="29B5F9EA">
            <w:pPr>
              <w:spacing w:line="400" w:lineRule="exact"/>
              <w:jc w:val="center"/>
              <w:rPr>
                <w:rFonts w:ascii="宋体" w:hAnsi="宋体"/>
                <w:color w:val="auto"/>
                <w:szCs w:val="21"/>
                <w:highlight w:val="none"/>
              </w:rPr>
            </w:pPr>
          </w:p>
        </w:tc>
        <w:tc>
          <w:tcPr>
            <w:tcW w:w="670" w:type="dxa"/>
            <w:noWrap w:val="0"/>
            <w:vAlign w:val="center"/>
          </w:tcPr>
          <w:p w14:paraId="179C4306">
            <w:pPr>
              <w:spacing w:line="400" w:lineRule="exact"/>
              <w:jc w:val="center"/>
              <w:rPr>
                <w:rFonts w:ascii="宋体" w:hAnsi="宋体"/>
                <w:color w:val="auto"/>
                <w:szCs w:val="21"/>
                <w:highlight w:val="none"/>
              </w:rPr>
            </w:pPr>
          </w:p>
        </w:tc>
      </w:tr>
      <w:tr w14:paraId="70EB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4BF37AE4">
            <w:pPr>
              <w:spacing w:line="400" w:lineRule="exact"/>
              <w:jc w:val="center"/>
              <w:rPr>
                <w:rFonts w:ascii="宋体" w:hAnsi="宋体"/>
                <w:color w:val="auto"/>
                <w:szCs w:val="21"/>
                <w:highlight w:val="none"/>
              </w:rPr>
            </w:pPr>
          </w:p>
        </w:tc>
        <w:tc>
          <w:tcPr>
            <w:tcW w:w="721" w:type="dxa"/>
            <w:noWrap w:val="0"/>
            <w:vAlign w:val="center"/>
          </w:tcPr>
          <w:p w14:paraId="11284A2A">
            <w:pPr>
              <w:spacing w:line="400" w:lineRule="exact"/>
              <w:jc w:val="center"/>
              <w:rPr>
                <w:rFonts w:ascii="宋体" w:hAnsi="宋体"/>
                <w:color w:val="auto"/>
                <w:szCs w:val="21"/>
                <w:highlight w:val="none"/>
              </w:rPr>
            </w:pPr>
          </w:p>
        </w:tc>
        <w:tc>
          <w:tcPr>
            <w:tcW w:w="719" w:type="dxa"/>
            <w:noWrap w:val="0"/>
            <w:vAlign w:val="center"/>
          </w:tcPr>
          <w:p w14:paraId="7D52F9E2">
            <w:pPr>
              <w:spacing w:line="400" w:lineRule="exact"/>
              <w:jc w:val="center"/>
              <w:rPr>
                <w:rFonts w:ascii="宋体" w:hAnsi="宋体"/>
                <w:color w:val="auto"/>
                <w:szCs w:val="21"/>
                <w:highlight w:val="none"/>
              </w:rPr>
            </w:pPr>
          </w:p>
        </w:tc>
        <w:tc>
          <w:tcPr>
            <w:tcW w:w="1081" w:type="dxa"/>
            <w:noWrap w:val="0"/>
            <w:vAlign w:val="center"/>
          </w:tcPr>
          <w:p w14:paraId="16471290">
            <w:pPr>
              <w:spacing w:line="400" w:lineRule="exact"/>
              <w:jc w:val="center"/>
              <w:rPr>
                <w:rFonts w:ascii="宋体" w:hAnsi="宋体"/>
                <w:color w:val="auto"/>
                <w:szCs w:val="21"/>
                <w:highlight w:val="none"/>
              </w:rPr>
            </w:pPr>
          </w:p>
        </w:tc>
        <w:tc>
          <w:tcPr>
            <w:tcW w:w="719" w:type="dxa"/>
            <w:noWrap w:val="0"/>
            <w:vAlign w:val="center"/>
          </w:tcPr>
          <w:p w14:paraId="0127B707">
            <w:pPr>
              <w:spacing w:line="400" w:lineRule="exact"/>
              <w:jc w:val="center"/>
              <w:rPr>
                <w:rFonts w:ascii="宋体" w:hAnsi="宋体"/>
                <w:color w:val="auto"/>
                <w:szCs w:val="21"/>
                <w:highlight w:val="none"/>
              </w:rPr>
            </w:pPr>
          </w:p>
        </w:tc>
        <w:tc>
          <w:tcPr>
            <w:tcW w:w="721" w:type="dxa"/>
            <w:noWrap w:val="0"/>
            <w:vAlign w:val="center"/>
          </w:tcPr>
          <w:p w14:paraId="4493650D">
            <w:pPr>
              <w:spacing w:line="400" w:lineRule="exact"/>
              <w:jc w:val="center"/>
              <w:rPr>
                <w:rFonts w:ascii="宋体" w:hAnsi="宋体"/>
                <w:color w:val="auto"/>
                <w:szCs w:val="21"/>
                <w:highlight w:val="none"/>
              </w:rPr>
            </w:pPr>
          </w:p>
        </w:tc>
        <w:tc>
          <w:tcPr>
            <w:tcW w:w="719" w:type="dxa"/>
            <w:noWrap w:val="0"/>
            <w:vAlign w:val="center"/>
          </w:tcPr>
          <w:p w14:paraId="5FEC8456">
            <w:pPr>
              <w:spacing w:line="400" w:lineRule="exact"/>
              <w:jc w:val="center"/>
              <w:rPr>
                <w:rFonts w:ascii="宋体" w:hAnsi="宋体"/>
                <w:color w:val="auto"/>
                <w:szCs w:val="21"/>
                <w:highlight w:val="none"/>
              </w:rPr>
            </w:pPr>
          </w:p>
          <w:bookmarkEnd w:id="1199"/>
          <w:bookmarkEnd w:id="1200"/>
          <w:bookmarkEnd w:id="1201"/>
          <w:bookmarkEnd w:id="1202"/>
        </w:tc>
        <w:tc>
          <w:tcPr>
            <w:tcW w:w="2523" w:type="dxa"/>
            <w:noWrap w:val="0"/>
            <w:vAlign w:val="center"/>
          </w:tcPr>
          <w:p w14:paraId="014FA0E6">
            <w:pPr>
              <w:spacing w:line="400" w:lineRule="exact"/>
              <w:jc w:val="center"/>
              <w:rPr>
                <w:rFonts w:ascii="宋体" w:hAnsi="宋体"/>
                <w:color w:val="auto"/>
                <w:szCs w:val="21"/>
                <w:highlight w:val="none"/>
              </w:rPr>
            </w:pPr>
          </w:p>
        </w:tc>
        <w:tc>
          <w:tcPr>
            <w:tcW w:w="670" w:type="dxa"/>
            <w:noWrap w:val="0"/>
            <w:vAlign w:val="center"/>
          </w:tcPr>
          <w:p w14:paraId="00922533">
            <w:pPr>
              <w:spacing w:line="400" w:lineRule="exact"/>
              <w:jc w:val="center"/>
              <w:rPr>
                <w:rFonts w:ascii="宋体" w:hAnsi="宋体"/>
                <w:color w:val="auto"/>
                <w:szCs w:val="21"/>
                <w:highlight w:val="none"/>
              </w:rPr>
            </w:pPr>
            <w:bookmarkStart w:id="1203" w:name="_Toc221952117"/>
          </w:p>
        </w:tc>
      </w:tr>
      <w:bookmarkEnd w:id="1203"/>
      <w:tr w14:paraId="4B90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2892AA3E">
            <w:pPr>
              <w:spacing w:line="400" w:lineRule="exact"/>
              <w:jc w:val="center"/>
              <w:rPr>
                <w:rFonts w:ascii="宋体" w:hAnsi="宋体"/>
                <w:color w:val="auto"/>
                <w:szCs w:val="21"/>
                <w:highlight w:val="none"/>
              </w:rPr>
            </w:pPr>
          </w:p>
        </w:tc>
        <w:tc>
          <w:tcPr>
            <w:tcW w:w="721" w:type="dxa"/>
            <w:noWrap w:val="0"/>
            <w:vAlign w:val="center"/>
          </w:tcPr>
          <w:p w14:paraId="4B1B4A63">
            <w:pPr>
              <w:spacing w:line="400" w:lineRule="exact"/>
              <w:jc w:val="center"/>
              <w:rPr>
                <w:rFonts w:ascii="宋体" w:hAnsi="宋体"/>
                <w:color w:val="auto"/>
                <w:szCs w:val="21"/>
                <w:highlight w:val="none"/>
              </w:rPr>
            </w:pPr>
            <w:bookmarkStart w:id="1204" w:name="_Toc221952118"/>
          </w:p>
        </w:tc>
        <w:tc>
          <w:tcPr>
            <w:tcW w:w="719" w:type="dxa"/>
            <w:noWrap w:val="0"/>
            <w:vAlign w:val="center"/>
          </w:tcPr>
          <w:p w14:paraId="4F2A2429">
            <w:pPr>
              <w:spacing w:line="400" w:lineRule="exact"/>
              <w:jc w:val="center"/>
              <w:rPr>
                <w:rFonts w:ascii="宋体" w:hAnsi="宋体"/>
                <w:color w:val="auto"/>
                <w:szCs w:val="21"/>
                <w:highlight w:val="none"/>
              </w:rPr>
            </w:pPr>
          </w:p>
          <w:bookmarkEnd w:id="1204"/>
        </w:tc>
        <w:tc>
          <w:tcPr>
            <w:tcW w:w="1081" w:type="dxa"/>
            <w:noWrap w:val="0"/>
            <w:vAlign w:val="center"/>
          </w:tcPr>
          <w:p w14:paraId="740E803B">
            <w:pPr>
              <w:spacing w:line="400" w:lineRule="exact"/>
              <w:jc w:val="center"/>
              <w:rPr>
                <w:rFonts w:ascii="宋体" w:hAnsi="宋体"/>
                <w:color w:val="auto"/>
                <w:szCs w:val="21"/>
                <w:highlight w:val="none"/>
              </w:rPr>
            </w:pPr>
          </w:p>
        </w:tc>
        <w:tc>
          <w:tcPr>
            <w:tcW w:w="719" w:type="dxa"/>
            <w:noWrap w:val="0"/>
            <w:vAlign w:val="center"/>
          </w:tcPr>
          <w:p w14:paraId="1A32C379">
            <w:pPr>
              <w:spacing w:line="400" w:lineRule="exact"/>
              <w:jc w:val="center"/>
              <w:rPr>
                <w:rFonts w:ascii="宋体" w:hAnsi="宋体"/>
                <w:color w:val="auto"/>
                <w:szCs w:val="21"/>
                <w:highlight w:val="none"/>
              </w:rPr>
            </w:pPr>
            <w:bookmarkStart w:id="1205" w:name="_Toc221952119"/>
          </w:p>
        </w:tc>
        <w:tc>
          <w:tcPr>
            <w:tcW w:w="721" w:type="dxa"/>
            <w:noWrap w:val="0"/>
            <w:vAlign w:val="center"/>
          </w:tcPr>
          <w:p w14:paraId="7482E447">
            <w:pPr>
              <w:spacing w:line="400" w:lineRule="exact"/>
              <w:jc w:val="center"/>
              <w:rPr>
                <w:rFonts w:ascii="宋体" w:hAnsi="宋体"/>
                <w:color w:val="auto"/>
                <w:szCs w:val="21"/>
                <w:highlight w:val="none"/>
              </w:rPr>
            </w:pPr>
          </w:p>
          <w:bookmarkEnd w:id="1205"/>
        </w:tc>
        <w:tc>
          <w:tcPr>
            <w:tcW w:w="719" w:type="dxa"/>
            <w:noWrap w:val="0"/>
            <w:vAlign w:val="center"/>
          </w:tcPr>
          <w:p w14:paraId="37C58969">
            <w:pPr>
              <w:spacing w:line="400" w:lineRule="exact"/>
              <w:jc w:val="center"/>
              <w:rPr>
                <w:rFonts w:ascii="宋体" w:hAnsi="宋体"/>
                <w:color w:val="auto"/>
                <w:szCs w:val="21"/>
                <w:highlight w:val="none"/>
              </w:rPr>
            </w:pPr>
          </w:p>
        </w:tc>
        <w:tc>
          <w:tcPr>
            <w:tcW w:w="2523" w:type="dxa"/>
            <w:noWrap w:val="0"/>
            <w:vAlign w:val="center"/>
          </w:tcPr>
          <w:p w14:paraId="4B095A4F">
            <w:pPr>
              <w:spacing w:line="400" w:lineRule="exact"/>
              <w:jc w:val="center"/>
              <w:rPr>
                <w:rFonts w:ascii="宋体" w:hAnsi="宋体"/>
                <w:color w:val="auto"/>
                <w:szCs w:val="21"/>
                <w:highlight w:val="none"/>
              </w:rPr>
            </w:pPr>
            <w:bookmarkStart w:id="1206" w:name="_Toc221952120"/>
          </w:p>
        </w:tc>
        <w:tc>
          <w:tcPr>
            <w:tcW w:w="670" w:type="dxa"/>
            <w:noWrap w:val="0"/>
            <w:vAlign w:val="center"/>
          </w:tcPr>
          <w:p w14:paraId="7FBE6467">
            <w:pPr>
              <w:spacing w:line="400" w:lineRule="exact"/>
              <w:jc w:val="center"/>
              <w:rPr>
                <w:rFonts w:ascii="宋体" w:hAnsi="宋体"/>
                <w:color w:val="auto"/>
                <w:szCs w:val="21"/>
                <w:highlight w:val="none"/>
              </w:rPr>
            </w:pPr>
          </w:p>
        </w:tc>
      </w:tr>
      <w:tr w14:paraId="5FDA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3F679E3E">
            <w:pPr>
              <w:spacing w:line="400" w:lineRule="exact"/>
              <w:jc w:val="center"/>
              <w:rPr>
                <w:rFonts w:ascii="宋体" w:hAnsi="宋体"/>
                <w:color w:val="auto"/>
                <w:szCs w:val="21"/>
                <w:highlight w:val="none"/>
              </w:rPr>
            </w:pPr>
          </w:p>
        </w:tc>
        <w:tc>
          <w:tcPr>
            <w:tcW w:w="721" w:type="dxa"/>
            <w:noWrap w:val="0"/>
            <w:vAlign w:val="center"/>
          </w:tcPr>
          <w:p w14:paraId="1A2A4760">
            <w:pPr>
              <w:spacing w:line="400" w:lineRule="exact"/>
              <w:jc w:val="center"/>
              <w:rPr>
                <w:rFonts w:ascii="宋体" w:hAnsi="宋体"/>
                <w:color w:val="auto"/>
                <w:szCs w:val="21"/>
                <w:highlight w:val="none"/>
              </w:rPr>
            </w:pPr>
          </w:p>
        </w:tc>
        <w:tc>
          <w:tcPr>
            <w:tcW w:w="719" w:type="dxa"/>
            <w:noWrap w:val="0"/>
            <w:vAlign w:val="center"/>
          </w:tcPr>
          <w:p w14:paraId="2A75C8FF">
            <w:pPr>
              <w:spacing w:line="400" w:lineRule="exact"/>
              <w:jc w:val="center"/>
              <w:rPr>
                <w:rFonts w:ascii="宋体" w:hAnsi="宋体"/>
                <w:color w:val="auto"/>
                <w:szCs w:val="21"/>
                <w:highlight w:val="none"/>
              </w:rPr>
            </w:pPr>
          </w:p>
        </w:tc>
        <w:tc>
          <w:tcPr>
            <w:tcW w:w="1081" w:type="dxa"/>
            <w:noWrap w:val="0"/>
            <w:vAlign w:val="center"/>
          </w:tcPr>
          <w:p w14:paraId="51418BE2">
            <w:pPr>
              <w:spacing w:line="400" w:lineRule="exact"/>
              <w:jc w:val="center"/>
              <w:rPr>
                <w:rFonts w:ascii="宋体" w:hAnsi="宋体"/>
                <w:color w:val="auto"/>
                <w:szCs w:val="21"/>
                <w:highlight w:val="none"/>
              </w:rPr>
            </w:pPr>
          </w:p>
        </w:tc>
        <w:tc>
          <w:tcPr>
            <w:tcW w:w="719" w:type="dxa"/>
            <w:noWrap w:val="0"/>
            <w:vAlign w:val="center"/>
          </w:tcPr>
          <w:p w14:paraId="3A6C6858">
            <w:pPr>
              <w:spacing w:line="400" w:lineRule="exact"/>
              <w:jc w:val="center"/>
              <w:rPr>
                <w:rFonts w:ascii="宋体" w:hAnsi="宋体"/>
                <w:color w:val="auto"/>
                <w:szCs w:val="21"/>
                <w:highlight w:val="none"/>
              </w:rPr>
            </w:pPr>
          </w:p>
        </w:tc>
        <w:tc>
          <w:tcPr>
            <w:tcW w:w="721" w:type="dxa"/>
            <w:noWrap w:val="0"/>
            <w:vAlign w:val="center"/>
          </w:tcPr>
          <w:p w14:paraId="46B52CA0">
            <w:pPr>
              <w:spacing w:line="400" w:lineRule="exact"/>
              <w:jc w:val="center"/>
              <w:rPr>
                <w:rFonts w:ascii="宋体" w:hAnsi="宋体"/>
                <w:color w:val="auto"/>
                <w:szCs w:val="21"/>
                <w:highlight w:val="none"/>
              </w:rPr>
            </w:pPr>
          </w:p>
          <w:bookmarkEnd w:id="1206"/>
        </w:tc>
        <w:tc>
          <w:tcPr>
            <w:tcW w:w="719" w:type="dxa"/>
            <w:noWrap w:val="0"/>
            <w:vAlign w:val="center"/>
          </w:tcPr>
          <w:p w14:paraId="3C4E89C6">
            <w:pPr>
              <w:spacing w:line="400" w:lineRule="exact"/>
              <w:jc w:val="center"/>
              <w:rPr>
                <w:rFonts w:ascii="宋体" w:hAnsi="宋体"/>
                <w:color w:val="auto"/>
                <w:szCs w:val="21"/>
                <w:highlight w:val="none"/>
              </w:rPr>
            </w:pPr>
          </w:p>
        </w:tc>
        <w:tc>
          <w:tcPr>
            <w:tcW w:w="2523" w:type="dxa"/>
            <w:noWrap w:val="0"/>
            <w:vAlign w:val="center"/>
          </w:tcPr>
          <w:p w14:paraId="4A19CDC0">
            <w:pPr>
              <w:spacing w:line="400" w:lineRule="exact"/>
              <w:jc w:val="center"/>
              <w:rPr>
                <w:rFonts w:ascii="宋体" w:hAnsi="宋体"/>
                <w:color w:val="auto"/>
                <w:szCs w:val="21"/>
                <w:highlight w:val="none"/>
              </w:rPr>
            </w:pPr>
            <w:bookmarkStart w:id="1207" w:name="_Toc221952121"/>
          </w:p>
        </w:tc>
        <w:tc>
          <w:tcPr>
            <w:tcW w:w="670" w:type="dxa"/>
            <w:noWrap w:val="0"/>
            <w:vAlign w:val="center"/>
          </w:tcPr>
          <w:p w14:paraId="3BD16ECF">
            <w:pPr>
              <w:spacing w:line="400" w:lineRule="exact"/>
              <w:jc w:val="center"/>
              <w:rPr>
                <w:rFonts w:ascii="宋体" w:hAnsi="宋体"/>
                <w:color w:val="auto"/>
                <w:szCs w:val="21"/>
                <w:highlight w:val="none"/>
              </w:rPr>
            </w:pPr>
          </w:p>
          <w:bookmarkEnd w:id="1207"/>
        </w:tc>
      </w:tr>
    </w:tbl>
    <w:p w14:paraId="0115514C">
      <w:pPr>
        <w:spacing w:line="400" w:lineRule="exact"/>
        <w:rPr>
          <w:rFonts w:ascii="宋体" w:hAnsi="宋体"/>
          <w:color w:val="auto"/>
          <w:sz w:val="19"/>
          <w:szCs w:val="19"/>
          <w:highlight w:val="none"/>
        </w:rPr>
      </w:pPr>
      <w:r>
        <w:rPr>
          <w:rFonts w:hint="eastAsia" w:ascii="宋体" w:hAnsi="宋体"/>
          <w:color w:val="auto"/>
          <w:szCs w:val="21"/>
          <w:highlight w:val="none"/>
        </w:rPr>
        <w:t>注</w:t>
      </w:r>
      <w:r>
        <w:rPr>
          <w:rFonts w:hint="eastAsia" w:ascii="宋体" w:hAnsi="宋体"/>
          <w:color w:val="auto"/>
          <w:highlight w:val="none"/>
        </w:rPr>
        <w:t>：要求提交项目管理架构人员最低配置承诺书的，不填写本表。</w:t>
      </w:r>
    </w:p>
    <w:p w14:paraId="46D3CCB5">
      <w:pPr>
        <w:topLinePunct/>
        <w:spacing w:line="400" w:lineRule="exact"/>
        <w:rPr>
          <w:color w:val="auto"/>
          <w:sz w:val="19"/>
          <w:szCs w:val="19"/>
          <w:highlight w:val="none"/>
        </w:rPr>
      </w:pPr>
    </w:p>
    <w:p w14:paraId="575B8EFB">
      <w:pPr>
        <w:widowControl/>
        <w:jc w:val="left"/>
        <w:rPr>
          <w:rFonts w:ascii="宋体" w:hAnsi="宋体"/>
          <w:b/>
          <w:color w:val="auto"/>
          <w:sz w:val="24"/>
          <w:szCs w:val="31"/>
          <w:highlight w:val="none"/>
        </w:rPr>
      </w:pPr>
      <w:r>
        <w:rPr>
          <w:rFonts w:ascii="宋体" w:hAnsi="宋体"/>
          <w:b/>
          <w:color w:val="auto"/>
          <w:sz w:val="24"/>
          <w:szCs w:val="31"/>
          <w:highlight w:val="none"/>
        </w:rPr>
        <w:br w:type="page"/>
      </w:r>
    </w:p>
    <w:p w14:paraId="7A908881">
      <w:pPr>
        <w:spacing w:line="400" w:lineRule="exact"/>
        <w:jc w:val="left"/>
        <w:outlineLvl w:val="3"/>
        <w:rPr>
          <w:rFonts w:ascii="宋体" w:hAnsi="宋体"/>
          <w:b/>
          <w:color w:val="auto"/>
          <w:sz w:val="24"/>
          <w:szCs w:val="31"/>
          <w:highlight w:val="none"/>
        </w:rPr>
      </w:pPr>
      <w:r>
        <w:rPr>
          <w:rFonts w:ascii="宋体" w:hAnsi="宋体"/>
          <w:b/>
          <w:color w:val="auto"/>
          <w:sz w:val="24"/>
          <w:szCs w:val="31"/>
          <w:highlight w:val="none"/>
        </w:rPr>
        <w:t>（二）主要人员简历表</w:t>
      </w:r>
      <w:r>
        <w:rPr>
          <w:rFonts w:hint="eastAsia" w:ascii="宋体" w:hAnsi="宋体"/>
          <w:b/>
          <w:color w:val="auto"/>
          <w:sz w:val="24"/>
          <w:szCs w:val="31"/>
          <w:highlight w:val="none"/>
        </w:rPr>
        <w:t>（项目负责人、技术负责人和专职安全员除外）</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349"/>
        <w:gridCol w:w="701"/>
        <w:gridCol w:w="902"/>
        <w:gridCol w:w="1036"/>
        <w:gridCol w:w="690"/>
        <w:gridCol w:w="1227"/>
        <w:gridCol w:w="489"/>
        <w:gridCol w:w="1975"/>
      </w:tblGrid>
      <w:tr w14:paraId="211C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3" w:type="dxa"/>
            <w:noWrap w:val="0"/>
            <w:vAlign w:val="center"/>
          </w:tcPr>
          <w:p w14:paraId="26F88C45">
            <w:pPr>
              <w:spacing w:line="360" w:lineRule="auto"/>
              <w:jc w:val="center"/>
              <w:rPr>
                <w:rFonts w:ascii="宋体" w:hAnsi="宋体"/>
                <w:color w:val="auto"/>
                <w:szCs w:val="21"/>
                <w:highlight w:val="none"/>
              </w:rPr>
            </w:pPr>
            <w:r>
              <w:rPr>
                <w:rFonts w:ascii="宋体" w:hAnsi="宋体"/>
                <w:color w:val="auto"/>
                <w:szCs w:val="21"/>
                <w:highlight w:val="none"/>
              </w:rPr>
              <w:t>姓  名</w:t>
            </w:r>
          </w:p>
        </w:tc>
        <w:tc>
          <w:tcPr>
            <w:tcW w:w="1050" w:type="dxa"/>
            <w:gridSpan w:val="2"/>
            <w:noWrap w:val="0"/>
            <w:vAlign w:val="center"/>
          </w:tcPr>
          <w:p w14:paraId="27C76DC2">
            <w:pPr>
              <w:spacing w:line="360" w:lineRule="auto"/>
              <w:jc w:val="center"/>
              <w:rPr>
                <w:rFonts w:ascii="宋体" w:hAnsi="宋体"/>
                <w:color w:val="auto"/>
                <w:szCs w:val="21"/>
                <w:highlight w:val="none"/>
              </w:rPr>
            </w:pPr>
          </w:p>
        </w:tc>
        <w:tc>
          <w:tcPr>
            <w:tcW w:w="902" w:type="dxa"/>
            <w:noWrap w:val="0"/>
            <w:vAlign w:val="center"/>
          </w:tcPr>
          <w:p w14:paraId="52B21F80">
            <w:pPr>
              <w:spacing w:line="360" w:lineRule="auto"/>
              <w:jc w:val="center"/>
              <w:rPr>
                <w:rFonts w:ascii="宋体" w:hAnsi="宋体"/>
                <w:color w:val="auto"/>
                <w:szCs w:val="21"/>
                <w:highlight w:val="none"/>
              </w:rPr>
            </w:pPr>
            <w:r>
              <w:rPr>
                <w:rFonts w:ascii="宋体" w:hAnsi="宋体"/>
                <w:color w:val="auto"/>
                <w:szCs w:val="21"/>
                <w:highlight w:val="none"/>
              </w:rPr>
              <w:t>年 龄</w:t>
            </w:r>
          </w:p>
        </w:tc>
        <w:tc>
          <w:tcPr>
            <w:tcW w:w="1036" w:type="dxa"/>
            <w:noWrap w:val="0"/>
            <w:vAlign w:val="center"/>
          </w:tcPr>
          <w:p w14:paraId="5C244BA0">
            <w:pPr>
              <w:spacing w:line="360" w:lineRule="auto"/>
              <w:jc w:val="center"/>
              <w:rPr>
                <w:rFonts w:ascii="宋体" w:hAnsi="宋体"/>
                <w:color w:val="auto"/>
                <w:szCs w:val="21"/>
                <w:highlight w:val="none"/>
              </w:rPr>
            </w:pPr>
          </w:p>
        </w:tc>
        <w:tc>
          <w:tcPr>
            <w:tcW w:w="2406" w:type="dxa"/>
            <w:gridSpan w:val="3"/>
            <w:noWrap w:val="0"/>
            <w:vAlign w:val="center"/>
          </w:tcPr>
          <w:p w14:paraId="1965B900">
            <w:pPr>
              <w:spacing w:line="360" w:lineRule="auto"/>
              <w:jc w:val="center"/>
              <w:rPr>
                <w:rFonts w:ascii="宋体" w:hAnsi="宋体"/>
                <w:color w:val="auto"/>
                <w:szCs w:val="21"/>
                <w:highlight w:val="none"/>
              </w:rPr>
            </w:pPr>
            <w:r>
              <w:rPr>
                <w:rFonts w:ascii="宋体" w:hAnsi="宋体"/>
                <w:color w:val="auto"/>
                <w:szCs w:val="21"/>
                <w:highlight w:val="none"/>
              </w:rPr>
              <w:t>学历</w:t>
            </w:r>
          </w:p>
        </w:tc>
        <w:tc>
          <w:tcPr>
            <w:tcW w:w="1975" w:type="dxa"/>
            <w:noWrap w:val="0"/>
            <w:vAlign w:val="center"/>
          </w:tcPr>
          <w:p w14:paraId="1F2157A0">
            <w:pPr>
              <w:spacing w:line="360" w:lineRule="auto"/>
              <w:jc w:val="center"/>
              <w:rPr>
                <w:rFonts w:ascii="宋体" w:hAnsi="宋体"/>
                <w:color w:val="auto"/>
                <w:szCs w:val="21"/>
                <w:highlight w:val="none"/>
              </w:rPr>
            </w:pPr>
          </w:p>
        </w:tc>
      </w:tr>
      <w:tr w14:paraId="7E9D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3" w:type="dxa"/>
            <w:noWrap w:val="0"/>
            <w:vAlign w:val="center"/>
          </w:tcPr>
          <w:p w14:paraId="74FD7AB4">
            <w:pPr>
              <w:spacing w:line="360" w:lineRule="auto"/>
              <w:jc w:val="center"/>
              <w:rPr>
                <w:rFonts w:ascii="宋体" w:hAnsi="宋体"/>
                <w:color w:val="auto"/>
                <w:szCs w:val="21"/>
                <w:highlight w:val="none"/>
              </w:rPr>
            </w:pPr>
            <w:r>
              <w:rPr>
                <w:rFonts w:hint="eastAsia" w:ascii="宋体" w:hAnsi="宋体"/>
                <w:color w:val="auto"/>
                <w:szCs w:val="21"/>
                <w:highlight w:val="none"/>
              </w:rPr>
              <w:t>执业资格</w:t>
            </w:r>
          </w:p>
        </w:tc>
        <w:tc>
          <w:tcPr>
            <w:tcW w:w="2988" w:type="dxa"/>
            <w:gridSpan w:val="4"/>
            <w:noWrap w:val="0"/>
            <w:vAlign w:val="center"/>
          </w:tcPr>
          <w:p w14:paraId="43BD2FCD">
            <w:pPr>
              <w:spacing w:line="360" w:lineRule="auto"/>
              <w:jc w:val="center"/>
              <w:rPr>
                <w:rFonts w:ascii="宋体" w:hAnsi="宋体"/>
                <w:color w:val="auto"/>
                <w:szCs w:val="21"/>
                <w:highlight w:val="none"/>
              </w:rPr>
            </w:pPr>
          </w:p>
        </w:tc>
        <w:tc>
          <w:tcPr>
            <w:tcW w:w="2406" w:type="dxa"/>
            <w:gridSpan w:val="3"/>
            <w:noWrap w:val="0"/>
            <w:vAlign w:val="center"/>
          </w:tcPr>
          <w:p w14:paraId="750FC62A">
            <w:pPr>
              <w:spacing w:line="360" w:lineRule="auto"/>
              <w:jc w:val="center"/>
              <w:rPr>
                <w:rFonts w:ascii="宋体" w:hAnsi="宋体"/>
                <w:color w:val="auto"/>
                <w:szCs w:val="21"/>
                <w:highlight w:val="none"/>
              </w:rPr>
            </w:pPr>
            <w:r>
              <w:rPr>
                <w:rFonts w:hint="eastAsia" w:ascii="宋体" w:hAnsi="宋体"/>
                <w:color w:val="auto"/>
                <w:szCs w:val="21"/>
                <w:highlight w:val="none"/>
              </w:rPr>
              <w:t>安全生产考核合格证书</w:t>
            </w:r>
          </w:p>
        </w:tc>
        <w:tc>
          <w:tcPr>
            <w:tcW w:w="1975" w:type="dxa"/>
            <w:noWrap w:val="0"/>
            <w:vAlign w:val="center"/>
          </w:tcPr>
          <w:p w14:paraId="67AF87FE">
            <w:pPr>
              <w:spacing w:line="360" w:lineRule="auto"/>
              <w:jc w:val="center"/>
              <w:rPr>
                <w:rFonts w:ascii="宋体" w:hAnsi="宋体"/>
                <w:color w:val="auto"/>
                <w:szCs w:val="21"/>
                <w:highlight w:val="none"/>
              </w:rPr>
            </w:pPr>
          </w:p>
        </w:tc>
      </w:tr>
      <w:tr w14:paraId="5CAB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3" w:type="dxa"/>
            <w:noWrap w:val="0"/>
            <w:vAlign w:val="center"/>
          </w:tcPr>
          <w:p w14:paraId="09784B4D">
            <w:pPr>
              <w:spacing w:line="360" w:lineRule="auto"/>
              <w:jc w:val="center"/>
              <w:rPr>
                <w:rFonts w:ascii="宋体" w:hAnsi="宋体"/>
                <w:color w:val="auto"/>
                <w:szCs w:val="21"/>
                <w:highlight w:val="none"/>
              </w:rPr>
            </w:pPr>
            <w:r>
              <w:rPr>
                <w:rFonts w:ascii="宋体" w:hAnsi="宋体"/>
                <w:color w:val="auto"/>
                <w:szCs w:val="21"/>
                <w:highlight w:val="none"/>
              </w:rPr>
              <w:t>职  称</w:t>
            </w:r>
          </w:p>
        </w:tc>
        <w:tc>
          <w:tcPr>
            <w:tcW w:w="1050" w:type="dxa"/>
            <w:gridSpan w:val="2"/>
            <w:noWrap w:val="0"/>
            <w:vAlign w:val="center"/>
          </w:tcPr>
          <w:p w14:paraId="4A1D7EFB">
            <w:pPr>
              <w:spacing w:line="360" w:lineRule="auto"/>
              <w:jc w:val="center"/>
              <w:rPr>
                <w:rFonts w:ascii="宋体" w:hAnsi="宋体"/>
                <w:color w:val="auto"/>
                <w:szCs w:val="21"/>
                <w:highlight w:val="none"/>
              </w:rPr>
            </w:pPr>
          </w:p>
        </w:tc>
        <w:tc>
          <w:tcPr>
            <w:tcW w:w="902" w:type="dxa"/>
            <w:noWrap w:val="0"/>
            <w:vAlign w:val="center"/>
          </w:tcPr>
          <w:p w14:paraId="52D3BD84">
            <w:pPr>
              <w:spacing w:line="360" w:lineRule="auto"/>
              <w:jc w:val="center"/>
              <w:rPr>
                <w:rFonts w:ascii="宋体" w:hAnsi="宋体"/>
                <w:color w:val="auto"/>
                <w:szCs w:val="21"/>
                <w:highlight w:val="none"/>
              </w:rPr>
            </w:pPr>
            <w:r>
              <w:rPr>
                <w:rFonts w:ascii="宋体" w:hAnsi="宋体"/>
                <w:color w:val="auto"/>
                <w:szCs w:val="21"/>
                <w:highlight w:val="none"/>
              </w:rPr>
              <w:t>职 务</w:t>
            </w:r>
          </w:p>
        </w:tc>
        <w:tc>
          <w:tcPr>
            <w:tcW w:w="1036" w:type="dxa"/>
            <w:noWrap w:val="0"/>
            <w:vAlign w:val="center"/>
          </w:tcPr>
          <w:p w14:paraId="2801AE70">
            <w:pPr>
              <w:spacing w:line="360" w:lineRule="auto"/>
              <w:jc w:val="center"/>
              <w:rPr>
                <w:rFonts w:ascii="宋体" w:hAnsi="宋体"/>
                <w:color w:val="auto"/>
                <w:szCs w:val="21"/>
                <w:highlight w:val="none"/>
              </w:rPr>
            </w:pPr>
          </w:p>
        </w:tc>
        <w:tc>
          <w:tcPr>
            <w:tcW w:w="2406" w:type="dxa"/>
            <w:gridSpan w:val="3"/>
            <w:noWrap w:val="0"/>
            <w:vAlign w:val="center"/>
          </w:tcPr>
          <w:p w14:paraId="237AEB5D">
            <w:pPr>
              <w:spacing w:line="360" w:lineRule="auto"/>
              <w:jc w:val="center"/>
              <w:rPr>
                <w:rFonts w:ascii="宋体" w:hAnsi="宋体"/>
                <w:color w:val="auto"/>
                <w:szCs w:val="21"/>
                <w:highlight w:val="none"/>
              </w:rPr>
            </w:pPr>
            <w:r>
              <w:rPr>
                <w:rFonts w:ascii="宋体" w:hAnsi="宋体"/>
                <w:color w:val="auto"/>
                <w:szCs w:val="21"/>
                <w:highlight w:val="none"/>
              </w:rPr>
              <w:t>拟在本合同任职</w:t>
            </w:r>
          </w:p>
        </w:tc>
        <w:tc>
          <w:tcPr>
            <w:tcW w:w="1975" w:type="dxa"/>
            <w:noWrap w:val="0"/>
            <w:vAlign w:val="center"/>
          </w:tcPr>
          <w:p w14:paraId="6CBFC859">
            <w:pPr>
              <w:spacing w:line="360" w:lineRule="auto"/>
              <w:jc w:val="center"/>
              <w:rPr>
                <w:rFonts w:ascii="宋体" w:hAnsi="宋体"/>
                <w:color w:val="auto"/>
                <w:szCs w:val="21"/>
                <w:highlight w:val="none"/>
              </w:rPr>
            </w:pPr>
          </w:p>
        </w:tc>
      </w:tr>
      <w:tr w14:paraId="5584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14:paraId="2ABEA134">
            <w:pPr>
              <w:spacing w:line="360" w:lineRule="auto"/>
              <w:jc w:val="center"/>
              <w:rPr>
                <w:rFonts w:ascii="宋体" w:hAnsi="宋体"/>
                <w:color w:val="auto"/>
                <w:szCs w:val="21"/>
                <w:highlight w:val="none"/>
              </w:rPr>
            </w:pPr>
            <w:r>
              <w:rPr>
                <w:rFonts w:ascii="宋体" w:hAnsi="宋体"/>
                <w:color w:val="auto"/>
                <w:szCs w:val="21"/>
                <w:highlight w:val="none"/>
              </w:rPr>
              <w:t>主要</w:t>
            </w:r>
            <w:r>
              <w:rPr>
                <w:rFonts w:hint="eastAsia" w:ascii="宋体" w:hAnsi="宋体"/>
                <w:color w:val="auto"/>
                <w:szCs w:val="21"/>
                <w:highlight w:val="none"/>
              </w:rPr>
              <w:t>施工管理</w:t>
            </w:r>
            <w:r>
              <w:rPr>
                <w:rFonts w:ascii="宋体" w:hAnsi="宋体"/>
                <w:color w:val="auto"/>
                <w:szCs w:val="21"/>
                <w:highlight w:val="none"/>
              </w:rPr>
              <w:t>经历</w:t>
            </w:r>
          </w:p>
        </w:tc>
      </w:tr>
      <w:tr w14:paraId="6DDD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02" w:type="dxa"/>
            <w:gridSpan w:val="2"/>
            <w:noWrap w:val="0"/>
            <w:vAlign w:val="center"/>
          </w:tcPr>
          <w:p w14:paraId="475D6902">
            <w:pPr>
              <w:spacing w:line="360" w:lineRule="auto"/>
              <w:jc w:val="center"/>
              <w:rPr>
                <w:rFonts w:ascii="宋体" w:hAnsi="宋体"/>
                <w:color w:val="auto"/>
                <w:szCs w:val="21"/>
                <w:highlight w:val="none"/>
              </w:rPr>
            </w:pPr>
            <w:r>
              <w:rPr>
                <w:rFonts w:ascii="宋体" w:hAnsi="宋体"/>
                <w:color w:val="auto"/>
                <w:szCs w:val="21"/>
                <w:highlight w:val="none"/>
              </w:rPr>
              <w:t>时  间</w:t>
            </w:r>
          </w:p>
        </w:tc>
        <w:tc>
          <w:tcPr>
            <w:tcW w:w="3329" w:type="dxa"/>
            <w:gridSpan w:val="4"/>
            <w:noWrap w:val="0"/>
            <w:vAlign w:val="center"/>
          </w:tcPr>
          <w:p w14:paraId="70C9DA12">
            <w:pPr>
              <w:spacing w:line="360" w:lineRule="auto"/>
              <w:jc w:val="center"/>
              <w:rPr>
                <w:rFonts w:ascii="宋体" w:hAnsi="宋体"/>
                <w:color w:val="auto"/>
                <w:szCs w:val="21"/>
                <w:highlight w:val="none"/>
              </w:rPr>
            </w:pPr>
            <w:r>
              <w:rPr>
                <w:rFonts w:ascii="宋体" w:hAnsi="宋体"/>
                <w:color w:val="auto"/>
                <w:szCs w:val="21"/>
                <w:highlight w:val="none"/>
              </w:rPr>
              <w:t>参加过的类似项目</w:t>
            </w:r>
          </w:p>
        </w:tc>
        <w:tc>
          <w:tcPr>
            <w:tcW w:w="1227" w:type="dxa"/>
            <w:noWrap w:val="0"/>
            <w:vAlign w:val="center"/>
          </w:tcPr>
          <w:p w14:paraId="65645D8C">
            <w:pPr>
              <w:spacing w:line="360" w:lineRule="auto"/>
              <w:jc w:val="center"/>
              <w:rPr>
                <w:rFonts w:ascii="宋体" w:hAnsi="宋体"/>
                <w:color w:val="auto"/>
                <w:szCs w:val="21"/>
                <w:highlight w:val="none"/>
              </w:rPr>
            </w:pPr>
            <w:r>
              <w:rPr>
                <w:rFonts w:ascii="宋体" w:hAnsi="宋体"/>
                <w:color w:val="auto"/>
                <w:szCs w:val="21"/>
                <w:highlight w:val="none"/>
              </w:rPr>
              <w:t>担任职务</w:t>
            </w:r>
          </w:p>
        </w:tc>
        <w:tc>
          <w:tcPr>
            <w:tcW w:w="2464" w:type="dxa"/>
            <w:gridSpan w:val="2"/>
            <w:noWrap w:val="0"/>
            <w:vAlign w:val="center"/>
          </w:tcPr>
          <w:p w14:paraId="6E71CD93">
            <w:pPr>
              <w:spacing w:line="360" w:lineRule="auto"/>
              <w:rPr>
                <w:rFonts w:ascii="宋体" w:hAnsi="宋体"/>
                <w:color w:val="auto"/>
                <w:szCs w:val="21"/>
                <w:highlight w:val="none"/>
              </w:rPr>
            </w:pPr>
            <w:r>
              <w:rPr>
                <w:rFonts w:ascii="宋体" w:hAnsi="宋体"/>
                <w:color w:val="auto"/>
                <w:szCs w:val="21"/>
                <w:highlight w:val="none"/>
              </w:rPr>
              <w:t>发包人及联系电话</w:t>
            </w:r>
          </w:p>
        </w:tc>
      </w:tr>
      <w:tr w14:paraId="5BA4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top"/>
          </w:tcPr>
          <w:p w14:paraId="0ACB5D9D">
            <w:pPr>
              <w:spacing w:line="360" w:lineRule="auto"/>
              <w:rPr>
                <w:rFonts w:ascii="宋体" w:hAnsi="宋体"/>
                <w:color w:val="auto"/>
                <w:szCs w:val="21"/>
                <w:highlight w:val="none"/>
              </w:rPr>
            </w:pPr>
          </w:p>
        </w:tc>
        <w:tc>
          <w:tcPr>
            <w:tcW w:w="3329" w:type="dxa"/>
            <w:gridSpan w:val="4"/>
            <w:noWrap w:val="0"/>
            <w:vAlign w:val="top"/>
          </w:tcPr>
          <w:p w14:paraId="45CA8BC0">
            <w:pPr>
              <w:spacing w:line="360" w:lineRule="auto"/>
              <w:rPr>
                <w:rFonts w:ascii="宋体" w:hAnsi="宋体"/>
                <w:color w:val="auto"/>
                <w:szCs w:val="21"/>
                <w:highlight w:val="none"/>
              </w:rPr>
            </w:pPr>
          </w:p>
        </w:tc>
        <w:tc>
          <w:tcPr>
            <w:tcW w:w="1227" w:type="dxa"/>
            <w:noWrap w:val="0"/>
            <w:vAlign w:val="top"/>
          </w:tcPr>
          <w:p w14:paraId="0FF34669">
            <w:pPr>
              <w:spacing w:line="360" w:lineRule="auto"/>
              <w:rPr>
                <w:rFonts w:ascii="宋体" w:hAnsi="宋体"/>
                <w:color w:val="auto"/>
                <w:szCs w:val="21"/>
                <w:highlight w:val="none"/>
              </w:rPr>
            </w:pPr>
          </w:p>
        </w:tc>
        <w:tc>
          <w:tcPr>
            <w:tcW w:w="2464" w:type="dxa"/>
            <w:gridSpan w:val="2"/>
            <w:noWrap w:val="0"/>
            <w:vAlign w:val="top"/>
          </w:tcPr>
          <w:p w14:paraId="2E986EC3">
            <w:pPr>
              <w:spacing w:line="360" w:lineRule="auto"/>
              <w:rPr>
                <w:rFonts w:ascii="宋体" w:hAnsi="宋体"/>
                <w:color w:val="auto"/>
                <w:szCs w:val="21"/>
                <w:highlight w:val="none"/>
              </w:rPr>
            </w:pPr>
          </w:p>
        </w:tc>
      </w:tr>
      <w:tr w14:paraId="795A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top"/>
          </w:tcPr>
          <w:p w14:paraId="43E3B944">
            <w:pPr>
              <w:spacing w:line="360" w:lineRule="auto"/>
              <w:rPr>
                <w:rFonts w:ascii="宋体" w:hAnsi="宋体"/>
                <w:color w:val="auto"/>
                <w:szCs w:val="21"/>
                <w:highlight w:val="none"/>
              </w:rPr>
            </w:pPr>
          </w:p>
        </w:tc>
        <w:tc>
          <w:tcPr>
            <w:tcW w:w="3329" w:type="dxa"/>
            <w:gridSpan w:val="4"/>
            <w:noWrap w:val="0"/>
            <w:vAlign w:val="top"/>
          </w:tcPr>
          <w:p w14:paraId="0A6B7713">
            <w:pPr>
              <w:spacing w:line="360" w:lineRule="auto"/>
              <w:rPr>
                <w:rFonts w:ascii="宋体" w:hAnsi="宋体"/>
                <w:color w:val="auto"/>
                <w:szCs w:val="21"/>
                <w:highlight w:val="none"/>
              </w:rPr>
            </w:pPr>
          </w:p>
        </w:tc>
        <w:tc>
          <w:tcPr>
            <w:tcW w:w="1227" w:type="dxa"/>
            <w:noWrap w:val="0"/>
            <w:vAlign w:val="top"/>
          </w:tcPr>
          <w:p w14:paraId="5040291B">
            <w:pPr>
              <w:spacing w:line="360" w:lineRule="auto"/>
              <w:rPr>
                <w:rFonts w:ascii="宋体" w:hAnsi="宋体"/>
                <w:color w:val="auto"/>
                <w:szCs w:val="21"/>
                <w:highlight w:val="none"/>
              </w:rPr>
            </w:pPr>
          </w:p>
        </w:tc>
        <w:tc>
          <w:tcPr>
            <w:tcW w:w="2464" w:type="dxa"/>
            <w:gridSpan w:val="2"/>
            <w:noWrap w:val="0"/>
            <w:vAlign w:val="top"/>
          </w:tcPr>
          <w:p w14:paraId="7837015D">
            <w:pPr>
              <w:spacing w:line="360" w:lineRule="auto"/>
              <w:rPr>
                <w:rFonts w:ascii="宋体" w:hAnsi="宋体"/>
                <w:color w:val="auto"/>
                <w:szCs w:val="21"/>
                <w:highlight w:val="none"/>
              </w:rPr>
            </w:pPr>
          </w:p>
        </w:tc>
      </w:tr>
      <w:tr w14:paraId="35A3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top"/>
          </w:tcPr>
          <w:p w14:paraId="7203A058">
            <w:pPr>
              <w:spacing w:line="360" w:lineRule="auto"/>
              <w:rPr>
                <w:rFonts w:ascii="宋体" w:hAnsi="宋体"/>
                <w:color w:val="auto"/>
                <w:szCs w:val="21"/>
                <w:highlight w:val="none"/>
              </w:rPr>
            </w:pPr>
          </w:p>
        </w:tc>
        <w:tc>
          <w:tcPr>
            <w:tcW w:w="3329" w:type="dxa"/>
            <w:gridSpan w:val="4"/>
            <w:noWrap w:val="0"/>
            <w:vAlign w:val="top"/>
          </w:tcPr>
          <w:p w14:paraId="62C3ED4B">
            <w:pPr>
              <w:spacing w:line="360" w:lineRule="auto"/>
              <w:rPr>
                <w:rFonts w:ascii="宋体" w:hAnsi="宋体"/>
                <w:color w:val="auto"/>
                <w:szCs w:val="21"/>
                <w:highlight w:val="none"/>
              </w:rPr>
            </w:pPr>
          </w:p>
        </w:tc>
        <w:tc>
          <w:tcPr>
            <w:tcW w:w="1227" w:type="dxa"/>
            <w:noWrap w:val="0"/>
            <w:vAlign w:val="top"/>
          </w:tcPr>
          <w:p w14:paraId="69E5FB11">
            <w:pPr>
              <w:spacing w:line="360" w:lineRule="auto"/>
              <w:rPr>
                <w:rFonts w:ascii="宋体" w:hAnsi="宋体"/>
                <w:color w:val="auto"/>
                <w:szCs w:val="21"/>
                <w:highlight w:val="none"/>
              </w:rPr>
            </w:pPr>
          </w:p>
        </w:tc>
        <w:tc>
          <w:tcPr>
            <w:tcW w:w="2464" w:type="dxa"/>
            <w:gridSpan w:val="2"/>
            <w:noWrap w:val="0"/>
            <w:vAlign w:val="top"/>
          </w:tcPr>
          <w:p w14:paraId="1D0E7DE5">
            <w:pPr>
              <w:spacing w:line="360" w:lineRule="auto"/>
              <w:rPr>
                <w:rFonts w:ascii="宋体" w:hAnsi="宋体"/>
                <w:color w:val="auto"/>
                <w:szCs w:val="21"/>
                <w:highlight w:val="none"/>
              </w:rPr>
            </w:pPr>
          </w:p>
        </w:tc>
      </w:tr>
      <w:tr w14:paraId="60F0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18807C27">
            <w:pPr>
              <w:spacing w:line="360" w:lineRule="auto"/>
              <w:rPr>
                <w:rFonts w:ascii="宋体" w:hAnsi="宋体"/>
                <w:color w:val="auto"/>
                <w:szCs w:val="21"/>
                <w:highlight w:val="none"/>
              </w:rPr>
            </w:pPr>
          </w:p>
        </w:tc>
        <w:tc>
          <w:tcPr>
            <w:tcW w:w="3329" w:type="dxa"/>
            <w:gridSpan w:val="4"/>
            <w:noWrap w:val="0"/>
            <w:vAlign w:val="center"/>
          </w:tcPr>
          <w:p w14:paraId="4A1FCBF0">
            <w:pPr>
              <w:spacing w:line="360" w:lineRule="auto"/>
              <w:rPr>
                <w:rFonts w:ascii="宋体" w:hAnsi="宋体"/>
                <w:color w:val="auto"/>
                <w:szCs w:val="21"/>
                <w:highlight w:val="none"/>
              </w:rPr>
            </w:pPr>
          </w:p>
        </w:tc>
        <w:tc>
          <w:tcPr>
            <w:tcW w:w="1227" w:type="dxa"/>
            <w:noWrap w:val="0"/>
            <w:vAlign w:val="center"/>
          </w:tcPr>
          <w:p w14:paraId="6CD29D5E">
            <w:pPr>
              <w:spacing w:line="360" w:lineRule="auto"/>
              <w:rPr>
                <w:rFonts w:ascii="宋体" w:hAnsi="宋体"/>
                <w:color w:val="auto"/>
                <w:szCs w:val="21"/>
                <w:highlight w:val="none"/>
              </w:rPr>
            </w:pPr>
          </w:p>
        </w:tc>
        <w:tc>
          <w:tcPr>
            <w:tcW w:w="2464" w:type="dxa"/>
            <w:gridSpan w:val="2"/>
            <w:noWrap w:val="0"/>
            <w:vAlign w:val="center"/>
          </w:tcPr>
          <w:p w14:paraId="1620E510">
            <w:pPr>
              <w:spacing w:line="360" w:lineRule="auto"/>
              <w:rPr>
                <w:rFonts w:ascii="宋体" w:hAnsi="宋体"/>
                <w:color w:val="auto"/>
                <w:szCs w:val="21"/>
                <w:highlight w:val="none"/>
              </w:rPr>
            </w:pPr>
          </w:p>
        </w:tc>
      </w:tr>
      <w:tr w14:paraId="097D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674A1B66">
            <w:pPr>
              <w:spacing w:line="360" w:lineRule="auto"/>
              <w:rPr>
                <w:rFonts w:ascii="宋体" w:hAnsi="宋体"/>
                <w:color w:val="auto"/>
                <w:szCs w:val="21"/>
                <w:highlight w:val="none"/>
              </w:rPr>
            </w:pPr>
          </w:p>
        </w:tc>
        <w:tc>
          <w:tcPr>
            <w:tcW w:w="3329" w:type="dxa"/>
            <w:gridSpan w:val="4"/>
            <w:noWrap w:val="0"/>
            <w:vAlign w:val="center"/>
          </w:tcPr>
          <w:p w14:paraId="362A6C1E">
            <w:pPr>
              <w:spacing w:line="360" w:lineRule="auto"/>
              <w:rPr>
                <w:rFonts w:ascii="宋体" w:hAnsi="宋体"/>
                <w:color w:val="auto"/>
                <w:szCs w:val="21"/>
                <w:highlight w:val="none"/>
              </w:rPr>
            </w:pPr>
          </w:p>
        </w:tc>
        <w:tc>
          <w:tcPr>
            <w:tcW w:w="1227" w:type="dxa"/>
            <w:noWrap w:val="0"/>
            <w:vAlign w:val="center"/>
          </w:tcPr>
          <w:p w14:paraId="3BFD1C3E">
            <w:pPr>
              <w:spacing w:line="360" w:lineRule="auto"/>
              <w:rPr>
                <w:rFonts w:ascii="宋体" w:hAnsi="宋体"/>
                <w:color w:val="auto"/>
                <w:szCs w:val="21"/>
                <w:highlight w:val="none"/>
              </w:rPr>
            </w:pPr>
          </w:p>
        </w:tc>
        <w:tc>
          <w:tcPr>
            <w:tcW w:w="2464" w:type="dxa"/>
            <w:gridSpan w:val="2"/>
            <w:noWrap w:val="0"/>
            <w:vAlign w:val="center"/>
          </w:tcPr>
          <w:p w14:paraId="1AD765C1">
            <w:pPr>
              <w:spacing w:line="360" w:lineRule="auto"/>
              <w:rPr>
                <w:rFonts w:ascii="宋体" w:hAnsi="宋体"/>
                <w:color w:val="auto"/>
                <w:szCs w:val="21"/>
                <w:highlight w:val="none"/>
              </w:rPr>
            </w:pPr>
          </w:p>
        </w:tc>
      </w:tr>
      <w:tr w14:paraId="7D1F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41D6091C">
            <w:pPr>
              <w:spacing w:line="360" w:lineRule="auto"/>
              <w:rPr>
                <w:rFonts w:ascii="宋体" w:hAnsi="宋体"/>
                <w:color w:val="auto"/>
                <w:szCs w:val="21"/>
                <w:highlight w:val="none"/>
              </w:rPr>
            </w:pPr>
          </w:p>
        </w:tc>
        <w:tc>
          <w:tcPr>
            <w:tcW w:w="3329" w:type="dxa"/>
            <w:gridSpan w:val="4"/>
            <w:noWrap w:val="0"/>
            <w:vAlign w:val="center"/>
          </w:tcPr>
          <w:p w14:paraId="65188E62">
            <w:pPr>
              <w:spacing w:line="360" w:lineRule="auto"/>
              <w:rPr>
                <w:rFonts w:ascii="宋体" w:hAnsi="宋体"/>
                <w:color w:val="auto"/>
                <w:szCs w:val="21"/>
                <w:highlight w:val="none"/>
              </w:rPr>
            </w:pPr>
          </w:p>
        </w:tc>
        <w:tc>
          <w:tcPr>
            <w:tcW w:w="1227" w:type="dxa"/>
            <w:noWrap w:val="0"/>
            <w:vAlign w:val="center"/>
          </w:tcPr>
          <w:p w14:paraId="17029AE8">
            <w:pPr>
              <w:spacing w:line="360" w:lineRule="auto"/>
              <w:rPr>
                <w:rFonts w:ascii="宋体" w:hAnsi="宋体"/>
                <w:color w:val="auto"/>
                <w:szCs w:val="21"/>
                <w:highlight w:val="none"/>
              </w:rPr>
            </w:pPr>
          </w:p>
        </w:tc>
        <w:tc>
          <w:tcPr>
            <w:tcW w:w="2464" w:type="dxa"/>
            <w:gridSpan w:val="2"/>
            <w:noWrap w:val="0"/>
            <w:vAlign w:val="center"/>
          </w:tcPr>
          <w:p w14:paraId="1EB1DD48">
            <w:pPr>
              <w:spacing w:line="360" w:lineRule="auto"/>
              <w:rPr>
                <w:rFonts w:ascii="宋体" w:hAnsi="宋体"/>
                <w:color w:val="auto"/>
                <w:szCs w:val="21"/>
                <w:highlight w:val="none"/>
              </w:rPr>
            </w:pPr>
          </w:p>
        </w:tc>
      </w:tr>
      <w:tr w14:paraId="0429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2B024834">
            <w:pPr>
              <w:spacing w:line="360" w:lineRule="auto"/>
              <w:rPr>
                <w:rFonts w:ascii="宋体" w:hAnsi="宋体"/>
                <w:color w:val="auto"/>
                <w:szCs w:val="21"/>
                <w:highlight w:val="none"/>
              </w:rPr>
            </w:pPr>
          </w:p>
        </w:tc>
        <w:tc>
          <w:tcPr>
            <w:tcW w:w="3329" w:type="dxa"/>
            <w:gridSpan w:val="4"/>
            <w:noWrap w:val="0"/>
            <w:vAlign w:val="center"/>
          </w:tcPr>
          <w:p w14:paraId="48539CCF">
            <w:pPr>
              <w:spacing w:line="360" w:lineRule="auto"/>
              <w:rPr>
                <w:rFonts w:ascii="宋体" w:hAnsi="宋体"/>
                <w:color w:val="auto"/>
                <w:szCs w:val="21"/>
                <w:highlight w:val="none"/>
              </w:rPr>
            </w:pPr>
          </w:p>
        </w:tc>
        <w:tc>
          <w:tcPr>
            <w:tcW w:w="1227" w:type="dxa"/>
            <w:noWrap w:val="0"/>
            <w:vAlign w:val="center"/>
          </w:tcPr>
          <w:p w14:paraId="3246C7F6">
            <w:pPr>
              <w:spacing w:line="360" w:lineRule="auto"/>
              <w:rPr>
                <w:rFonts w:ascii="宋体" w:hAnsi="宋体"/>
                <w:color w:val="auto"/>
                <w:szCs w:val="21"/>
                <w:highlight w:val="none"/>
              </w:rPr>
            </w:pPr>
          </w:p>
        </w:tc>
        <w:tc>
          <w:tcPr>
            <w:tcW w:w="2464" w:type="dxa"/>
            <w:gridSpan w:val="2"/>
            <w:noWrap w:val="0"/>
            <w:vAlign w:val="center"/>
          </w:tcPr>
          <w:p w14:paraId="2810E726">
            <w:pPr>
              <w:spacing w:line="360" w:lineRule="auto"/>
              <w:rPr>
                <w:rFonts w:ascii="宋体" w:hAnsi="宋体"/>
                <w:color w:val="auto"/>
                <w:szCs w:val="21"/>
                <w:highlight w:val="none"/>
              </w:rPr>
            </w:pPr>
          </w:p>
        </w:tc>
      </w:tr>
      <w:tr w14:paraId="62E3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4C744D14">
            <w:pPr>
              <w:spacing w:line="360" w:lineRule="auto"/>
              <w:rPr>
                <w:rFonts w:ascii="宋体" w:hAnsi="宋体"/>
                <w:color w:val="auto"/>
                <w:szCs w:val="21"/>
                <w:highlight w:val="none"/>
              </w:rPr>
            </w:pPr>
          </w:p>
        </w:tc>
        <w:tc>
          <w:tcPr>
            <w:tcW w:w="3329" w:type="dxa"/>
            <w:gridSpan w:val="4"/>
            <w:noWrap w:val="0"/>
            <w:vAlign w:val="center"/>
          </w:tcPr>
          <w:p w14:paraId="5FF1CF32">
            <w:pPr>
              <w:spacing w:line="360" w:lineRule="auto"/>
              <w:rPr>
                <w:rFonts w:ascii="宋体" w:hAnsi="宋体"/>
                <w:color w:val="auto"/>
                <w:szCs w:val="21"/>
                <w:highlight w:val="none"/>
              </w:rPr>
            </w:pPr>
          </w:p>
        </w:tc>
        <w:tc>
          <w:tcPr>
            <w:tcW w:w="1227" w:type="dxa"/>
            <w:noWrap w:val="0"/>
            <w:vAlign w:val="center"/>
          </w:tcPr>
          <w:p w14:paraId="70498847">
            <w:pPr>
              <w:spacing w:line="360" w:lineRule="auto"/>
              <w:rPr>
                <w:rFonts w:ascii="宋体" w:hAnsi="宋体"/>
                <w:color w:val="auto"/>
                <w:szCs w:val="21"/>
                <w:highlight w:val="none"/>
              </w:rPr>
            </w:pPr>
          </w:p>
        </w:tc>
        <w:tc>
          <w:tcPr>
            <w:tcW w:w="2464" w:type="dxa"/>
            <w:gridSpan w:val="2"/>
            <w:noWrap w:val="0"/>
            <w:vAlign w:val="center"/>
          </w:tcPr>
          <w:p w14:paraId="6320DE11">
            <w:pPr>
              <w:spacing w:line="360" w:lineRule="auto"/>
              <w:rPr>
                <w:rFonts w:ascii="宋体" w:hAnsi="宋体"/>
                <w:color w:val="auto"/>
                <w:szCs w:val="21"/>
                <w:highlight w:val="none"/>
              </w:rPr>
            </w:pPr>
          </w:p>
        </w:tc>
      </w:tr>
      <w:tr w14:paraId="15E0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07B2E8F7">
            <w:pPr>
              <w:spacing w:line="360" w:lineRule="auto"/>
              <w:rPr>
                <w:rFonts w:ascii="宋体" w:hAnsi="宋体"/>
                <w:color w:val="auto"/>
                <w:szCs w:val="21"/>
                <w:highlight w:val="none"/>
              </w:rPr>
            </w:pPr>
          </w:p>
        </w:tc>
        <w:tc>
          <w:tcPr>
            <w:tcW w:w="3329" w:type="dxa"/>
            <w:gridSpan w:val="4"/>
            <w:noWrap w:val="0"/>
            <w:vAlign w:val="center"/>
          </w:tcPr>
          <w:p w14:paraId="5CC72C2C">
            <w:pPr>
              <w:spacing w:line="360" w:lineRule="auto"/>
              <w:rPr>
                <w:rFonts w:ascii="宋体" w:hAnsi="宋体"/>
                <w:color w:val="auto"/>
                <w:szCs w:val="21"/>
                <w:highlight w:val="none"/>
              </w:rPr>
            </w:pPr>
          </w:p>
        </w:tc>
        <w:tc>
          <w:tcPr>
            <w:tcW w:w="1227" w:type="dxa"/>
            <w:noWrap w:val="0"/>
            <w:vAlign w:val="center"/>
          </w:tcPr>
          <w:p w14:paraId="0EE9AFA2">
            <w:pPr>
              <w:spacing w:line="360" w:lineRule="auto"/>
              <w:rPr>
                <w:rFonts w:ascii="宋体" w:hAnsi="宋体"/>
                <w:color w:val="auto"/>
                <w:szCs w:val="21"/>
                <w:highlight w:val="none"/>
              </w:rPr>
            </w:pPr>
          </w:p>
        </w:tc>
        <w:tc>
          <w:tcPr>
            <w:tcW w:w="2464" w:type="dxa"/>
            <w:gridSpan w:val="2"/>
            <w:noWrap w:val="0"/>
            <w:vAlign w:val="center"/>
          </w:tcPr>
          <w:p w14:paraId="34524D85">
            <w:pPr>
              <w:spacing w:line="360" w:lineRule="auto"/>
              <w:rPr>
                <w:rFonts w:ascii="宋体" w:hAnsi="宋体"/>
                <w:color w:val="auto"/>
                <w:szCs w:val="21"/>
                <w:highlight w:val="none"/>
              </w:rPr>
            </w:pPr>
          </w:p>
        </w:tc>
      </w:tr>
      <w:tr w14:paraId="6A88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695F02AF">
            <w:pPr>
              <w:spacing w:line="360" w:lineRule="auto"/>
              <w:rPr>
                <w:rFonts w:ascii="宋体" w:hAnsi="宋体"/>
                <w:color w:val="auto"/>
                <w:szCs w:val="21"/>
                <w:highlight w:val="none"/>
              </w:rPr>
            </w:pPr>
          </w:p>
        </w:tc>
        <w:tc>
          <w:tcPr>
            <w:tcW w:w="3329" w:type="dxa"/>
            <w:gridSpan w:val="4"/>
            <w:noWrap w:val="0"/>
            <w:vAlign w:val="center"/>
          </w:tcPr>
          <w:p w14:paraId="57471CA6">
            <w:pPr>
              <w:spacing w:line="360" w:lineRule="auto"/>
              <w:rPr>
                <w:rFonts w:ascii="宋体" w:hAnsi="宋体"/>
                <w:color w:val="auto"/>
                <w:szCs w:val="21"/>
                <w:highlight w:val="none"/>
              </w:rPr>
            </w:pPr>
          </w:p>
        </w:tc>
        <w:tc>
          <w:tcPr>
            <w:tcW w:w="1227" w:type="dxa"/>
            <w:noWrap w:val="0"/>
            <w:vAlign w:val="center"/>
          </w:tcPr>
          <w:p w14:paraId="281EBEA4">
            <w:pPr>
              <w:spacing w:line="360" w:lineRule="auto"/>
              <w:rPr>
                <w:rFonts w:ascii="宋体" w:hAnsi="宋体"/>
                <w:color w:val="auto"/>
                <w:szCs w:val="21"/>
                <w:highlight w:val="none"/>
              </w:rPr>
            </w:pPr>
          </w:p>
        </w:tc>
        <w:tc>
          <w:tcPr>
            <w:tcW w:w="2464" w:type="dxa"/>
            <w:gridSpan w:val="2"/>
            <w:noWrap w:val="0"/>
            <w:vAlign w:val="center"/>
          </w:tcPr>
          <w:p w14:paraId="62D3EE5C">
            <w:pPr>
              <w:spacing w:line="360" w:lineRule="auto"/>
              <w:rPr>
                <w:rFonts w:ascii="宋体" w:hAnsi="宋体"/>
                <w:color w:val="auto"/>
                <w:szCs w:val="21"/>
                <w:highlight w:val="none"/>
              </w:rPr>
            </w:pPr>
          </w:p>
        </w:tc>
      </w:tr>
      <w:tr w14:paraId="4410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01F3B6BD">
            <w:pPr>
              <w:spacing w:line="360" w:lineRule="auto"/>
              <w:rPr>
                <w:rFonts w:ascii="宋体" w:hAnsi="宋体"/>
                <w:color w:val="auto"/>
                <w:szCs w:val="21"/>
                <w:highlight w:val="none"/>
              </w:rPr>
            </w:pPr>
          </w:p>
        </w:tc>
        <w:tc>
          <w:tcPr>
            <w:tcW w:w="3329" w:type="dxa"/>
            <w:gridSpan w:val="4"/>
            <w:noWrap w:val="0"/>
            <w:vAlign w:val="center"/>
          </w:tcPr>
          <w:p w14:paraId="220F42B8">
            <w:pPr>
              <w:spacing w:line="360" w:lineRule="auto"/>
              <w:rPr>
                <w:rFonts w:ascii="宋体" w:hAnsi="宋体"/>
                <w:color w:val="auto"/>
                <w:szCs w:val="21"/>
                <w:highlight w:val="none"/>
              </w:rPr>
            </w:pPr>
          </w:p>
        </w:tc>
        <w:tc>
          <w:tcPr>
            <w:tcW w:w="1227" w:type="dxa"/>
            <w:noWrap w:val="0"/>
            <w:vAlign w:val="center"/>
          </w:tcPr>
          <w:p w14:paraId="68B40252">
            <w:pPr>
              <w:spacing w:line="360" w:lineRule="auto"/>
              <w:rPr>
                <w:rFonts w:ascii="宋体" w:hAnsi="宋体"/>
                <w:color w:val="auto"/>
                <w:szCs w:val="21"/>
                <w:highlight w:val="none"/>
              </w:rPr>
            </w:pPr>
          </w:p>
        </w:tc>
        <w:tc>
          <w:tcPr>
            <w:tcW w:w="2464" w:type="dxa"/>
            <w:gridSpan w:val="2"/>
            <w:noWrap w:val="0"/>
            <w:vAlign w:val="center"/>
          </w:tcPr>
          <w:p w14:paraId="2C26EEC5">
            <w:pPr>
              <w:spacing w:line="360" w:lineRule="auto"/>
              <w:rPr>
                <w:rFonts w:ascii="宋体" w:hAnsi="宋体"/>
                <w:color w:val="auto"/>
                <w:szCs w:val="21"/>
                <w:highlight w:val="none"/>
              </w:rPr>
            </w:pPr>
          </w:p>
        </w:tc>
      </w:tr>
      <w:tr w14:paraId="7C92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2C088272">
            <w:pPr>
              <w:spacing w:line="360" w:lineRule="auto"/>
              <w:rPr>
                <w:rFonts w:ascii="宋体" w:hAnsi="宋体"/>
                <w:color w:val="auto"/>
                <w:szCs w:val="21"/>
                <w:highlight w:val="none"/>
              </w:rPr>
            </w:pPr>
          </w:p>
        </w:tc>
        <w:tc>
          <w:tcPr>
            <w:tcW w:w="3329" w:type="dxa"/>
            <w:gridSpan w:val="4"/>
            <w:noWrap w:val="0"/>
            <w:vAlign w:val="center"/>
          </w:tcPr>
          <w:p w14:paraId="003752BC">
            <w:pPr>
              <w:spacing w:line="360" w:lineRule="auto"/>
              <w:rPr>
                <w:rFonts w:ascii="宋体" w:hAnsi="宋体"/>
                <w:color w:val="auto"/>
                <w:szCs w:val="21"/>
                <w:highlight w:val="none"/>
              </w:rPr>
            </w:pPr>
          </w:p>
        </w:tc>
        <w:tc>
          <w:tcPr>
            <w:tcW w:w="1227" w:type="dxa"/>
            <w:noWrap w:val="0"/>
            <w:vAlign w:val="center"/>
          </w:tcPr>
          <w:p w14:paraId="229C8FE3">
            <w:pPr>
              <w:spacing w:line="360" w:lineRule="auto"/>
              <w:rPr>
                <w:rFonts w:ascii="宋体" w:hAnsi="宋体"/>
                <w:color w:val="auto"/>
                <w:szCs w:val="21"/>
                <w:highlight w:val="none"/>
              </w:rPr>
            </w:pPr>
          </w:p>
        </w:tc>
        <w:tc>
          <w:tcPr>
            <w:tcW w:w="2464" w:type="dxa"/>
            <w:gridSpan w:val="2"/>
            <w:noWrap w:val="0"/>
            <w:vAlign w:val="center"/>
          </w:tcPr>
          <w:p w14:paraId="6D710570">
            <w:pPr>
              <w:spacing w:line="360" w:lineRule="auto"/>
              <w:rPr>
                <w:rFonts w:ascii="宋体" w:hAnsi="宋体"/>
                <w:color w:val="auto"/>
                <w:szCs w:val="21"/>
                <w:highlight w:val="none"/>
              </w:rPr>
            </w:pPr>
          </w:p>
        </w:tc>
      </w:tr>
    </w:tbl>
    <w:p w14:paraId="2E7FE624">
      <w:pPr>
        <w:spacing w:line="360" w:lineRule="auto"/>
        <w:jc w:val="center"/>
        <w:outlineLvl w:val="2"/>
        <w:rPr>
          <w:rFonts w:ascii="黑体" w:hAnsi="黑体" w:eastAsia="黑体"/>
          <w:color w:val="auto"/>
          <w:sz w:val="28"/>
          <w:szCs w:val="27"/>
          <w:highlight w:val="none"/>
        </w:rPr>
      </w:pPr>
      <w:r>
        <w:rPr>
          <w:rFonts w:hint="eastAsia" w:ascii="宋体" w:hAnsi="宋体"/>
          <w:color w:val="auto"/>
          <w:szCs w:val="21"/>
          <w:highlight w:val="none"/>
        </w:rPr>
        <w:t>注</w:t>
      </w:r>
      <w:r>
        <w:rPr>
          <w:rFonts w:hint="eastAsia" w:ascii="宋体" w:hAnsi="宋体"/>
          <w:color w:val="auto"/>
          <w:highlight w:val="none"/>
        </w:rPr>
        <w:t>：要求提交项目管理架构人员最低配置承诺书的，不填写本表。</w:t>
      </w:r>
    </w:p>
    <w:bookmarkEnd w:id="1197"/>
    <w:p w14:paraId="48AB015A">
      <w:pPr>
        <w:spacing w:line="360" w:lineRule="auto"/>
        <w:jc w:val="center"/>
        <w:outlineLvl w:val="2"/>
        <w:rPr>
          <w:color w:val="auto"/>
          <w:sz w:val="20"/>
          <w:szCs w:val="20"/>
          <w:highlight w:val="none"/>
        </w:rPr>
      </w:pPr>
      <w:r>
        <w:rPr>
          <w:color w:val="auto"/>
          <w:sz w:val="20"/>
          <w:szCs w:val="20"/>
          <w:highlight w:val="none"/>
        </w:rPr>
        <w:br w:type="page"/>
      </w:r>
    </w:p>
    <w:p w14:paraId="53E5C980">
      <w:pPr>
        <w:numPr>
          <w:ilvl w:val="0"/>
          <w:numId w:val="29"/>
        </w:numPr>
        <w:spacing w:line="360" w:lineRule="auto"/>
        <w:jc w:val="center"/>
        <w:outlineLvl w:val="2"/>
        <w:rPr>
          <w:rFonts w:hint="eastAsia" w:ascii="黑体" w:hAnsi="黑体" w:eastAsia="黑体"/>
          <w:color w:val="auto"/>
          <w:sz w:val="28"/>
          <w:szCs w:val="27"/>
          <w:highlight w:val="none"/>
        </w:rPr>
      </w:pPr>
      <w:bookmarkStart w:id="1208" w:name="_Toc21787768"/>
      <w:bookmarkStart w:id="1209" w:name="_Toc20806"/>
      <w:bookmarkStart w:id="1210" w:name="_Toc180758605"/>
      <w:r>
        <w:rPr>
          <w:rFonts w:hint="eastAsia" w:ascii="黑体" w:hAnsi="黑体" w:eastAsia="黑体"/>
          <w:color w:val="auto"/>
          <w:sz w:val="28"/>
          <w:szCs w:val="27"/>
          <w:highlight w:val="none"/>
        </w:rPr>
        <w:t>拟分包项目情况表（若有）</w:t>
      </w:r>
    </w:p>
    <w:p w14:paraId="00B9A33C">
      <w:pPr>
        <w:numPr>
          <w:ilvl w:val="0"/>
          <w:numId w:val="0"/>
        </w:numPr>
        <w:spacing w:line="360" w:lineRule="auto"/>
        <w:jc w:val="center"/>
        <w:outlineLvl w:val="2"/>
        <w:rPr>
          <w:rFonts w:hint="eastAsia" w:ascii="黑体" w:hAnsi="黑体" w:eastAsia="黑体"/>
          <w:color w:val="auto"/>
          <w:sz w:val="28"/>
          <w:szCs w:val="27"/>
          <w:highlight w:val="none"/>
        </w:rPr>
      </w:pPr>
    </w:p>
    <w:p w14:paraId="2D6347FC">
      <w:pPr>
        <w:numPr>
          <w:ilvl w:val="0"/>
          <w:numId w:val="0"/>
        </w:numPr>
        <w:spacing w:line="360" w:lineRule="auto"/>
        <w:jc w:val="center"/>
        <w:outlineLvl w:val="2"/>
        <w:rPr>
          <w:rFonts w:hint="default" w:ascii="黑体" w:hAnsi="黑体" w:eastAsia="黑体"/>
          <w:color w:val="auto"/>
          <w:sz w:val="28"/>
          <w:szCs w:val="27"/>
          <w:highlight w:val="none"/>
          <w:lang w:val="en-US" w:eastAsia="zh-CN"/>
        </w:rPr>
      </w:pPr>
      <w:r>
        <w:rPr>
          <w:rFonts w:hint="eastAsia" w:ascii="黑体" w:hAnsi="黑体" w:eastAsia="黑体"/>
          <w:color w:val="auto"/>
          <w:sz w:val="28"/>
          <w:szCs w:val="27"/>
          <w:highlight w:val="none"/>
          <w:lang w:val="en-US" w:eastAsia="zh-CN"/>
        </w:rPr>
        <w:t>格式自拟</w:t>
      </w:r>
    </w:p>
    <w:p w14:paraId="14EF28D4">
      <w:pPr>
        <w:spacing w:line="240" w:lineRule="auto"/>
        <w:jc w:val="left"/>
        <w:outlineLvl w:val="9"/>
        <w:rPr>
          <w:rFonts w:hint="eastAsia" w:ascii="黑体" w:hAnsi="黑体" w:eastAsia="黑体"/>
          <w:color w:val="auto"/>
          <w:sz w:val="28"/>
          <w:szCs w:val="27"/>
          <w:highlight w:val="none"/>
        </w:rPr>
      </w:pPr>
      <w:r>
        <w:rPr>
          <w:rFonts w:hint="eastAsia" w:ascii="黑体" w:hAnsi="黑体" w:eastAsia="黑体"/>
          <w:color w:val="auto"/>
          <w:sz w:val="28"/>
          <w:szCs w:val="27"/>
          <w:highlight w:val="none"/>
        </w:rPr>
        <w:br w:type="page"/>
      </w:r>
    </w:p>
    <w:p w14:paraId="71E50710">
      <w:pPr>
        <w:spacing w:line="360" w:lineRule="auto"/>
        <w:jc w:val="center"/>
        <w:outlineLvl w:val="2"/>
        <w:rPr>
          <w:rFonts w:ascii="黑体" w:hAnsi="黑体" w:eastAsia="黑体"/>
          <w:color w:val="auto"/>
          <w:sz w:val="28"/>
          <w:szCs w:val="27"/>
          <w:highlight w:val="none"/>
        </w:rPr>
      </w:pPr>
      <w:r>
        <w:rPr>
          <w:rFonts w:hint="eastAsia" w:ascii="黑体" w:hAnsi="黑体" w:eastAsia="黑体"/>
          <w:color w:val="auto"/>
          <w:sz w:val="28"/>
          <w:szCs w:val="27"/>
          <w:highlight w:val="none"/>
          <w:lang w:val="en-US" w:eastAsia="zh-CN"/>
        </w:rPr>
        <w:t>十、</w:t>
      </w:r>
      <w:r>
        <w:rPr>
          <w:rFonts w:hint="eastAsia" w:ascii="黑体" w:hAnsi="黑体" w:eastAsia="黑体"/>
          <w:color w:val="auto"/>
          <w:sz w:val="28"/>
          <w:szCs w:val="27"/>
          <w:highlight w:val="none"/>
        </w:rPr>
        <w:t>资格审查资料</w:t>
      </w:r>
      <w:bookmarkEnd w:id="1208"/>
      <w:bookmarkEnd w:id="1209"/>
      <w:bookmarkEnd w:id="1210"/>
    </w:p>
    <w:p w14:paraId="490EDFA3">
      <w:pPr>
        <w:spacing w:line="400" w:lineRule="exact"/>
        <w:jc w:val="left"/>
        <w:outlineLvl w:val="3"/>
        <w:rPr>
          <w:rFonts w:ascii="宋体" w:hAnsi="宋体"/>
          <w:b/>
          <w:color w:val="auto"/>
          <w:sz w:val="24"/>
          <w:szCs w:val="31"/>
          <w:highlight w:val="none"/>
        </w:rPr>
      </w:pPr>
      <w:r>
        <w:rPr>
          <w:rFonts w:hint="eastAsia" w:ascii="宋体" w:hAnsi="宋体"/>
          <w:b/>
          <w:color w:val="auto"/>
          <w:sz w:val="24"/>
          <w:szCs w:val="31"/>
          <w:highlight w:val="none"/>
        </w:rPr>
        <w:t>（一）投标人基本情况表</w:t>
      </w:r>
    </w:p>
    <w:tbl>
      <w:tblPr>
        <w:tblStyle w:val="4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17"/>
        <w:gridCol w:w="893"/>
        <w:gridCol w:w="946"/>
        <w:gridCol w:w="835"/>
        <w:gridCol w:w="418"/>
        <w:gridCol w:w="138"/>
        <w:gridCol w:w="1244"/>
        <w:gridCol w:w="182"/>
        <w:gridCol w:w="1162"/>
        <w:gridCol w:w="987"/>
      </w:tblGrid>
      <w:tr w14:paraId="4AC271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5076F3A9">
            <w:pPr>
              <w:topLinePunct/>
              <w:spacing w:line="400" w:lineRule="exact"/>
              <w:jc w:val="center"/>
              <w:rPr>
                <w:rFonts w:ascii="宋体" w:hAnsi="宋体"/>
                <w:color w:val="auto"/>
                <w:szCs w:val="20"/>
                <w:highlight w:val="none"/>
              </w:rPr>
            </w:pPr>
            <w:r>
              <w:rPr>
                <w:rFonts w:hint="eastAsia" w:ascii="宋体" w:hAnsi="宋体"/>
                <w:color w:val="auto"/>
                <w:szCs w:val="20"/>
                <w:highlight w:val="none"/>
              </w:rPr>
              <w:t>投标人</w:t>
            </w:r>
            <w:r>
              <w:rPr>
                <w:rFonts w:ascii="宋体" w:hAnsi="宋体"/>
                <w:color w:val="auto"/>
                <w:szCs w:val="20"/>
                <w:highlight w:val="none"/>
              </w:rPr>
              <w:t>名称</w:t>
            </w:r>
          </w:p>
        </w:tc>
        <w:tc>
          <w:tcPr>
            <w:tcW w:w="6805" w:type="dxa"/>
            <w:gridSpan w:val="9"/>
            <w:tcBorders>
              <w:top w:val="single" w:color="auto" w:sz="4" w:space="0"/>
              <w:left w:val="single" w:color="auto" w:sz="4" w:space="0"/>
              <w:bottom w:val="single" w:color="auto" w:sz="4" w:space="0"/>
              <w:right w:val="single" w:color="auto" w:sz="4" w:space="0"/>
            </w:tcBorders>
            <w:noWrap w:val="0"/>
            <w:vAlign w:val="center"/>
          </w:tcPr>
          <w:p w14:paraId="686FBBD0">
            <w:pPr>
              <w:topLinePunct/>
              <w:spacing w:line="400" w:lineRule="exact"/>
              <w:jc w:val="center"/>
              <w:rPr>
                <w:rFonts w:ascii="宋体" w:hAnsi="宋体"/>
                <w:color w:val="auto"/>
                <w:szCs w:val="20"/>
                <w:highlight w:val="none"/>
              </w:rPr>
            </w:pPr>
          </w:p>
        </w:tc>
      </w:tr>
      <w:tr w14:paraId="5E40D8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257ABF08">
            <w:pPr>
              <w:topLinePunct/>
              <w:spacing w:line="400" w:lineRule="exact"/>
              <w:jc w:val="center"/>
              <w:rPr>
                <w:rFonts w:ascii="宋体" w:hAnsi="宋体"/>
                <w:color w:val="auto"/>
                <w:szCs w:val="20"/>
                <w:highlight w:val="none"/>
              </w:rPr>
            </w:pPr>
            <w:r>
              <w:rPr>
                <w:rFonts w:ascii="宋体" w:hAnsi="宋体"/>
                <w:color w:val="auto"/>
                <w:szCs w:val="20"/>
                <w:highlight w:val="none"/>
              </w:rPr>
              <w:t>注册地址</w:t>
            </w:r>
          </w:p>
        </w:tc>
        <w:tc>
          <w:tcPr>
            <w:tcW w:w="3230" w:type="dxa"/>
            <w:gridSpan w:val="5"/>
            <w:tcBorders>
              <w:top w:val="single" w:color="auto" w:sz="4" w:space="0"/>
              <w:left w:val="single" w:color="auto" w:sz="4" w:space="0"/>
              <w:bottom w:val="single" w:color="auto" w:sz="4" w:space="0"/>
              <w:right w:val="single" w:color="auto" w:sz="4" w:space="0"/>
            </w:tcBorders>
            <w:noWrap w:val="0"/>
            <w:vAlign w:val="center"/>
          </w:tcPr>
          <w:p w14:paraId="5426E7A6">
            <w:pPr>
              <w:topLinePunct/>
              <w:spacing w:line="400" w:lineRule="exact"/>
              <w:jc w:val="center"/>
              <w:rPr>
                <w:rFonts w:ascii="宋体" w:hAnsi="宋体"/>
                <w:color w:val="auto"/>
                <w:szCs w:val="20"/>
                <w:highlight w:val="none"/>
              </w:rPr>
            </w:pPr>
          </w:p>
        </w:tc>
        <w:tc>
          <w:tcPr>
            <w:tcW w:w="1244" w:type="dxa"/>
            <w:tcBorders>
              <w:top w:val="single" w:color="auto" w:sz="4" w:space="0"/>
              <w:left w:val="single" w:color="auto" w:sz="4" w:space="0"/>
              <w:bottom w:val="single" w:color="auto" w:sz="4" w:space="0"/>
              <w:right w:val="single" w:color="auto" w:sz="4" w:space="0"/>
            </w:tcBorders>
            <w:noWrap w:val="0"/>
            <w:vAlign w:val="center"/>
          </w:tcPr>
          <w:p w14:paraId="12BA9D9E">
            <w:pPr>
              <w:topLinePunct/>
              <w:spacing w:line="400" w:lineRule="exact"/>
              <w:jc w:val="center"/>
              <w:rPr>
                <w:rFonts w:ascii="宋体" w:hAnsi="宋体"/>
                <w:color w:val="auto"/>
                <w:szCs w:val="20"/>
                <w:highlight w:val="none"/>
              </w:rPr>
            </w:pPr>
            <w:r>
              <w:rPr>
                <w:rFonts w:ascii="宋体" w:hAnsi="宋体"/>
                <w:color w:val="auto"/>
                <w:szCs w:val="20"/>
                <w:highlight w:val="none"/>
              </w:rPr>
              <w:t>邮政编码</w:t>
            </w:r>
          </w:p>
        </w:tc>
        <w:tc>
          <w:tcPr>
            <w:tcW w:w="2331" w:type="dxa"/>
            <w:gridSpan w:val="3"/>
            <w:tcBorders>
              <w:top w:val="single" w:color="auto" w:sz="4" w:space="0"/>
              <w:left w:val="single" w:color="auto" w:sz="4" w:space="0"/>
              <w:bottom w:val="single" w:color="auto" w:sz="4" w:space="0"/>
              <w:right w:val="single" w:color="auto" w:sz="4" w:space="0"/>
            </w:tcBorders>
            <w:noWrap w:val="0"/>
            <w:vAlign w:val="center"/>
          </w:tcPr>
          <w:p w14:paraId="326F66CA">
            <w:pPr>
              <w:topLinePunct/>
              <w:spacing w:line="400" w:lineRule="exact"/>
              <w:jc w:val="center"/>
              <w:rPr>
                <w:rFonts w:ascii="宋体" w:hAnsi="宋体"/>
                <w:color w:val="auto"/>
                <w:szCs w:val="20"/>
                <w:highlight w:val="none"/>
              </w:rPr>
            </w:pPr>
          </w:p>
        </w:tc>
      </w:tr>
      <w:tr w14:paraId="0F820D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17" w:type="dxa"/>
            <w:vMerge w:val="restart"/>
            <w:tcBorders>
              <w:top w:val="single" w:color="auto" w:sz="4" w:space="0"/>
              <w:left w:val="single" w:color="auto" w:sz="4" w:space="0"/>
              <w:bottom w:val="single" w:color="auto" w:sz="4" w:space="0"/>
              <w:right w:val="single" w:color="auto" w:sz="4" w:space="0"/>
            </w:tcBorders>
            <w:noWrap w:val="0"/>
            <w:vAlign w:val="center"/>
          </w:tcPr>
          <w:p w14:paraId="11ADCF1C">
            <w:pPr>
              <w:topLinePunct/>
              <w:spacing w:line="400" w:lineRule="exact"/>
              <w:jc w:val="center"/>
              <w:rPr>
                <w:rFonts w:ascii="宋体" w:hAnsi="宋体"/>
                <w:color w:val="auto"/>
                <w:szCs w:val="20"/>
                <w:highlight w:val="none"/>
              </w:rPr>
            </w:pPr>
            <w:r>
              <w:rPr>
                <w:rFonts w:ascii="宋体" w:hAnsi="宋体"/>
                <w:color w:val="auto"/>
                <w:szCs w:val="20"/>
                <w:highlight w:val="none"/>
              </w:rPr>
              <w:t>联系方式</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5340D432">
            <w:pPr>
              <w:topLinePunct/>
              <w:spacing w:line="400" w:lineRule="exact"/>
              <w:jc w:val="center"/>
              <w:rPr>
                <w:rFonts w:ascii="宋体" w:hAnsi="宋体"/>
                <w:color w:val="auto"/>
                <w:szCs w:val="20"/>
                <w:highlight w:val="none"/>
              </w:rPr>
            </w:pPr>
            <w:r>
              <w:rPr>
                <w:rFonts w:ascii="宋体" w:hAnsi="宋体"/>
                <w:color w:val="auto"/>
                <w:szCs w:val="20"/>
                <w:highlight w:val="none"/>
              </w:rPr>
              <w:t>联系人</w:t>
            </w:r>
          </w:p>
        </w:tc>
        <w:tc>
          <w:tcPr>
            <w:tcW w:w="2337" w:type="dxa"/>
            <w:gridSpan w:val="4"/>
            <w:tcBorders>
              <w:top w:val="single" w:color="auto" w:sz="4" w:space="0"/>
              <w:left w:val="single" w:color="auto" w:sz="4" w:space="0"/>
              <w:bottom w:val="single" w:color="auto" w:sz="4" w:space="0"/>
              <w:right w:val="single" w:color="auto" w:sz="4" w:space="0"/>
            </w:tcBorders>
            <w:noWrap w:val="0"/>
            <w:vAlign w:val="center"/>
          </w:tcPr>
          <w:p w14:paraId="1C05FD28">
            <w:pPr>
              <w:topLinePunct/>
              <w:spacing w:line="400" w:lineRule="exact"/>
              <w:jc w:val="center"/>
              <w:rPr>
                <w:rFonts w:ascii="宋体" w:hAnsi="宋体"/>
                <w:color w:val="auto"/>
                <w:szCs w:val="20"/>
                <w:highlight w:val="none"/>
              </w:rPr>
            </w:pPr>
          </w:p>
        </w:tc>
        <w:tc>
          <w:tcPr>
            <w:tcW w:w="1244" w:type="dxa"/>
            <w:tcBorders>
              <w:top w:val="single" w:color="auto" w:sz="4" w:space="0"/>
              <w:left w:val="single" w:color="auto" w:sz="4" w:space="0"/>
              <w:bottom w:val="single" w:color="auto" w:sz="4" w:space="0"/>
              <w:right w:val="single" w:color="auto" w:sz="4" w:space="0"/>
            </w:tcBorders>
            <w:noWrap w:val="0"/>
            <w:vAlign w:val="center"/>
          </w:tcPr>
          <w:p w14:paraId="4939D1B1">
            <w:pPr>
              <w:topLinePunct/>
              <w:spacing w:line="400" w:lineRule="exact"/>
              <w:jc w:val="center"/>
              <w:rPr>
                <w:rFonts w:ascii="宋体" w:hAnsi="宋体"/>
                <w:color w:val="auto"/>
                <w:szCs w:val="20"/>
                <w:highlight w:val="none"/>
              </w:rPr>
            </w:pPr>
            <w:r>
              <w:rPr>
                <w:rFonts w:ascii="宋体" w:hAnsi="宋体"/>
                <w:color w:val="auto"/>
                <w:szCs w:val="20"/>
                <w:highlight w:val="none"/>
              </w:rPr>
              <w:t>电 话</w:t>
            </w:r>
          </w:p>
        </w:tc>
        <w:tc>
          <w:tcPr>
            <w:tcW w:w="2331" w:type="dxa"/>
            <w:gridSpan w:val="3"/>
            <w:tcBorders>
              <w:top w:val="single" w:color="auto" w:sz="4" w:space="0"/>
              <w:left w:val="single" w:color="auto" w:sz="4" w:space="0"/>
              <w:bottom w:val="single" w:color="auto" w:sz="4" w:space="0"/>
              <w:right w:val="single" w:color="auto" w:sz="4" w:space="0"/>
            </w:tcBorders>
            <w:noWrap w:val="0"/>
            <w:vAlign w:val="center"/>
          </w:tcPr>
          <w:p w14:paraId="4F303A9E">
            <w:pPr>
              <w:topLinePunct/>
              <w:spacing w:line="400" w:lineRule="exact"/>
              <w:jc w:val="center"/>
              <w:rPr>
                <w:rFonts w:ascii="宋体" w:hAnsi="宋体"/>
                <w:color w:val="auto"/>
                <w:szCs w:val="20"/>
                <w:highlight w:val="none"/>
              </w:rPr>
            </w:pPr>
          </w:p>
        </w:tc>
      </w:tr>
      <w:tr w14:paraId="6F7C6A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17" w:type="dxa"/>
            <w:vMerge w:val="continue"/>
            <w:tcBorders>
              <w:top w:val="single" w:color="auto" w:sz="4" w:space="0"/>
              <w:left w:val="single" w:color="auto" w:sz="4" w:space="0"/>
              <w:bottom w:val="single" w:color="auto" w:sz="4" w:space="0"/>
              <w:right w:val="single" w:color="auto" w:sz="4" w:space="0"/>
            </w:tcBorders>
            <w:noWrap w:val="0"/>
            <w:vAlign w:val="center"/>
          </w:tcPr>
          <w:p w14:paraId="3E591CF6">
            <w:pPr>
              <w:topLinePunct/>
              <w:spacing w:line="400" w:lineRule="exact"/>
              <w:jc w:val="center"/>
              <w:rPr>
                <w:rFonts w:ascii="宋体" w:hAnsi="宋体"/>
                <w:color w:val="auto"/>
                <w:szCs w:val="20"/>
                <w:highlight w:val="none"/>
              </w:rPr>
            </w:pPr>
          </w:p>
        </w:tc>
        <w:tc>
          <w:tcPr>
            <w:tcW w:w="893" w:type="dxa"/>
            <w:tcBorders>
              <w:top w:val="single" w:color="auto" w:sz="4" w:space="0"/>
              <w:left w:val="single" w:color="auto" w:sz="4" w:space="0"/>
              <w:bottom w:val="single" w:color="auto" w:sz="4" w:space="0"/>
              <w:right w:val="single" w:color="auto" w:sz="4" w:space="0"/>
            </w:tcBorders>
            <w:noWrap w:val="0"/>
            <w:vAlign w:val="center"/>
          </w:tcPr>
          <w:p w14:paraId="0E15E282">
            <w:pPr>
              <w:topLinePunct/>
              <w:spacing w:line="400" w:lineRule="exact"/>
              <w:jc w:val="center"/>
              <w:rPr>
                <w:rFonts w:ascii="宋体" w:hAnsi="宋体"/>
                <w:color w:val="auto"/>
                <w:szCs w:val="20"/>
                <w:highlight w:val="none"/>
              </w:rPr>
            </w:pPr>
            <w:r>
              <w:rPr>
                <w:rFonts w:ascii="宋体" w:hAnsi="宋体"/>
                <w:color w:val="auto"/>
                <w:szCs w:val="20"/>
                <w:highlight w:val="none"/>
              </w:rPr>
              <w:t>传  真</w:t>
            </w:r>
          </w:p>
        </w:tc>
        <w:tc>
          <w:tcPr>
            <w:tcW w:w="2337" w:type="dxa"/>
            <w:gridSpan w:val="4"/>
            <w:tcBorders>
              <w:top w:val="single" w:color="auto" w:sz="4" w:space="0"/>
              <w:left w:val="single" w:color="auto" w:sz="4" w:space="0"/>
              <w:bottom w:val="single" w:color="auto" w:sz="4" w:space="0"/>
              <w:right w:val="single" w:color="auto" w:sz="4" w:space="0"/>
            </w:tcBorders>
            <w:noWrap w:val="0"/>
            <w:vAlign w:val="center"/>
          </w:tcPr>
          <w:p w14:paraId="75F15B6B">
            <w:pPr>
              <w:topLinePunct/>
              <w:spacing w:line="400" w:lineRule="exact"/>
              <w:jc w:val="center"/>
              <w:rPr>
                <w:rFonts w:ascii="宋体" w:hAnsi="宋体"/>
                <w:color w:val="auto"/>
                <w:szCs w:val="20"/>
                <w:highlight w:val="none"/>
              </w:rPr>
            </w:pPr>
          </w:p>
        </w:tc>
        <w:tc>
          <w:tcPr>
            <w:tcW w:w="1244" w:type="dxa"/>
            <w:tcBorders>
              <w:top w:val="single" w:color="auto" w:sz="4" w:space="0"/>
              <w:left w:val="single" w:color="auto" w:sz="4" w:space="0"/>
              <w:bottom w:val="single" w:color="auto" w:sz="4" w:space="0"/>
              <w:right w:val="single" w:color="auto" w:sz="4" w:space="0"/>
            </w:tcBorders>
            <w:noWrap w:val="0"/>
            <w:vAlign w:val="center"/>
          </w:tcPr>
          <w:p w14:paraId="2A8BE7E7">
            <w:pPr>
              <w:topLinePunct/>
              <w:spacing w:line="400" w:lineRule="exact"/>
              <w:jc w:val="center"/>
              <w:rPr>
                <w:rFonts w:ascii="宋体" w:hAnsi="宋体"/>
                <w:color w:val="auto"/>
                <w:szCs w:val="20"/>
                <w:highlight w:val="none"/>
              </w:rPr>
            </w:pPr>
            <w:r>
              <w:rPr>
                <w:rFonts w:ascii="宋体" w:hAnsi="宋体"/>
                <w:color w:val="auto"/>
                <w:szCs w:val="20"/>
                <w:highlight w:val="none"/>
              </w:rPr>
              <w:t>网 址</w:t>
            </w:r>
          </w:p>
        </w:tc>
        <w:tc>
          <w:tcPr>
            <w:tcW w:w="2331" w:type="dxa"/>
            <w:gridSpan w:val="3"/>
            <w:tcBorders>
              <w:top w:val="single" w:color="auto" w:sz="4" w:space="0"/>
              <w:left w:val="single" w:color="auto" w:sz="4" w:space="0"/>
              <w:bottom w:val="single" w:color="auto" w:sz="4" w:space="0"/>
              <w:right w:val="single" w:color="auto" w:sz="4" w:space="0"/>
            </w:tcBorders>
            <w:noWrap w:val="0"/>
            <w:vAlign w:val="center"/>
          </w:tcPr>
          <w:p w14:paraId="3B2A8821">
            <w:pPr>
              <w:topLinePunct/>
              <w:spacing w:line="400" w:lineRule="exact"/>
              <w:jc w:val="center"/>
              <w:rPr>
                <w:rFonts w:ascii="宋体" w:hAnsi="宋体"/>
                <w:color w:val="auto"/>
                <w:szCs w:val="20"/>
                <w:highlight w:val="none"/>
              </w:rPr>
            </w:pPr>
          </w:p>
        </w:tc>
      </w:tr>
      <w:tr w14:paraId="1D5D26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4B690ECB">
            <w:pPr>
              <w:topLinePunct/>
              <w:spacing w:line="400" w:lineRule="exact"/>
              <w:jc w:val="center"/>
              <w:rPr>
                <w:rFonts w:ascii="宋体" w:hAnsi="宋体"/>
                <w:color w:val="auto"/>
                <w:szCs w:val="20"/>
                <w:highlight w:val="none"/>
              </w:rPr>
            </w:pPr>
            <w:r>
              <w:rPr>
                <w:rFonts w:ascii="宋体" w:hAnsi="宋体"/>
                <w:color w:val="auto"/>
                <w:szCs w:val="20"/>
                <w:highlight w:val="none"/>
              </w:rPr>
              <w:t>组织结构</w:t>
            </w:r>
          </w:p>
        </w:tc>
        <w:tc>
          <w:tcPr>
            <w:tcW w:w="6805" w:type="dxa"/>
            <w:gridSpan w:val="9"/>
            <w:tcBorders>
              <w:top w:val="single" w:color="auto" w:sz="4" w:space="0"/>
              <w:left w:val="single" w:color="auto" w:sz="4" w:space="0"/>
              <w:bottom w:val="single" w:color="auto" w:sz="4" w:space="0"/>
              <w:right w:val="single" w:color="auto" w:sz="4" w:space="0"/>
            </w:tcBorders>
            <w:noWrap w:val="0"/>
            <w:vAlign w:val="center"/>
          </w:tcPr>
          <w:p w14:paraId="67669556">
            <w:pPr>
              <w:topLinePunct/>
              <w:spacing w:line="400" w:lineRule="exact"/>
              <w:jc w:val="center"/>
              <w:rPr>
                <w:rFonts w:ascii="宋体" w:hAnsi="宋体"/>
                <w:color w:val="auto"/>
                <w:szCs w:val="20"/>
                <w:highlight w:val="none"/>
              </w:rPr>
            </w:pPr>
          </w:p>
        </w:tc>
      </w:tr>
      <w:tr w14:paraId="224AD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08F45B49">
            <w:pPr>
              <w:topLinePunct/>
              <w:spacing w:line="400" w:lineRule="exact"/>
              <w:jc w:val="center"/>
              <w:rPr>
                <w:rFonts w:ascii="宋体" w:hAnsi="宋体"/>
                <w:color w:val="auto"/>
                <w:szCs w:val="20"/>
                <w:highlight w:val="none"/>
              </w:rPr>
            </w:pPr>
            <w:r>
              <w:rPr>
                <w:rFonts w:ascii="宋体" w:hAnsi="宋体"/>
                <w:color w:val="auto"/>
                <w:szCs w:val="20"/>
                <w:highlight w:val="none"/>
              </w:rPr>
              <w:t>法定代表人</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1C0FB3E3">
            <w:pPr>
              <w:topLinePunct/>
              <w:spacing w:line="400" w:lineRule="exact"/>
              <w:jc w:val="center"/>
              <w:rPr>
                <w:rFonts w:ascii="宋体" w:hAnsi="宋体"/>
                <w:color w:val="auto"/>
                <w:szCs w:val="20"/>
                <w:highlight w:val="none"/>
              </w:rPr>
            </w:pPr>
            <w:r>
              <w:rPr>
                <w:rFonts w:ascii="宋体" w:hAnsi="宋体"/>
                <w:color w:val="auto"/>
                <w:szCs w:val="20"/>
                <w:highlight w:val="none"/>
              </w:rPr>
              <w:t>姓名</w:t>
            </w:r>
          </w:p>
        </w:tc>
        <w:tc>
          <w:tcPr>
            <w:tcW w:w="946" w:type="dxa"/>
            <w:tcBorders>
              <w:top w:val="single" w:color="auto" w:sz="4" w:space="0"/>
              <w:left w:val="single" w:color="auto" w:sz="4" w:space="0"/>
              <w:bottom w:val="single" w:color="auto" w:sz="4" w:space="0"/>
              <w:right w:val="single" w:color="auto" w:sz="4" w:space="0"/>
            </w:tcBorders>
            <w:noWrap w:val="0"/>
            <w:vAlign w:val="center"/>
          </w:tcPr>
          <w:p w14:paraId="3B5EC948">
            <w:pPr>
              <w:topLinePunct/>
              <w:spacing w:line="400" w:lineRule="exact"/>
              <w:jc w:val="center"/>
              <w:rPr>
                <w:rFonts w:ascii="宋体" w:hAnsi="宋体"/>
                <w:color w:val="auto"/>
                <w:szCs w:val="20"/>
                <w:highlight w:val="none"/>
              </w:rPr>
            </w:pPr>
          </w:p>
        </w:tc>
        <w:tc>
          <w:tcPr>
            <w:tcW w:w="1253" w:type="dxa"/>
            <w:gridSpan w:val="2"/>
            <w:tcBorders>
              <w:top w:val="single" w:color="auto" w:sz="4" w:space="0"/>
              <w:left w:val="single" w:color="auto" w:sz="4" w:space="0"/>
              <w:bottom w:val="single" w:color="auto" w:sz="4" w:space="0"/>
              <w:right w:val="single" w:color="auto" w:sz="4" w:space="0"/>
            </w:tcBorders>
            <w:noWrap w:val="0"/>
            <w:vAlign w:val="center"/>
          </w:tcPr>
          <w:p w14:paraId="31EFDABF">
            <w:pPr>
              <w:topLinePunct/>
              <w:spacing w:line="400" w:lineRule="exact"/>
              <w:jc w:val="center"/>
              <w:rPr>
                <w:rFonts w:ascii="宋体" w:hAnsi="宋体"/>
                <w:color w:val="auto"/>
                <w:szCs w:val="20"/>
                <w:highlight w:val="none"/>
              </w:rPr>
            </w:pPr>
            <w:r>
              <w:rPr>
                <w:rFonts w:ascii="宋体" w:hAnsi="宋体"/>
                <w:color w:val="auto"/>
                <w:szCs w:val="20"/>
                <w:highlight w:val="none"/>
              </w:rPr>
              <w:t>技术职称</w:t>
            </w:r>
          </w:p>
        </w:tc>
        <w:tc>
          <w:tcPr>
            <w:tcW w:w="1564" w:type="dxa"/>
            <w:gridSpan w:val="3"/>
            <w:tcBorders>
              <w:top w:val="single" w:color="auto" w:sz="4" w:space="0"/>
              <w:left w:val="single" w:color="auto" w:sz="4" w:space="0"/>
              <w:bottom w:val="single" w:color="auto" w:sz="4" w:space="0"/>
              <w:right w:val="single" w:color="auto" w:sz="4" w:space="0"/>
            </w:tcBorders>
            <w:noWrap w:val="0"/>
            <w:vAlign w:val="center"/>
          </w:tcPr>
          <w:p w14:paraId="2BDF1D62">
            <w:pPr>
              <w:topLinePunct/>
              <w:spacing w:line="400" w:lineRule="exact"/>
              <w:jc w:val="center"/>
              <w:rPr>
                <w:rFonts w:ascii="宋体" w:hAnsi="宋体"/>
                <w:color w:val="auto"/>
                <w:szCs w:val="20"/>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14:paraId="2B90B720">
            <w:pPr>
              <w:topLinePunct/>
              <w:spacing w:line="400" w:lineRule="exact"/>
              <w:jc w:val="center"/>
              <w:rPr>
                <w:rFonts w:ascii="宋体" w:hAnsi="宋体"/>
                <w:color w:val="auto"/>
                <w:szCs w:val="20"/>
                <w:highlight w:val="none"/>
              </w:rPr>
            </w:pPr>
            <w:r>
              <w:rPr>
                <w:rFonts w:ascii="宋体" w:hAnsi="宋体"/>
                <w:color w:val="auto"/>
                <w:szCs w:val="20"/>
                <w:highlight w:val="none"/>
              </w:rPr>
              <w:t>电话</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DBDB2B9">
            <w:pPr>
              <w:topLinePunct/>
              <w:spacing w:line="400" w:lineRule="exact"/>
              <w:jc w:val="center"/>
              <w:rPr>
                <w:rFonts w:ascii="宋体" w:hAnsi="宋体"/>
                <w:color w:val="auto"/>
                <w:szCs w:val="20"/>
                <w:highlight w:val="none"/>
              </w:rPr>
            </w:pPr>
          </w:p>
        </w:tc>
      </w:tr>
      <w:tr w14:paraId="7DB321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35A38A8C">
            <w:pPr>
              <w:topLinePunct/>
              <w:spacing w:line="400" w:lineRule="exact"/>
              <w:jc w:val="center"/>
              <w:rPr>
                <w:rFonts w:ascii="宋体" w:hAnsi="宋体"/>
                <w:color w:val="auto"/>
                <w:szCs w:val="20"/>
                <w:highlight w:val="none"/>
              </w:rPr>
            </w:pPr>
            <w:r>
              <w:rPr>
                <w:rFonts w:ascii="宋体" w:hAnsi="宋体"/>
                <w:color w:val="auto"/>
                <w:szCs w:val="20"/>
                <w:highlight w:val="none"/>
              </w:rPr>
              <w:t>技术负责人</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1F8877A2">
            <w:pPr>
              <w:topLinePunct/>
              <w:spacing w:line="400" w:lineRule="exact"/>
              <w:jc w:val="center"/>
              <w:rPr>
                <w:rFonts w:ascii="宋体" w:hAnsi="宋体"/>
                <w:color w:val="auto"/>
                <w:szCs w:val="20"/>
                <w:highlight w:val="none"/>
              </w:rPr>
            </w:pPr>
            <w:r>
              <w:rPr>
                <w:rFonts w:ascii="宋体" w:hAnsi="宋体"/>
                <w:color w:val="auto"/>
                <w:szCs w:val="20"/>
                <w:highlight w:val="none"/>
              </w:rPr>
              <w:t>姓名</w:t>
            </w:r>
          </w:p>
        </w:tc>
        <w:tc>
          <w:tcPr>
            <w:tcW w:w="946" w:type="dxa"/>
            <w:tcBorders>
              <w:top w:val="single" w:color="auto" w:sz="4" w:space="0"/>
              <w:left w:val="single" w:color="auto" w:sz="4" w:space="0"/>
              <w:bottom w:val="single" w:color="auto" w:sz="4" w:space="0"/>
              <w:right w:val="single" w:color="auto" w:sz="4" w:space="0"/>
            </w:tcBorders>
            <w:noWrap w:val="0"/>
            <w:vAlign w:val="center"/>
          </w:tcPr>
          <w:p w14:paraId="14B8FDBD">
            <w:pPr>
              <w:topLinePunct/>
              <w:spacing w:line="400" w:lineRule="exact"/>
              <w:jc w:val="center"/>
              <w:rPr>
                <w:rFonts w:ascii="宋体" w:hAnsi="宋体"/>
                <w:color w:val="auto"/>
                <w:szCs w:val="20"/>
                <w:highlight w:val="none"/>
              </w:rPr>
            </w:pPr>
          </w:p>
        </w:tc>
        <w:tc>
          <w:tcPr>
            <w:tcW w:w="1253" w:type="dxa"/>
            <w:gridSpan w:val="2"/>
            <w:tcBorders>
              <w:top w:val="single" w:color="auto" w:sz="4" w:space="0"/>
              <w:left w:val="single" w:color="auto" w:sz="4" w:space="0"/>
              <w:bottom w:val="single" w:color="auto" w:sz="4" w:space="0"/>
              <w:right w:val="single" w:color="auto" w:sz="4" w:space="0"/>
            </w:tcBorders>
            <w:noWrap w:val="0"/>
            <w:vAlign w:val="center"/>
          </w:tcPr>
          <w:p w14:paraId="5515F604">
            <w:pPr>
              <w:topLinePunct/>
              <w:spacing w:line="400" w:lineRule="exact"/>
              <w:jc w:val="center"/>
              <w:rPr>
                <w:rFonts w:ascii="宋体" w:hAnsi="宋体"/>
                <w:color w:val="auto"/>
                <w:szCs w:val="20"/>
                <w:highlight w:val="none"/>
              </w:rPr>
            </w:pPr>
            <w:r>
              <w:rPr>
                <w:rFonts w:ascii="宋体" w:hAnsi="宋体"/>
                <w:color w:val="auto"/>
                <w:szCs w:val="20"/>
                <w:highlight w:val="none"/>
              </w:rPr>
              <w:t>技术职称</w:t>
            </w:r>
          </w:p>
        </w:tc>
        <w:tc>
          <w:tcPr>
            <w:tcW w:w="1564" w:type="dxa"/>
            <w:gridSpan w:val="3"/>
            <w:tcBorders>
              <w:top w:val="single" w:color="auto" w:sz="4" w:space="0"/>
              <w:left w:val="single" w:color="auto" w:sz="4" w:space="0"/>
              <w:bottom w:val="single" w:color="auto" w:sz="4" w:space="0"/>
              <w:right w:val="single" w:color="auto" w:sz="4" w:space="0"/>
            </w:tcBorders>
            <w:noWrap w:val="0"/>
            <w:vAlign w:val="center"/>
          </w:tcPr>
          <w:p w14:paraId="06D12D4C">
            <w:pPr>
              <w:topLinePunct/>
              <w:spacing w:line="400" w:lineRule="exact"/>
              <w:jc w:val="center"/>
              <w:rPr>
                <w:rFonts w:ascii="宋体" w:hAnsi="宋体"/>
                <w:color w:val="auto"/>
                <w:szCs w:val="20"/>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14:paraId="61734226">
            <w:pPr>
              <w:topLinePunct/>
              <w:spacing w:line="400" w:lineRule="exact"/>
              <w:jc w:val="center"/>
              <w:rPr>
                <w:rFonts w:ascii="宋体" w:hAnsi="宋体"/>
                <w:color w:val="auto"/>
                <w:szCs w:val="20"/>
                <w:highlight w:val="none"/>
              </w:rPr>
            </w:pPr>
            <w:r>
              <w:rPr>
                <w:rFonts w:ascii="宋体" w:hAnsi="宋体"/>
                <w:color w:val="auto"/>
                <w:szCs w:val="20"/>
                <w:highlight w:val="none"/>
              </w:rPr>
              <w:t>电话</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80EF7A7">
            <w:pPr>
              <w:topLinePunct/>
              <w:spacing w:line="400" w:lineRule="exact"/>
              <w:jc w:val="center"/>
              <w:rPr>
                <w:rFonts w:ascii="宋体" w:hAnsi="宋体"/>
                <w:color w:val="auto"/>
                <w:szCs w:val="20"/>
                <w:highlight w:val="none"/>
              </w:rPr>
            </w:pPr>
          </w:p>
        </w:tc>
      </w:tr>
      <w:tr w14:paraId="5C945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529D3B27">
            <w:pPr>
              <w:topLinePunct/>
              <w:spacing w:line="400" w:lineRule="exact"/>
              <w:jc w:val="center"/>
              <w:rPr>
                <w:rFonts w:ascii="宋体" w:hAnsi="宋体"/>
                <w:color w:val="auto"/>
                <w:szCs w:val="20"/>
                <w:highlight w:val="none"/>
              </w:rPr>
            </w:pPr>
            <w:r>
              <w:rPr>
                <w:rFonts w:ascii="宋体" w:hAnsi="宋体"/>
                <w:color w:val="auto"/>
                <w:szCs w:val="20"/>
                <w:highlight w:val="none"/>
              </w:rPr>
              <w:t>成立时间</w:t>
            </w:r>
          </w:p>
        </w:tc>
        <w:tc>
          <w:tcPr>
            <w:tcW w:w="1839" w:type="dxa"/>
            <w:gridSpan w:val="2"/>
            <w:tcBorders>
              <w:top w:val="single" w:color="auto" w:sz="4" w:space="0"/>
              <w:left w:val="single" w:color="auto" w:sz="4" w:space="0"/>
              <w:bottom w:val="single" w:color="auto" w:sz="4" w:space="0"/>
              <w:right w:val="single" w:color="auto" w:sz="4" w:space="0"/>
            </w:tcBorders>
            <w:noWrap w:val="0"/>
            <w:vAlign w:val="center"/>
          </w:tcPr>
          <w:p w14:paraId="5028A697">
            <w:pPr>
              <w:topLinePunct/>
              <w:spacing w:line="400" w:lineRule="exact"/>
              <w:jc w:val="center"/>
              <w:rPr>
                <w:rFonts w:ascii="宋体" w:hAnsi="宋体"/>
                <w:color w:val="auto"/>
                <w:szCs w:val="20"/>
                <w:highlight w:val="none"/>
              </w:rPr>
            </w:pPr>
          </w:p>
        </w:tc>
        <w:tc>
          <w:tcPr>
            <w:tcW w:w="2817" w:type="dxa"/>
            <w:gridSpan w:val="5"/>
            <w:tcBorders>
              <w:top w:val="single" w:color="auto" w:sz="4" w:space="0"/>
              <w:left w:val="single" w:color="auto" w:sz="4" w:space="0"/>
              <w:bottom w:val="single" w:color="auto" w:sz="4" w:space="0"/>
              <w:right w:val="single" w:color="auto" w:sz="4" w:space="0"/>
            </w:tcBorders>
            <w:noWrap w:val="0"/>
            <w:vAlign w:val="center"/>
          </w:tcPr>
          <w:p w14:paraId="4953F7E5">
            <w:pPr>
              <w:topLinePunct/>
              <w:spacing w:line="400" w:lineRule="exact"/>
              <w:jc w:val="center"/>
              <w:rPr>
                <w:rFonts w:ascii="宋体" w:hAnsi="宋体"/>
                <w:color w:val="auto"/>
                <w:szCs w:val="20"/>
                <w:highlight w:val="none"/>
              </w:rPr>
            </w:pPr>
            <w:r>
              <w:rPr>
                <w:rFonts w:ascii="宋体" w:hAnsi="宋体"/>
                <w:color w:val="auto"/>
                <w:szCs w:val="20"/>
                <w:highlight w:val="none"/>
              </w:rPr>
              <w:t>员工总人数：</w:t>
            </w:r>
          </w:p>
        </w:tc>
        <w:tc>
          <w:tcPr>
            <w:tcW w:w="2149" w:type="dxa"/>
            <w:gridSpan w:val="2"/>
            <w:tcBorders>
              <w:top w:val="single" w:color="auto" w:sz="4" w:space="0"/>
              <w:left w:val="single" w:color="auto" w:sz="4" w:space="0"/>
              <w:bottom w:val="single" w:color="auto" w:sz="4" w:space="0"/>
              <w:right w:val="single" w:color="auto" w:sz="4" w:space="0"/>
            </w:tcBorders>
            <w:noWrap w:val="0"/>
            <w:vAlign w:val="center"/>
          </w:tcPr>
          <w:p w14:paraId="365EC14D">
            <w:pPr>
              <w:topLinePunct/>
              <w:spacing w:line="400" w:lineRule="exact"/>
              <w:ind w:firstLine="1050" w:firstLineChars="500"/>
              <w:rPr>
                <w:rFonts w:ascii="宋体" w:hAnsi="宋体"/>
                <w:color w:val="auto"/>
                <w:szCs w:val="20"/>
                <w:highlight w:val="none"/>
              </w:rPr>
            </w:pPr>
          </w:p>
        </w:tc>
      </w:tr>
      <w:tr w14:paraId="3FC616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5997AD99">
            <w:pPr>
              <w:topLinePunct/>
              <w:spacing w:line="400" w:lineRule="exact"/>
              <w:jc w:val="center"/>
              <w:rPr>
                <w:rFonts w:ascii="宋体" w:hAnsi="宋体"/>
                <w:color w:val="auto"/>
                <w:szCs w:val="20"/>
                <w:highlight w:val="none"/>
              </w:rPr>
            </w:pPr>
            <w:r>
              <w:rPr>
                <w:rFonts w:ascii="宋体" w:hAnsi="宋体"/>
                <w:color w:val="auto"/>
                <w:szCs w:val="20"/>
                <w:highlight w:val="none"/>
              </w:rPr>
              <w:t>企业资质等级</w:t>
            </w:r>
          </w:p>
        </w:tc>
        <w:tc>
          <w:tcPr>
            <w:tcW w:w="1839" w:type="dxa"/>
            <w:gridSpan w:val="2"/>
            <w:tcBorders>
              <w:top w:val="single" w:color="auto" w:sz="4" w:space="0"/>
              <w:left w:val="single" w:color="auto" w:sz="4" w:space="0"/>
              <w:bottom w:val="single" w:color="auto" w:sz="4" w:space="0"/>
              <w:right w:val="single" w:color="auto" w:sz="4" w:space="0"/>
            </w:tcBorders>
            <w:noWrap w:val="0"/>
            <w:vAlign w:val="center"/>
          </w:tcPr>
          <w:p w14:paraId="632574C8">
            <w:pPr>
              <w:topLinePunct/>
              <w:spacing w:line="400" w:lineRule="exact"/>
              <w:jc w:val="center"/>
              <w:rPr>
                <w:rFonts w:ascii="宋体" w:hAnsi="宋体"/>
                <w:color w:val="auto"/>
                <w:szCs w:val="20"/>
                <w:highlight w:val="none"/>
              </w:rPr>
            </w:pPr>
          </w:p>
        </w:tc>
        <w:tc>
          <w:tcPr>
            <w:tcW w:w="835" w:type="dxa"/>
            <w:vMerge w:val="restart"/>
            <w:tcBorders>
              <w:top w:val="single" w:color="auto" w:sz="4" w:space="0"/>
              <w:left w:val="single" w:color="auto" w:sz="4" w:space="0"/>
              <w:bottom w:val="single" w:color="auto" w:sz="4" w:space="0"/>
              <w:right w:val="single" w:color="auto" w:sz="4" w:space="0"/>
            </w:tcBorders>
            <w:noWrap w:val="0"/>
            <w:vAlign w:val="center"/>
          </w:tcPr>
          <w:p w14:paraId="5051D3DE">
            <w:pPr>
              <w:topLinePunct/>
              <w:spacing w:line="400" w:lineRule="exact"/>
              <w:jc w:val="center"/>
              <w:rPr>
                <w:rFonts w:ascii="宋体" w:hAnsi="宋体"/>
                <w:color w:val="auto"/>
                <w:szCs w:val="20"/>
                <w:highlight w:val="none"/>
              </w:rPr>
            </w:pPr>
            <w:r>
              <w:rPr>
                <w:rFonts w:ascii="宋体" w:hAnsi="宋体"/>
                <w:color w:val="auto"/>
                <w:szCs w:val="20"/>
                <w:highlight w:val="none"/>
              </w:rPr>
              <w:t>其中</w:t>
            </w:r>
          </w:p>
        </w:tc>
        <w:tc>
          <w:tcPr>
            <w:tcW w:w="1982" w:type="dxa"/>
            <w:gridSpan w:val="4"/>
            <w:tcBorders>
              <w:top w:val="single" w:color="auto" w:sz="4" w:space="0"/>
              <w:left w:val="single" w:color="auto" w:sz="4" w:space="0"/>
              <w:bottom w:val="single" w:color="auto" w:sz="4" w:space="0"/>
              <w:right w:val="single" w:color="auto" w:sz="4" w:space="0"/>
            </w:tcBorders>
            <w:noWrap w:val="0"/>
            <w:vAlign w:val="center"/>
          </w:tcPr>
          <w:p w14:paraId="398F97A6">
            <w:pPr>
              <w:topLinePunct/>
              <w:spacing w:line="400" w:lineRule="exact"/>
              <w:jc w:val="center"/>
              <w:rPr>
                <w:rFonts w:ascii="宋体" w:hAnsi="宋体"/>
                <w:color w:val="auto"/>
                <w:szCs w:val="20"/>
                <w:highlight w:val="none"/>
              </w:rPr>
            </w:pPr>
            <w:r>
              <w:rPr>
                <w:rFonts w:ascii="宋体" w:hAnsi="宋体"/>
                <w:color w:val="auto"/>
                <w:szCs w:val="20"/>
                <w:highlight w:val="none"/>
              </w:rPr>
              <w:t>项目负责人</w:t>
            </w:r>
          </w:p>
        </w:tc>
        <w:tc>
          <w:tcPr>
            <w:tcW w:w="2149" w:type="dxa"/>
            <w:gridSpan w:val="2"/>
            <w:tcBorders>
              <w:top w:val="single" w:color="auto" w:sz="4" w:space="0"/>
              <w:left w:val="single" w:color="auto" w:sz="4" w:space="0"/>
              <w:bottom w:val="single" w:color="auto" w:sz="4" w:space="0"/>
              <w:right w:val="single" w:color="auto" w:sz="4" w:space="0"/>
            </w:tcBorders>
            <w:noWrap w:val="0"/>
            <w:vAlign w:val="center"/>
          </w:tcPr>
          <w:p w14:paraId="1CEA33CA">
            <w:pPr>
              <w:topLinePunct/>
              <w:spacing w:line="400" w:lineRule="exact"/>
              <w:jc w:val="center"/>
              <w:rPr>
                <w:rFonts w:ascii="宋体" w:hAnsi="宋体"/>
                <w:color w:val="auto"/>
                <w:szCs w:val="20"/>
                <w:highlight w:val="none"/>
              </w:rPr>
            </w:pPr>
          </w:p>
        </w:tc>
      </w:tr>
      <w:tr w14:paraId="041109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11D4B140">
            <w:pPr>
              <w:topLinePunct/>
              <w:spacing w:line="400" w:lineRule="exact"/>
              <w:jc w:val="center"/>
              <w:rPr>
                <w:rFonts w:ascii="宋体" w:hAnsi="宋体"/>
                <w:color w:val="auto"/>
                <w:szCs w:val="20"/>
                <w:highlight w:val="none"/>
              </w:rPr>
            </w:pPr>
            <w:r>
              <w:rPr>
                <w:rFonts w:ascii="宋体" w:hAnsi="宋体"/>
                <w:color w:val="auto"/>
                <w:szCs w:val="20"/>
                <w:highlight w:val="none"/>
              </w:rPr>
              <w:t>营业执照号</w:t>
            </w:r>
          </w:p>
        </w:tc>
        <w:tc>
          <w:tcPr>
            <w:tcW w:w="1839" w:type="dxa"/>
            <w:gridSpan w:val="2"/>
            <w:tcBorders>
              <w:top w:val="single" w:color="auto" w:sz="4" w:space="0"/>
              <w:left w:val="single" w:color="auto" w:sz="4" w:space="0"/>
              <w:bottom w:val="single" w:color="auto" w:sz="4" w:space="0"/>
              <w:right w:val="single" w:color="auto" w:sz="4" w:space="0"/>
            </w:tcBorders>
            <w:noWrap w:val="0"/>
            <w:vAlign w:val="center"/>
          </w:tcPr>
          <w:p w14:paraId="78D5BAA3">
            <w:pPr>
              <w:topLinePunct/>
              <w:spacing w:line="400" w:lineRule="exact"/>
              <w:jc w:val="center"/>
              <w:rPr>
                <w:rFonts w:ascii="宋体" w:hAnsi="宋体"/>
                <w:color w:val="auto"/>
                <w:szCs w:val="20"/>
                <w:highlight w:val="none"/>
              </w:rPr>
            </w:pPr>
          </w:p>
        </w:tc>
        <w:tc>
          <w:tcPr>
            <w:tcW w:w="835" w:type="dxa"/>
            <w:vMerge w:val="continue"/>
            <w:tcBorders>
              <w:top w:val="single" w:color="auto" w:sz="4" w:space="0"/>
              <w:left w:val="single" w:color="auto" w:sz="4" w:space="0"/>
              <w:bottom w:val="single" w:color="auto" w:sz="4" w:space="0"/>
              <w:right w:val="single" w:color="auto" w:sz="4" w:space="0"/>
            </w:tcBorders>
            <w:noWrap w:val="0"/>
            <w:vAlign w:val="center"/>
          </w:tcPr>
          <w:p w14:paraId="31F1FC79">
            <w:pPr>
              <w:topLinePunct/>
              <w:spacing w:line="400" w:lineRule="exact"/>
              <w:jc w:val="center"/>
              <w:rPr>
                <w:rFonts w:ascii="宋体" w:hAnsi="宋体"/>
                <w:color w:val="auto"/>
                <w:szCs w:val="20"/>
                <w:highlight w:val="none"/>
              </w:rPr>
            </w:pPr>
          </w:p>
        </w:tc>
        <w:tc>
          <w:tcPr>
            <w:tcW w:w="1982" w:type="dxa"/>
            <w:gridSpan w:val="4"/>
            <w:tcBorders>
              <w:top w:val="single" w:color="auto" w:sz="4" w:space="0"/>
              <w:left w:val="single" w:color="auto" w:sz="4" w:space="0"/>
              <w:bottom w:val="single" w:color="auto" w:sz="4" w:space="0"/>
              <w:right w:val="single" w:color="auto" w:sz="4" w:space="0"/>
            </w:tcBorders>
            <w:noWrap w:val="0"/>
            <w:vAlign w:val="center"/>
          </w:tcPr>
          <w:p w14:paraId="522D5B56">
            <w:pPr>
              <w:topLinePunct/>
              <w:spacing w:line="400" w:lineRule="exact"/>
              <w:jc w:val="center"/>
              <w:rPr>
                <w:rFonts w:ascii="宋体" w:hAnsi="宋体"/>
                <w:color w:val="auto"/>
                <w:szCs w:val="20"/>
                <w:highlight w:val="none"/>
              </w:rPr>
            </w:pPr>
            <w:r>
              <w:rPr>
                <w:rFonts w:ascii="宋体" w:hAnsi="宋体"/>
                <w:color w:val="auto"/>
                <w:szCs w:val="20"/>
                <w:highlight w:val="none"/>
              </w:rPr>
              <w:t>高级职称人员</w:t>
            </w:r>
          </w:p>
        </w:tc>
        <w:tc>
          <w:tcPr>
            <w:tcW w:w="2149" w:type="dxa"/>
            <w:gridSpan w:val="2"/>
            <w:tcBorders>
              <w:top w:val="single" w:color="auto" w:sz="4" w:space="0"/>
              <w:left w:val="single" w:color="auto" w:sz="4" w:space="0"/>
              <w:bottom w:val="single" w:color="auto" w:sz="4" w:space="0"/>
              <w:right w:val="single" w:color="auto" w:sz="4" w:space="0"/>
            </w:tcBorders>
            <w:noWrap w:val="0"/>
            <w:vAlign w:val="center"/>
          </w:tcPr>
          <w:p w14:paraId="6636FF2C">
            <w:pPr>
              <w:topLinePunct/>
              <w:spacing w:line="400" w:lineRule="exact"/>
              <w:jc w:val="center"/>
              <w:rPr>
                <w:rFonts w:ascii="宋体" w:hAnsi="宋体"/>
                <w:color w:val="auto"/>
                <w:szCs w:val="20"/>
                <w:highlight w:val="none"/>
              </w:rPr>
            </w:pPr>
          </w:p>
        </w:tc>
      </w:tr>
      <w:tr w14:paraId="74C8B5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05CAB79D">
            <w:pPr>
              <w:topLinePunct/>
              <w:spacing w:line="400" w:lineRule="exact"/>
              <w:jc w:val="center"/>
              <w:rPr>
                <w:rFonts w:ascii="宋体" w:hAnsi="宋体"/>
                <w:color w:val="auto"/>
                <w:szCs w:val="20"/>
                <w:highlight w:val="none"/>
              </w:rPr>
            </w:pPr>
            <w:r>
              <w:rPr>
                <w:rFonts w:ascii="宋体" w:hAnsi="宋体"/>
                <w:color w:val="auto"/>
                <w:szCs w:val="20"/>
                <w:highlight w:val="none"/>
              </w:rPr>
              <w:t>注册资金</w:t>
            </w:r>
          </w:p>
        </w:tc>
        <w:tc>
          <w:tcPr>
            <w:tcW w:w="1839" w:type="dxa"/>
            <w:gridSpan w:val="2"/>
            <w:tcBorders>
              <w:top w:val="single" w:color="auto" w:sz="4" w:space="0"/>
              <w:left w:val="single" w:color="auto" w:sz="4" w:space="0"/>
              <w:bottom w:val="single" w:color="auto" w:sz="4" w:space="0"/>
              <w:right w:val="single" w:color="auto" w:sz="4" w:space="0"/>
            </w:tcBorders>
            <w:noWrap w:val="0"/>
            <w:vAlign w:val="center"/>
          </w:tcPr>
          <w:p w14:paraId="56B827DC">
            <w:pPr>
              <w:topLinePunct/>
              <w:spacing w:line="400" w:lineRule="exact"/>
              <w:jc w:val="center"/>
              <w:rPr>
                <w:rFonts w:ascii="宋体" w:hAnsi="宋体"/>
                <w:color w:val="auto"/>
                <w:szCs w:val="20"/>
                <w:highlight w:val="none"/>
              </w:rPr>
            </w:pPr>
          </w:p>
        </w:tc>
        <w:tc>
          <w:tcPr>
            <w:tcW w:w="835" w:type="dxa"/>
            <w:vMerge w:val="continue"/>
            <w:tcBorders>
              <w:top w:val="single" w:color="auto" w:sz="4" w:space="0"/>
              <w:left w:val="single" w:color="auto" w:sz="4" w:space="0"/>
              <w:bottom w:val="single" w:color="auto" w:sz="4" w:space="0"/>
              <w:right w:val="single" w:color="auto" w:sz="4" w:space="0"/>
            </w:tcBorders>
            <w:noWrap w:val="0"/>
            <w:vAlign w:val="center"/>
          </w:tcPr>
          <w:p w14:paraId="128AFC73">
            <w:pPr>
              <w:topLinePunct/>
              <w:spacing w:line="400" w:lineRule="exact"/>
              <w:jc w:val="center"/>
              <w:rPr>
                <w:rFonts w:ascii="宋体" w:hAnsi="宋体"/>
                <w:color w:val="auto"/>
                <w:szCs w:val="20"/>
                <w:highlight w:val="none"/>
              </w:rPr>
            </w:pPr>
          </w:p>
        </w:tc>
        <w:tc>
          <w:tcPr>
            <w:tcW w:w="1982" w:type="dxa"/>
            <w:gridSpan w:val="4"/>
            <w:tcBorders>
              <w:top w:val="single" w:color="auto" w:sz="4" w:space="0"/>
              <w:left w:val="single" w:color="auto" w:sz="4" w:space="0"/>
              <w:bottom w:val="single" w:color="auto" w:sz="4" w:space="0"/>
              <w:right w:val="single" w:color="auto" w:sz="4" w:space="0"/>
            </w:tcBorders>
            <w:noWrap w:val="0"/>
            <w:vAlign w:val="center"/>
          </w:tcPr>
          <w:p w14:paraId="0269E20A">
            <w:pPr>
              <w:topLinePunct/>
              <w:spacing w:line="400" w:lineRule="exact"/>
              <w:jc w:val="center"/>
              <w:rPr>
                <w:rFonts w:ascii="宋体" w:hAnsi="宋体"/>
                <w:color w:val="auto"/>
                <w:szCs w:val="20"/>
                <w:highlight w:val="none"/>
              </w:rPr>
            </w:pPr>
            <w:r>
              <w:rPr>
                <w:rFonts w:ascii="宋体" w:hAnsi="宋体"/>
                <w:color w:val="auto"/>
                <w:szCs w:val="20"/>
                <w:highlight w:val="none"/>
              </w:rPr>
              <w:t>中级职称人员</w:t>
            </w:r>
          </w:p>
        </w:tc>
        <w:tc>
          <w:tcPr>
            <w:tcW w:w="2149" w:type="dxa"/>
            <w:gridSpan w:val="2"/>
            <w:tcBorders>
              <w:top w:val="single" w:color="auto" w:sz="4" w:space="0"/>
              <w:left w:val="single" w:color="auto" w:sz="4" w:space="0"/>
              <w:bottom w:val="single" w:color="auto" w:sz="4" w:space="0"/>
              <w:right w:val="single" w:color="auto" w:sz="4" w:space="0"/>
            </w:tcBorders>
            <w:noWrap w:val="0"/>
            <w:vAlign w:val="center"/>
          </w:tcPr>
          <w:p w14:paraId="70D6E4FD">
            <w:pPr>
              <w:topLinePunct/>
              <w:spacing w:line="400" w:lineRule="exact"/>
              <w:jc w:val="center"/>
              <w:rPr>
                <w:rFonts w:ascii="宋体" w:hAnsi="宋体"/>
                <w:color w:val="auto"/>
                <w:szCs w:val="20"/>
                <w:highlight w:val="none"/>
              </w:rPr>
            </w:pPr>
          </w:p>
        </w:tc>
      </w:tr>
      <w:tr w14:paraId="0606AB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5F427110">
            <w:pPr>
              <w:topLinePunct/>
              <w:spacing w:line="400" w:lineRule="exact"/>
              <w:jc w:val="center"/>
              <w:rPr>
                <w:rFonts w:ascii="宋体" w:hAnsi="宋体"/>
                <w:color w:val="auto"/>
                <w:szCs w:val="20"/>
                <w:highlight w:val="none"/>
              </w:rPr>
            </w:pPr>
            <w:r>
              <w:rPr>
                <w:rFonts w:ascii="宋体" w:hAnsi="宋体"/>
                <w:color w:val="auto"/>
                <w:szCs w:val="20"/>
                <w:highlight w:val="none"/>
              </w:rPr>
              <w:t>开户银行</w:t>
            </w:r>
          </w:p>
        </w:tc>
        <w:tc>
          <w:tcPr>
            <w:tcW w:w="1839" w:type="dxa"/>
            <w:gridSpan w:val="2"/>
            <w:tcBorders>
              <w:top w:val="single" w:color="auto" w:sz="4" w:space="0"/>
              <w:left w:val="single" w:color="auto" w:sz="4" w:space="0"/>
              <w:bottom w:val="single" w:color="auto" w:sz="4" w:space="0"/>
              <w:right w:val="single" w:color="auto" w:sz="4" w:space="0"/>
            </w:tcBorders>
            <w:noWrap w:val="0"/>
            <w:vAlign w:val="center"/>
          </w:tcPr>
          <w:p w14:paraId="2668BF46">
            <w:pPr>
              <w:topLinePunct/>
              <w:spacing w:line="400" w:lineRule="exact"/>
              <w:jc w:val="center"/>
              <w:rPr>
                <w:rFonts w:ascii="宋体" w:hAnsi="宋体"/>
                <w:color w:val="auto"/>
                <w:szCs w:val="20"/>
                <w:highlight w:val="none"/>
              </w:rPr>
            </w:pPr>
          </w:p>
        </w:tc>
        <w:tc>
          <w:tcPr>
            <w:tcW w:w="835" w:type="dxa"/>
            <w:vMerge w:val="continue"/>
            <w:tcBorders>
              <w:top w:val="single" w:color="auto" w:sz="4" w:space="0"/>
              <w:left w:val="single" w:color="auto" w:sz="4" w:space="0"/>
              <w:bottom w:val="single" w:color="auto" w:sz="4" w:space="0"/>
              <w:right w:val="single" w:color="auto" w:sz="4" w:space="0"/>
            </w:tcBorders>
            <w:noWrap w:val="0"/>
            <w:vAlign w:val="center"/>
          </w:tcPr>
          <w:p w14:paraId="2FF6475D">
            <w:pPr>
              <w:topLinePunct/>
              <w:spacing w:line="400" w:lineRule="exact"/>
              <w:jc w:val="center"/>
              <w:rPr>
                <w:rFonts w:ascii="宋体" w:hAnsi="宋体"/>
                <w:color w:val="auto"/>
                <w:szCs w:val="20"/>
                <w:highlight w:val="none"/>
              </w:rPr>
            </w:pPr>
          </w:p>
        </w:tc>
        <w:tc>
          <w:tcPr>
            <w:tcW w:w="1982" w:type="dxa"/>
            <w:gridSpan w:val="4"/>
            <w:tcBorders>
              <w:top w:val="single" w:color="auto" w:sz="4" w:space="0"/>
              <w:left w:val="single" w:color="auto" w:sz="4" w:space="0"/>
              <w:bottom w:val="single" w:color="auto" w:sz="4" w:space="0"/>
              <w:right w:val="single" w:color="auto" w:sz="4" w:space="0"/>
            </w:tcBorders>
            <w:noWrap w:val="0"/>
            <w:vAlign w:val="center"/>
          </w:tcPr>
          <w:p w14:paraId="08D68C3F">
            <w:pPr>
              <w:topLinePunct/>
              <w:spacing w:line="400" w:lineRule="exact"/>
              <w:jc w:val="center"/>
              <w:rPr>
                <w:rFonts w:ascii="宋体" w:hAnsi="宋体"/>
                <w:color w:val="auto"/>
                <w:szCs w:val="20"/>
                <w:highlight w:val="none"/>
              </w:rPr>
            </w:pPr>
            <w:r>
              <w:rPr>
                <w:rFonts w:ascii="宋体" w:hAnsi="宋体"/>
                <w:color w:val="auto"/>
                <w:szCs w:val="20"/>
                <w:highlight w:val="none"/>
              </w:rPr>
              <w:t>初级职称人员</w:t>
            </w:r>
          </w:p>
        </w:tc>
        <w:tc>
          <w:tcPr>
            <w:tcW w:w="2149" w:type="dxa"/>
            <w:gridSpan w:val="2"/>
            <w:tcBorders>
              <w:top w:val="single" w:color="auto" w:sz="4" w:space="0"/>
              <w:left w:val="single" w:color="auto" w:sz="4" w:space="0"/>
              <w:bottom w:val="single" w:color="auto" w:sz="4" w:space="0"/>
              <w:right w:val="single" w:color="auto" w:sz="4" w:space="0"/>
            </w:tcBorders>
            <w:noWrap w:val="0"/>
            <w:vAlign w:val="center"/>
          </w:tcPr>
          <w:p w14:paraId="1B0BD9B3">
            <w:pPr>
              <w:topLinePunct/>
              <w:spacing w:line="400" w:lineRule="exact"/>
              <w:jc w:val="center"/>
              <w:rPr>
                <w:rFonts w:ascii="宋体" w:hAnsi="宋体"/>
                <w:color w:val="auto"/>
                <w:szCs w:val="20"/>
                <w:highlight w:val="none"/>
              </w:rPr>
            </w:pPr>
          </w:p>
        </w:tc>
      </w:tr>
      <w:tr w14:paraId="230F2C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1D9D7ADE">
            <w:pPr>
              <w:topLinePunct/>
              <w:spacing w:line="400" w:lineRule="exact"/>
              <w:jc w:val="center"/>
              <w:rPr>
                <w:rFonts w:ascii="宋体" w:hAnsi="宋体"/>
                <w:color w:val="auto"/>
                <w:szCs w:val="20"/>
                <w:highlight w:val="none"/>
              </w:rPr>
            </w:pPr>
            <w:r>
              <w:rPr>
                <w:rFonts w:ascii="宋体" w:hAnsi="宋体"/>
                <w:color w:val="auto"/>
                <w:szCs w:val="20"/>
                <w:highlight w:val="none"/>
              </w:rPr>
              <w:t>账号</w:t>
            </w:r>
          </w:p>
        </w:tc>
        <w:tc>
          <w:tcPr>
            <w:tcW w:w="1839" w:type="dxa"/>
            <w:gridSpan w:val="2"/>
            <w:tcBorders>
              <w:top w:val="single" w:color="auto" w:sz="4" w:space="0"/>
              <w:left w:val="single" w:color="auto" w:sz="4" w:space="0"/>
              <w:bottom w:val="single" w:color="auto" w:sz="4" w:space="0"/>
              <w:right w:val="single" w:color="auto" w:sz="4" w:space="0"/>
            </w:tcBorders>
            <w:noWrap w:val="0"/>
            <w:vAlign w:val="center"/>
          </w:tcPr>
          <w:p w14:paraId="57118A4B">
            <w:pPr>
              <w:topLinePunct/>
              <w:spacing w:line="400" w:lineRule="exact"/>
              <w:jc w:val="center"/>
              <w:rPr>
                <w:rFonts w:ascii="宋体" w:hAnsi="宋体"/>
                <w:color w:val="auto"/>
                <w:szCs w:val="20"/>
                <w:highlight w:val="none"/>
              </w:rPr>
            </w:pPr>
          </w:p>
        </w:tc>
        <w:tc>
          <w:tcPr>
            <w:tcW w:w="835" w:type="dxa"/>
            <w:vMerge w:val="continue"/>
            <w:tcBorders>
              <w:top w:val="single" w:color="auto" w:sz="4" w:space="0"/>
              <w:left w:val="single" w:color="auto" w:sz="4" w:space="0"/>
              <w:bottom w:val="single" w:color="auto" w:sz="4" w:space="0"/>
              <w:right w:val="single" w:color="auto" w:sz="4" w:space="0"/>
            </w:tcBorders>
            <w:noWrap w:val="0"/>
            <w:vAlign w:val="center"/>
          </w:tcPr>
          <w:p w14:paraId="2396E816">
            <w:pPr>
              <w:topLinePunct/>
              <w:spacing w:line="400" w:lineRule="exact"/>
              <w:jc w:val="center"/>
              <w:rPr>
                <w:rFonts w:ascii="宋体" w:hAnsi="宋体"/>
                <w:color w:val="auto"/>
                <w:szCs w:val="20"/>
                <w:highlight w:val="none"/>
              </w:rPr>
            </w:pPr>
          </w:p>
        </w:tc>
        <w:tc>
          <w:tcPr>
            <w:tcW w:w="1982" w:type="dxa"/>
            <w:gridSpan w:val="4"/>
            <w:tcBorders>
              <w:top w:val="single" w:color="auto" w:sz="4" w:space="0"/>
              <w:left w:val="single" w:color="auto" w:sz="4" w:space="0"/>
              <w:bottom w:val="single" w:color="auto" w:sz="4" w:space="0"/>
              <w:right w:val="single" w:color="auto" w:sz="4" w:space="0"/>
            </w:tcBorders>
            <w:noWrap w:val="0"/>
            <w:vAlign w:val="center"/>
          </w:tcPr>
          <w:p w14:paraId="57748FEE">
            <w:pPr>
              <w:spacing w:line="400" w:lineRule="exact"/>
              <w:jc w:val="center"/>
              <w:rPr>
                <w:rFonts w:ascii="宋体" w:hAnsi="宋体"/>
                <w:color w:val="auto"/>
                <w:szCs w:val="20"/>
                <w:highlight w:val="none"/>
              </w:rPr>
            </w:pPr>
            <w:r>
              <w:rPr>
                <w:rFonts w:ascii="宋体" w:hAnsi="宋体"/>
                <w:color w:val="auto"/>
                <w:szCs w:val="20"/>
                <w:highlight w:val="none"/>
              </w:rPr>
              <w:t>技工</w:t>
            </w:r>
          </w:p>
        </w:tc>
        <w:tc>
          <w:tcPr>
            <w:tcW w:w="2149" w:type="dxa"/>
            <w:gridSpan w:val="2"/>
            <w:tcBorders>
              <w:top w:val="single" w:color="auto" w:sz="4" w:space="0"/>
              <w:left w:val="single" w:color="auto" w:sz="4" w:space="0"/>
              <w:bottom w:val="single" w:color="auto" w:sz="4" w:space="0"/>
              <w:right w:val="single" w:color="auto" w:sz="4" w:space="0"/>
            </w:tcBorders>
            <w:noWrap w:val="0"/>
            <w:vAlign w:val="center"/>
          </w:tcPr>
          <w:p w14:paraId="70C43585">
            <w:pPr>
              <w:topLinePunct/>
              <w:spacing w:line="400" w:lineRule="exact"/>
              <w:jc w:val="center"/>
              <w:rPr>
                <w:rFonts w:ascii="宋体" w:hAnsi="宋体"/>
                <w:color w:val="auto"/>
                <w:szCs w:val="20"/>
                <w:highlight w:val="none"/>
              </w:rPr>
            </w:pPr>
          </w:p>
        </w:tc>
      </w:tr>
      <w:tr w14:paraId="4162D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83" w:hRule="atLeast"/>
        </w:trPr>
        <w:tc>
          <w:tcPr>
            <w:tcW w:w="1717" w:type="dxa"/>
            <w:tcBorders>
              <w:top w:val="single" w:color="auto" w:sz="4" w:space="0"/>
              <w:left w:val="single" w:color="auto" w:sz="4" w:space="0"/>
              <w:right w:val="single" w:color="auto" w:sz="4" w:space="0"/>
            </w:tcBorders>
            <w:noWrap w:val="0"/>
            <w:vAlign w:val="center"/>
          </w:tcPr>
          <w:p w14:paraId="581726A3">
            <w:pPr>
              <w:topLinePunct/>
              <w:spacing w:line="400" w:lineRule="exact"/>
              <w:ind w:firstLine="210" w:firstLineChars="100"/>
              <w:jc w:val="center"/>
              <w:rPr>
                <w:rFonts w:ascii="宋体" w:hAnsi="宋体"/>
                <w:color w:val="auto"/>
                <w:szCs w:val="20"/>
                <w:highlight w:val="none"/>
              </w:rPr>
            </w:pPr>
            <w:r>
              <w:rPr>
                <w:rFonts w:ascii="宋体" w:hAnsi="宋体"/>
                <w:color w:val="auto"/>
                <w:szCs w:val="20"/>
                <w:highlight w:val="none"/>
              </w:rPr>
              <w:t>经营范围</w:t>
            </w:r>
          </w:p>
        </w:tc>
        <w:tc>
          <w:tcPr>
            <w:tcW w:w="6805" w:type="dxa"/>
            <w:gridSpan w:val="9"/>
            <w:tcBorders>
              <w:top w:val="single" w:color="auto" w:sz="4" w:space="0"/>
              <w:left w:val="single" w:color="auto" w:sz="4" w:space="0"/>
              <w:right w:val="single" w:color="auto" w:sz="4" w:space="0"/>
            </w:tcBorders>
            <w:noWrap w:val="0"/>
            <w:vAlign w:val="center"/>
          </w:tcPr>
          <w:p w14:paraId="31CB9695">
            <w:pPr>
              <w:topLinePunct/>
              <w:spacing w:line="400" w:lineRule="exact"/>
              <w:rPr>
                <w:rFonts w:ascii="宋体" w:hAnsi="宋体"/>
                <w:color w:val="auto"/>
                <w:szCs w:val="20"/>
                <w:highlight w:val="none"/>
              </w:rPr>
            </w:pPr>
          </w:p>
          <w:p w14:paraId="502101AC">
            <w:pPr>
              <w:topLinePunct/>
              <w:spacing w:line="400" w:lineRule="exact"/>
              <w:jc w:val="center"/>
              <w:rPr>
                <w:rFonts w:ascii="宋体" w:hAnsi="宋体"/>
                <w:color w:val="auto"/>
                <w:szCs w:val="20"/>
                <w:highlight w:val="none"/>
              </w:rPr>
            </w:pPr>
          </w:p>
          <w:p w14:paraId="58416057">
            <w:pPr>
              <w:topLinePunct/>
              <w:spacing w:line="400" w:lineRule="exact"/>
              <w:jc w:val="center"/>
              <w:rPr>
                <w:rFonts w:ascii="宋体" w:hAnsi="宋体"/>
                <w:color w:val="auto"/>
                <w:szCs w:val="20"/>
                <w:highlight w:val="none"/>
              </w:rPr>
            </w:pPr>
          </w:p>
          <w:p w14:paraId="7FA8802B">
            <w:pPr>
              <w:topLinePunct/>
              <w:spacing w:line="400" w:lineRule="exact"/>
              <w:jc w:val="center"/>
              <w:rPr>
                <w:rFonts w:ascii="宋体" w:hAnsi="宋体"/>
                <w:color w:val="auto"/>
                <w:szCs w:val="20"/>
                <w:highlight w:val="none"/>
              </w:rPr>
            </w:pPr>
          </w:p>
          <w:p w14:paraId="0E9C1375">
            <w:pPr>
              <w:topLinePunct/>
              <w:spacing w:line="400" w:lineRule="exact"/>
              <w:jc w:val="center"/>
              <w:rPr>
                <w:rFonts w:ascii="宋体" w:hAnsi="宋体"/>
                <w:color w:val="auto"/>
                <w:szCs w:val="20"/>
                <w:highlight w:val="none"/>
              </w:rPr>
            </w:pPr>
          </w:p>
          <w:p w14:paraId="67933B5A">
            <w:pPr>
              <w:topLinePunct/>
              <w:spacing w:line="400" w:lineRule="exact"/>
              <w:jc w:val="center"/>
              <w:rPr>
                <w:rFonts w:ascii="宋体" w:hAnsi="宋体"/>
                <w:color w:val="auto"/>
                <w:szCs w:val="20"/>
                <w:highlight w:val="none"/>
              </w:rPr>
            </w:pPr>
          </w:p>
          <w:p w14:paraId="2D5A8262">
            <w:pPr>
              <w:topLinePunct/>
              <w:spacing w:line="400" w:lineRule="exact"/>
              <w:jc w:val="center"/>
              <w:rPr>
                <w:rFonts w:ascii="宋体" w:hAnsi="宋体"/>
                <w:color w:val="auto"/>
                <w:szCs w:val="20"/>
                <w:highlight w:val="none"/>
              </w:rPr>
            </w:pPr>
          </w:p>
        </w:tc>
      </w:tr>
      <w:tr w14:paraId="40BBAF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53D7CA8D">
            <w:pPr>
              <w:topLinePunct/>
              <w:spacing w:line="400" w:lineRule="exact"/>
              <w:jc w:val="center"/>
              <w:rPr>
                <w:rFonts w:ascii="宋体" w:hAnsi="宋体"/>
                <w:color w:val="auto"/>
                <w:szCs w:val="20"/>
                <w:highlight w:val="none"/>
              </w:rPr>
            </w:pPr>
            <w:r>
              <w:rPr>
                <w:rFonts w:ascii="宋体" w:hAnsi="宋体"/>
                <w:color w:val="auto"/>
                <w:szCs w:val="20"/>
                <w:highlight w:val="none"/>
              </w:rPr>
              <w:t>备注</w:t>
            </w:r>
          </w:p>
        </w:tc>
        <w:tc>
          <w:tcPr>
            <w:tcW w:w="6805" w:type="dxa"/>
            <w:gridSpan w:val="9"/>
            <w:tcBorders>
              <w:top w:val="single" w:color="auto" w:sz="4" w:space="0"/>
              <w:left w:val="single" w:color="auto" w:sz="4" w:space="0"/>
              <w:bottom w:val="single" w:color="auto" w:sz="4" w:space="0"/>
              <w:right w:val="single" w:color="auto" w:sz="4" w:space="0"/>
            </w:tcBorders>
            <w:noWrap w:val="0"/>
            <w:vAlign w:val="center"/>
          </w:tcPr>
          <w:p w14:paraId="72A56556">
            <w:pPr>
              <w:topLinePunct/>
              <w:spacing w:line="400" w:lineRule="exact"/>
              <w:jc w:val="center"/>
              <w:rPr>
                <w:rFonts w:ascii="宋体" w:hAnsi="宋体"/>
                <w:color w:val="auto"/>
                <w:szCs w:val="20"/>
                <w:highlight w:val="none"/>
              </w:rPr>
            </w:pPr>
          </w:p>
        </w:tc>
      </w:tr>
    </w:tbl>
    <w:p w14:paraId="3E73B139">
      <w:pPr>
        <w:spacing w:line="400" w:lineRule="exact"/>
        <w:rPr>
          <w:color w:val="auto"/>
          <w:highlight w:val="none"/>
        </w:rPr>
      </w:pPr>
      <w:r>
        <w:rPr>
          <w:rFonts w:hint="eastAsia"/>
          <w:color w:val="auto"/>
          <w:highlight w:val="none"/>
        </w:rPr>
        <w:t>注</w:t>
      </w:r>
      <w:bookmarkStart w:id="1211" w:name="_Toc259524424"/>
      <w:bookmarkStart w:id="1212" w:name="_Toc221952154"/>
      <w:bookmarkStart w:id="1213" w:name="_Toc152047266"/>
      <w:bookmarkStart w:id="1214" w:name="_Toc179715759"/>
      <w:r>
        <w:rPr>
          <w:rFonts w:hint="eastAsia"/>
          <w:color w:val="auto"/>
          <w:highlight w:val="none"/>
        </w:rPr>
        <w:t>：需提供相关材料的扫描件。</w:t>
      </w:r>
      <w:r>
        <w:rPr>
          <w:color w:val="auto"/>
          <w:highlight w:val="none"/>
        </w:rPr>
        <w:br w:type="page"/>
      </w:r>
    </w:p>
    <w:p w14:paraId="34CD264A">
      <w:pPr>
        <w:spacing w:line="400" w:lineRule="exact"/>
        <w:jc w:val="left"/>
        <w:outlineLvl w:val="3"/>
        <w:rPr>
          <w:rFonts w:ascii="宋体" w:hAnsi="宋体"/>
          <w:b/>
          <w:color w:val="auto"/>
          <w:sz w:val="24"/>
          <w:szCs w:val="31"/>
          <w:highlight w:val="none"/>
        </w:rPr>
      </w:pPr>
      <w:r>
        <w:rPr>
          <w:rFonts w:ascii="宋体" w:hAnsi="宋体"/>
          <w:b/>
          <w:color w:val="auto"/>
          <w:sz w:val="24"/>
          <w:szCs w:val="31"/>
          <w:highlight w:val="none"/>
        </w:rPr>
        <w:t>（二）</w:t>
      </w:r>
      <w:r>
        <w:rPr>
          <w:rFonts w:hint="eastAsia" w:ascii="宋体" w:hAnsi="宋体"/>
          <w:b/>
          <w:color w:val="auto"/>
          <w:sz w:val="24"/>
          <w:szCs w:val="31"/>
          <w:highlight w:val="none"/>
        </w:rPr>
        <w:t>拟投入</w:t>
      </w:r>
      <w:bookmarkEnd w:id="1211"/>
      <w:bookmarkEnd w:id="1212"/>
      <w:bookmarkEnd w:id="1213"/>
      <w:bookmarkEnd w:id="1214"/>
      <w:r>
        <w:rPr>
          <w:rFonts w:hint="eastAsia" w:ascii="宋体" w:hAnsi="宋体"/>
          <w:b/>
          <w:color w:val="auto"/>
          <w:sz w:val="24"/>
          <w:szCs w:val="31"/>
          <w:highlight w:val="none"/>
        </w:rPr>
        <w:t>项</w:t>
      </w:r>
      <w:bookmarkStart w:id="1215" w:name="_Toc221952155"/>
      <w:r>
        <w:rPr>
          <w:rFonts w:hint="eastAsia" w:ascii="宋体" w:hAnsi="宋体"/>
          <w:b/>
          <w:color w:val="auto"/>
          <w:sz w:val="24"/>
          <w:szCs w:val="31"/>
          <w:highlight w:val="none"/>
        </w:rPr>
        <w:t>目负责人</w:t>
      </w:r>
    </w:p>
    <w:bookmarkEnd w:id="1215"/>
    <w:p w14:paraId="1D9D2724">
      <w:pPr>
        <w:spacing w:before="260" w:after="260" w:line="415" w:lineRule="auto"/>
        <w:jc w:val="center"/>
        <w:rPr>
          <w:b/>
          <w:color w:val="auto"/>
          <w:sz w:val="32"/>
          <w:szCs w:val="32"/>
          <w:highlight w:val="none"/>
        </w:rPr>
      </w:pPr>
      <w:r>
        <w:rPr>
          <w:rFonts w:hint="eastAsia"/>
          <w:b/>
          <w:color w:val="auto"/>
          <w:sz w:val="32"/>
          <w:szCs w:val="32"/>
          <w:highlight w:val="none"/>
        </w:rPr>
        <w:t>项目负</w:t>
      </w:r>
      <w:bookmarkStart w:id="1216" w:name="_Toc221952156"/>
      <w:r>
        <w:rPr>
          <w:rFonts w:hint="eastAsia"/>
          <w:b/>
          <w:color w:val="auto"/>
          <w:sz w:val="32"/>
          <w:szCs w:val="32"/>
          <w:highlight w:val="none"/>
        </w:rPr>
        <w:t>责人</w:t>
      </w:r>
      <w:r>
        <w:rPr>
          <w:b/>
          <w:color w:val="auto"/>
          <w:sz w:val="32"/>
          <w:szCs w:val="32"/>
          <w:highlight w:val="none"/>
        </w:rPr>
        <w:t>简历</w:t>
      </w:r>
      <w:bookmarkEnd w:id="1216"/>
      <w:r>
        <w:rPr>
          <w:b/>
          <w:color w:val="auto"/>
          <w:sz w:val="32"/>
          <w:szCs w:val="32"/>
          <w:highlight w:val="none"/>
        </w:rPr>
        <w:t>表</w:t>
      </w:r>
    </w:p>
    <w:p w14:paraId="471A9D4B">
      <w:pPr>
        <w:spacing w:line="400" w:lineRule="exact"/>
        <w:ind w:firstLine="420"/>
        <w:rPr>
          <w:color w:val="auto"/>
          <w:highlight w:val="none"/>
        </w:rPr>
      </w:pPr>
      <w:bookmarkStart w:id="1217" w:name="_Toc221952164"/>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56"/>
        <w:gridCol w:w="723"/>
        <w:gridCol w:w="927"/>
        <w:gridCol w:w="1065"/>
        <w:gridCol w:w="706"/>
        <w:gridCol w:w="1261"/>
        <w:gridCol w:w="164"/>
        <w:gridCol w:w="2132"/>
      </w:tblGrid>
      <w:tr w14:paraId="0621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center"/>
          </w:tcPr>
          <w:p w14:paraId="325F053B">
            <w:pPr>
              <w:spacing w:line="440" w:lineRule="exact"/>
              <w:jc w:val="center"/>
              <w:rPr>
                <w:rFonts w:ascii="宋体" w:hAnsi="宋体"/>
                <w:color w:val="auto"/>
                <w:szCs w:val="21"/>
                <w:highlight w:val="none"/>
              </w:rPr>
            </w:pPr>
            <w:r>
              <w:rPr>
                <w:rFonts w:ascii="宋体" w:hAnsi="宋体"/>
                <w:color w:val="auto"/>
                <w:szCs w:val="21"/>
                <w:highlight w:val="none"/>
              </w:rPr>
              <w:t>姓  名</w:t>
            </w:r>
            <w:bookmarkEnd w:id="1217"/>
          </w:p>
        </w:tc>
        <w:tc>
          <w:tcPr>
            <w:tcW w:w="1079" w:type="dxa"/>
            <w:gridSpan w:val="2"/>
            <w:noWrap w:val="0"/>
            <w:vAlign w:val="center"/>
          </w:tcPr>
          <w:p w14:paraId="54D16B09">
            <w:pPr>
              <w:spacing w:line="440" w:lineRule="exact"/>
              <w:jc w:val="center"/>
              <w:rPr>
                <w:rFonts w:ascii="宋体" w:hAnsi="宋体"/>
                <w:color w:val="auto"/>
                <w:szCs w:val="21"/>
                <w:highlight w:val="none"/>
              </w:rPr>
            </w:pPr>
            <w:bookmarkStart w:id="1218" w:name="_Toc221952165"/>
          </w:p>
        </w:tc>
        <w:tc>
          <w:tcPr>
            <w:tcW w:w="927" w:type="dxa"/>
            <w:noWrap w:val="0"/>
            <w:vAlign w:val="center"/>
          </w:tcPr>
          <w:p w14:paraId="10D69408">
            <w:pPr>
              <w:spacing w:line="440" w:lineRule="exact"/>
              <w:jc w:val="center"/>
              <w:rPr>
                <w:rFonts w:ascii="宋体" w:hAnsi="宋体"/>
                <w:color w:val="auto"/>
                <w:szCs w:val="21"/>
                <w:highlight w:val="none"/>
              </w:rPr>
            </w:pPr>
            <w:r>
              <w:rPr>
                <w:rFonts w:ascii="宋体" w:hAnsi="宋体"/>
                <w:color w:val="auto"/>
                <w:szCs w:val="21"/>
                <w:highlight w:val="none"/>
              </w:rPr>
              <w:t>年</w:t>
            </w:r>
            <w:bookmarkEnd w:id="1218"/>
            <w:r>
              <w:rPr>
                <w:rFonts w:ascii="宋体" w:hAnsi="宋体"/>
                <w:color w:val="auto"/>
                <w:szCs w:val="21"/>
                <w:highlight w:val="none"/>
              </w:rPr>
              <w:t xml:space="preserve"> 龄</w:t>
            </w:r>
            <w:bookmarkStart w:id="1219" w:name="_Toc221952166"/>
          </w:p>
        </w:tc>
        <w:tc>
          <w:tcPr>
            <w:tcW w:w="1065" w:type="dxa"/>
            <w:noWrap w:val="0"/>
            <w:vAlign w:val="center"/>
          </w:tcPr>
          <w:p w14:paraId="159BB7EE">
            <w:pPr>
              <w:spacing w:line="440" w:lineRule="exact"/>
              <w:jc w:val="center"/>
              <w:rPr>
                <w:rFonts w:ascii="宋体" w:hAnsi="宋体"/>
                <w:color w:val="auto"/>
                <w:szCs w:val="21"/>
                <w:highlight w:val="none"/>
              </w:rPr>
            </w:pPr>
          </w:p>
        </w:tc>
        <w:tc>
          <w:tcPr>
            <w:tcW w:w="2131" w:type="dxa"/>
            <w:gridSpan w:val="3"/>
            <w:noWrap w:val="0"/>
            <w:vAlign w:val="center"/>
          </w:tcPr>
          <w:p w14:paraId="1294D1D5">
            <w:pPr>
              <w:spacing w:line="440" w:lineRule="exact"/>
              <w:jc w:val="center"/>
              <w:rPr>
                <w:rFonts w:ascii="宋体" w:hAnsi="宋体"/>
                <w:color w:val="auto"/>
                <w:szCs w:val="21"/>
                <w:highlight w:val="none"/>
              </w:rPr>
            </w:pPr>
            <w:r>
              <w:rPr>
                <w:rFonts w:ascii="宋体" w:hAnsi="宋体"/>
                <w:color w:val="auto"/>
                <w:szCs w:val="21"/>
                <w:highlight w:val="none"/>
              </w:rPr>
              <w:t>学历</w:t>
            </w:r>
            <w:bookmarkEnd w:id="1219"/>
          </w:p>
        </w:tc>
        <w:tc>
          <w:tcPr>
            <w:tcW w:w="2132" w:type="dxa"/>
            <w:noWrap w:val="0"/>
            <w:vAlign w:val="center"/>
          </w:tcPr>
          <w:p w14:paraId="0F857623">
            <w:pPr>
              <w:spacing w:line="440" w:lineRule="exact"/>
              <w:rPr>
                <w:rFonts w:ascii="宋体" w:hAnsi="宋体"/>
                <w:color w:val="auto"/>
                <w:szCs w:val="21"/>
                <w:highlight w:val="none"/>
              </w:rPr>
            </w:pPr>
          </w:p>
        </w:tc>
        <w:bookmarkStart w:id="1220" w:name="_Toc221952167"/>
      </w:tr>
      <w:tr w14:paraId="7630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center"/>
          </w:tcPr>
          <w:p w14:paraId="6566AFDE">
            <w:pPr>
              <w:spacing w:line="440" w:lineRule="exact"/>
              <w:jc w:val="center"/>
              <w:rPr>
                <w:rFonts w:ascii="宋体" w:hAnsi="宋体"/>
                <w:color w:val="auto"/>
                <w:szCs w:val="21"/>
                <w:highlight w:val="none"/>
              </w:rPr>
            </w:pPr>
            <w:r>
              <w:rPr>
                <w:rFonts w:ascii="宋体" w:hAnsi="宋体"/>
                <w:color w:val="auto"/>
                <w:szCs w:val="21"/>
                <w:highlight w:val="none"/>
              </w:rPr>
              <w:t>职</w:t>
            </w:r>
            <w:bookmarkEnd w:id="1220"/>
            <w:r>
              <w:rPr>
                <w:rFonts w:ascii="宋体" w:hAnsi="宋体"/>
                <w:color w:val="auto"/>
                <w:szCs w:val="21"/>
                <w:highlight w:val="none"/>
              </w:rPr>
              <w:t xml:space="preserve">  称</w:t>
            </w:r>
            <w:bookmarkStart w:id="1221" w:name="_Toc221952168"/>
          </w:p>
        </w:tc>
        <w:tc>
          <w:tcPr>
            <w:tcW w:w="1079" w:type="dxa"/>
            <w:gridSpan w:val="2"/>
            <w:noWrap w:val="0"/>
            <w:vAlign w:val="center"/>
          </w:tcPr>
          <w:p w14:paraId="3BB0A6C6">
            <w:pPr>
              <w:spacing w:line="440" w:lineRule="exact"/>
              <w:jc w:val="center"/>
              <w:rPr>
                <w:rFonts w:ascii="宋体" w:hAnsi="宋体"/>
                <w:color w:val="auto"/>
                <w:szCs w:val="21"/>
                <w:highlight w:val="none"/>
              </w:rPr>
            </w:pPr>
          </w:p>
        </w:tc>
        <w:tc>
          <w:tcPr>
            <w:tcW w:w="927" w:type="dxa"/>
            <w:noWrap w:val="0"/>
            <w:vAlign w:val="center"/>
          </w:tcPr>
          <w:p w14:paraId="51C9CB2B">
            <w:pPr>
              <w:spacing w:line="440" w:lineRule="exact"/>
              <w:jc w:val="center"/>
              <w:rPr>
                <w:rFonts w:ascii="宋体" w:hAnsi="宋体"/>
                <w:color w:val="auto"/>
                <w:szCs w:val="21"/>
                <w:highlight w:val="none"/>
              </w:rPr>
            </w:pPr>
            <w:r>
              <w:rPr>
                <w:rFonts w:ascii="宋体" w:hAnsi="宋体"/>
                <w:color w:val="auto"/>
                <w:szCs w:val="21"/>
                <w:highlight w:val="none"/>
              </w:rPr>
              <w:t>职 务</w:t>
            </w:r>
            <w:bookmarkEnd w:id="1221"/>
          </w:p>
        </w:tc>
        <w:tc>
          <w:tcPr>
            <w:tcW w:w="1065" w:type="dxa"/>
            <w:noWrap w:val="0"/>
            <w:vAlign w:val="center"/>
          </w:tcPr>
          <w:p w14:paraId="6602E441">
            <w:pPr>
              <w:spacing w:line="440" w:lineRule="exact"/>
              <w:jc w:val="center"/>
              <w:rPr>
                <w:rFonts w:ascii="宋体" w:hAnsi="宋体"/>
                <w:color w:val="auto"/>
                <w:szCs w:val="21"/>
                <w:highlight w:val="none"/>
              </w:rPr>
            </w:pPr>
            <w:bookmarkStart w:id="1222" w:name="_Toc221952169"/>
          </w:p>
        </w:tc>
        <w:tc>
          <w:tcPr>
            <w:tcW w:w="2131" w:type="dxa"/>
            <w:gridSpan w:val="3"/>
            <w:noWrap w:val="0"/>
            <w:vAlign w:val="center"/>
          </w:tcPr>
          <w:p w14:paraId="23C7EBA2">
            <w:pPr>
              <w:spacing w:line="440" w:lineRule="exact"/>
              <w:jc w:val="center"/>
              <w:rPr>
                <w:rFonts w:ascii="宋体" w:hAnsi="宋体"/>
                <w:color w:val="auto"/>
                <w:szCs w:val="21"/>
                <w:highlight w:val="none"/>
              </w:rPr>
            </w:pPr>
            <w:r>
              <w:rPr>
                <w:rFonts w:ascii="宋体" w:hAnsi="宋体"/>
                <w:color w:val="auto"/>
                <w:szCs w:val="21"/>
                <w:highlight w:val="none"/>
              </w:rPr>
              <w:t>拟</w:t>
            </w:r>
            <w:bookmarkEnd w:id="1222"/>
            <w:r>
              <w:rPr>
                <w:rFonts w:ascii="宋体" w:hAnsi="宋体"/>
                <w:color w:val="auto"/>
                <w:szCs w:val="21"/>
                <w:highlight w:val="none"/>
              </w:rPr>
              <w:t>在本</w:t>
            </w:r>
            <w:bookmarkStart w:id="1223" w:name="_Toc221952170"/>
            <w:r>
              <w:rPr>
                <w:rFonts w:ascii="宋体" w:hAnsi="宋体"/>
                <w:color w:val="auto"/>
                <w:szCs w:val="21"/>
                <w:highlight w:val="none"/>
              </w:rPr>
              <w:t>合同任职</w:t>
            </w:r>
            <w:bookmarkEnd w:id="1223"/>
          </w:p>
        </w:tc>
        <w:tc>
          <w:tcPr>
            <w:tcW w:w="2132" w:type="dxa"/>
            <w:noWrap w:val="0"/>
            <w:vAlign w:val="center"/>
          </w:tcPr>
          <w:p w14:paraId="556A2314">
            <w:pPr>
              <w:spacing w:line="440" w:lineRule="exact"/>
              <w:rPr>
                <w:rFonts w:ascii="宋体" w:hAnsi="宋体"/>
                <w:color w:val="auto"/>
                <w:szCs w:val="21"/>
                <w:highlight w:val="none"/>
              </w:rPr>
            </w:pPr>
          </w:p>
        </w:tc>
        <w:bookmarkStart w:id="1224" w:name="_Toc221952171"/>
      </w:tr>
      <w:bookmarkEnd w:id="1224"/>
      <w:tr w14:paraId="2B68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14:paraId="1893D479">
            <w:pPr>
              <w:spacing w:line="440" w:lineRule="exact"/>
              <w:jc w:val="center"/>
              <w:rPr>
                <w:rFonts w:ascii="宋体" w:hAnsi="宋体"/>
                <w:color w:val="auto"/>
                <w:szCs w:val="21"/>
                <w:highlight w:val="none"/>
              </w:rPr>
            </w:pPr>
            <w:bookmarkStart w:id="1225" w:name="_Toc221952177"/>
            <w:r>
              <w:rPr>
                <w:rFonts w:ascii="宋体" w:hAnsi="宋体"/>
                <w:color w:val="auto"/>
                <w:szCs w:val="21"/>
                <w:highlight w:val="none"/>
              </w:rPr>
              <w:t>主要</w:t>
            </w:r>
            <w:bookmarkEnd w:id="1225"/>
            <w:r>
              <w:rPr>
                <w:rFonts w:ascii="宋体" w:hAnsi="宋体"/>
                <w:color w:val="auto"/>
                <w:szCs w:val="21"/>
                <w:highlight w:val="none"/>
              </w:rPr>
              <w:t>工作经</w:t>
            </w:r>
            <w:bookmarkStart w:id="1226" w:name="_Toc221952178"/>
            <w:r>
              <w:rPr>
                <w:rFonts w:ascii="宋体" w:hAnsi="宋体"/>
                <w:color w:val="auto"/>
                <w:szCs w:val="21"/>
                <w:highlight w:val="none"/>
              </w:rPr>
              <w:t>历</w:t>
            </w:r>
          </w:p>
        </w:tc>
      </w:tr>
      <w:tr w14:paraId="7A5A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4" w:type="dxa"/>
            <w:gridSpan w:val="2"/>
            <w:noWrap w:val="0"/>
            <w:vAlign w:val="center"/>
          </w:tcPr>
          <w:p w14:paraId="14A0B720">
            <w:pPr>
              <w:spacing w:line="440" w:lineRule="exact"/>
              <w:rPr>
                <w:rFonts w:ascii="宋体" w:hAnsi="宋体"/>
                <w:color w:val="auto"/>
                <w:szCs w:val="21"/>
                <w:highlight w:val="none"/>
              </w:rPr>
            </w:pPr>
            <w:r>
              <w:rPr>
                <w:rFonts w:ascii="宋体" w:hAnsi="宋体"/>
                <w:color w:val="auto"/>
                <w:szCs w:val="21"/>
                <w:highlight w:val="none"/>
              </w:rPr>
              <w:t xml:space="preserve">时  </w:t>
            </w:r>
            <w:bookmarkEnd w:id="1226"/>
            <w:r>
              <w:rPr>
                <w:rFonts w:ascii="宋体" w:hAnsi="宋体"/>
                <w:color w:val="auto"/>
                <w:szCs w:val="21"/>
                <w:highlight w:val="none"/>
              </w:rPr>
              <w:t>间</w:t>
            </w:r>
          </w:p>
        </w:tc>
        <w:tc>
          <w:tcPr>
            <w:tcW w:w="3421" w:type="dxa"/>
            <w:gridSpan w:val="4"/>
            <w:noWrap w:val="0"/>
            <w:vAlign w:val="center"/>
          </w:tcPr>
          <w:p w14:paraId="22DD4BEE">
            <w:pPr>
              <w:spacing w:line="440" w:lineRule="exact"/>
              <w:rPr>
                <w:rFonts w:ascii="宋体" w:hAnsi="宋体"/>
                <w:color w:val="auto"/>
                <w:szCs w:val="21"/>
                <w:highlight w:val="none"/>
              </w:rPr>
            </w:pPr>
            <w:r>
              <w:rPr>
                <w:rFonts w:ascii="宋体" w:hAnsi="宋体"/>
                <w:color w:val="auto"/>
                <w:szCs w:val="21"/>
                <w:highlight w:val="none"/>
              </w:rPr>
              <w:t>参</w:t>
            </w:r>
            <w:bookmarkStart w:id="1227" w:name="_Toc221952179"/>
            <w:r>
              <w:rPr>
                <w:rFonts w:ascii="宋体" w:hAnsi="宋体"/>
                <w:color w:val="auto"/>
                <w:szCs w:val="21"/>
                <w:highlight w:val="none"/>
              </w:rPr>
              <w:t>加过的类</w:t>
            </w:r>
            <w:bookmarkEnd w:id="1227"/>
            <w:r>
              <w:rPr>
                <w:rFonts w:ascii="宋体" w:hAnsi="宋体"/>
                <w:color w:val="auto"/>
                <w:szCs w:val="21"/>
                <w:highlight w:val="none"/>
              </w:rPr>
              <w:t>似项目</w:t>
            </w:r>
            <w:bookmarkStart w:id="1228" w:name="_Toc221952180"/>
          </w:p>
        </w:tc>
        <w:tc>
          <w:tcPr>
            <w:tcW w:w="1261" w:type="dxa"/>
            <w:noWrap w:val="0"/>
            <w:vAlign w:val="center"/>
          </w:tcPr>
          <w:p w14:paraId="78B0422B">
            <w:pPr>
              <w:spacing w:line="440" w:lineRule="exact"/>
              <w:rPr>
                <w:rFonts w:ascii="宋体" w:hAnsi="宋体"/>
                <w:color w:val="auto"/>
                <w:szCs w:val="21"/>
                <w:highlight w:val="none"/>
              </w:rPr>
            </w:pPr>
            <w:r>
              <w:rPr>
                <w:rFonts w:ascii="宋体" w:hAnsi="宋体"/>
                <w:color w:val="auto"/>
                <w:szCs w:val="21"/>
                <w:highlight w:val="none"/>
              </w:rPr>
              <w:t>担任职务</w:t>
            </w:r>
          </w:p>
          <w:bookmarkEnd w:id="1228"/>
        </w:tc>
        <w:tc>
          <w:tcPr>
            <w:tcW w:w="2296" w:type="dxa"/>
            <w:gridSpan w:val="2"/>
            <w:noWrap w:val="0"/>
            <w:vAlign w:val="center"/>
          </w:tcPr>
          <w:p w14:paraId="50EB3515">
            <w:pPr>
              <w:spacing w:line="440" w:lineRule="exact"/>
              <w:rPr>
                <w:rFonts w:ascii="宋体" w:hAnsi="宋体"/>
                <w:color w:val="auto"/>
                <w:szCs w:val="21"/>
                <w:highlight w:val="none"/>
              </w:rPr>
            </w:pPr>
            <w:r>
              <w:rPr>
                <w:rFonts w:ascii="宋体" w:hAnsi="宋体"/>
                <w:color w:val="auto"/>
                <w:szCs w:val="21"/>
                <w:highlight w:val="none"/>
              </w:rPr>
              <w:t>发包人</w:t>
            </w:r>
            <w:bookmarkStart w:id="1229" w:name="_Toc221952181"/>
            <w:r>
              <w:rPr>
                <w:rFonts w:ascii="宋体" w:hAnsi="宋体"/>
                <w:color w:val="auto"/>
                <w:szCs w:val="21"/>
                <w:highlight w:val="none"/>
              </w:rPr>
              <w:t>及联系电</w:t>
            </w:r>
            <w:bookmarkEnd w:id="1229"/>
            <w:r>
              <w:rPr>
                <w:rFonts w:ascii="宋体" w:hAnsi="宋体"/>
                <w:color w:val="auto"/>
                <w:szCs w:val="21"/>
                <w:highlight w:val="none"/>
              </w:rPr>
              <w:t>话</w:t>
            </w:r>
          </w:p>
        </w:tc>
      </w:tr>
      <w:tr w14:paraId="24DB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69F399F4">
            <w:pPr>
              <w:spacing w:line="440" w:lineRule="exact"/>
              <w:rPr>
                <w:rFonts w:eastAsia="黑体"/>
                <w:color w:val="auto"/>
                <w:szCs w:val="21"/>
                <w:highlight w:val="none"/>
              </w:rPr>
            </w:pPr>
            <w:bookmarkStart w:id="1230" w:name="_Toc221952182"/>
          </w:p>
        </w:tc>
        <w:tc>
          <w:tcPr>
            <w:tcW w:w="3421" w:type="dxa"/>
            <w:gridSpan w:val="4"/>
            <w:noWrap w:val="0"/>
            <w:vAlign w:val="top"/>
          </w:tcPr>
          <w:p w14:paraId="3E503F83">
            <w:pPr>
              <w:spacing w:line="440" w:lineRule="exact"/>
              <w:rPr>
                <w:rFonts w:eastAsia="黑体"/>
                <w:color w:val="auto"/>
                <w:szCs w:val="21"/>
                <w:highlight w:val="none"/>
              </w:rPr>
            </w:pPr>
          </w:p>
        </w:tc>
        <w:tc>
          <w:tcPr>
            <w:tcW w:w="1261" w:type="dxa"/>
            <w:noWrap w:val="0"/>
            <w:vAlign w:val="top"/>
          </w:tcPr>
          <w:p w14:paraId="715C21C8">
            <w:pPr>
              <w:spacing w:line="440" w:lineRule="exact"/>
              <w:rPr>
                <w:rFonts w:eastAsia="黑体"/>
                <w:color w:val="auto"/>
                <w:szCs w:val="21"/>
                <w:highlight w:val="none"/>
              </w:rPr>
            </w:pPr>
          </w:p>
        </w:tc>
        <w:tc>
          <w:tcPr>
            <w:tcW w:w="2296" w:type="dxa"/>
            <w:gridSpan w:val="2"/>
            <w:noWrap w:val="0"/>
            <w:vAlign w:val="top"/>
          </w:tcPr>
          <w:p w14:paraId="75AF4B34">
            <w:pPr>
              <w:spacing w:line="440" w:lineRule="exact"/>
              <w:rPr>
                <w:rFonts w:eastAsia="黑体"/>
                <w:color w:val="auto"/>
                <w:szCs w:val="21"/>
                <w:highlight w:val="none"/>
              </w:rPr>
            </w:pPr>
          </w:p>
        </w:tc>
      </w:tr>
      <w:tr w14:paraId="4FB7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75F52897">
            <w:pPr>
              <w:spacing w:line="440" w:lineRule="exact"/>
              <w:rPr>
                <w:rFonts w:eastAsia="黑体"/>
                <w:color w:val="auto"/>
                <w:szCs w:val="21"/>
                <w:highlight w:val="none"/>
              </w:rPr>
            </w:pPr>
          </w:p>
          <w:bookmarkEnd w:id="1230"/>
        </w:tc>
        <w:tc>
          <w:tcPr>
            <w:tcW w:w="3421" w:type="dxa"/>
            <w:gridSpan w:val="4"/>
            <w:noWrap w:val="0"/>
            <w:vAlign w:val="top"/>
          </w:tcPr>
          <w:p w14:paraId="0FF3D985">
            <w:pPr>
              <w:spacing w:line="440" w:lineRule="exact"/>
              <w:rPr>
                <w:rFonts w:eastAsia="黑体"/>
                <w:color w:val="auto"/>
                <w:szCs w:val="21"/>
                <w:highlight w:val="none"/>
              </w:rPr>
            </w:pPr>
          </w:p>
        </w:tc>
        <w:tc>
          <w:tcPr>
            <w:tcW w:w="1261" w:type="dxa"/>
            <w:noWrap w:val="0"/>
            <w:vAlign w:val="top"/>
          </w:tcPr>
          <w:p w14:paraId="37564A64">
            <w:pPr>
              <w:spacing w:line="440" w:lineRule="exact"/>
              <w:rPr>
                <w:rFonts w:eastAsia="黑体"/>
                <w:color w:val="auto"/>
                <w:szCs w:val="21"/>
                <w:highlight w:val="none"/>
              </w:rPr>
            </w:pPr>
          </w:p>
        </w:tc>
        <w:tc>
          <w:tcPr>
            <w:tcW w:w="2296" w:type="dxa"/>
            <w:gridSpan w:val="2"/>
            <w:noWrap w:val="0"/>
            <w:vAlign w:val="top"/>
          </w:tcPr>
          <w:p w14:paraId="55F5F9DB">
            <w:pPr>
              <w:spacing w:line="440" w:lineRule="exact"/>
              <w:rPr>
                <w:rFonts w:eastAsia="黑体"/>
                <w:color w:val="auto"/>
                <w:szCs w:val="21"/>
                <w:highlight w:val="none"/>
              </w:rPr>
            </w:pPr>
          </w:p>
        </w:tc>
        <w:bookmarkStart w:id="1231" w:name="_Toc221952183"/>
      </w:tr>
      <w:tr w14:paraId="1BC6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1D5E7B7D">
            <w:pPr>
              <w:spacing w:line="440" w:lineRule="exact"/>
              <w:rPr>
                <w:rFonts w:eastAsia="黑体"/>
                <w:color w:val="auto"/>
                <w:szCs w:val="21"/>
                <w:highlight w:val="none"/>
              </w:rPr>
            </w:pPr>
          </w:p>
          <w:bookmarkEnd w:id="1231"/>
        </w:tc>
        <w:tc>
          <w:tcPr>
            <w:tcW w:w="3421" w:type="dxa"/>
            <w:gridSpan w:val="4"/>
            <w:noWrap w:val="0"/>
            <w:vAlign w:val="top"/>
          </w:tcPr>
          <w:p w14:paraId="3C4EBE80">
            <w:pPr>
              <w:spacing w:line="440" w:lineRule="exact"/>
              <w:rPr>
                <w:rFonts w:eastAsia="黑体"/>
                <w:color w:val="auto"/>
                <w:szCs w:val="21"/>
                <w:highlight w:val="none"/>
              </w:rPr>
            </w:pPr>
          </w:p>
        </w:tc>
        <w:tc>
          <w:tcPr>
            <w:tcW w:w="1261" w:type="dxa"/>
            <w:noWrap w:val="0"/>
            <w:vAlign w:val="top"/>
          </w:tcPr>
          <w:p w14:paraId="4B61DAFA">
            <w:pPr>
              <w:spacing w:line="440" w:lineRule="exact"/>
              <w:rPr>
                <w:rFonts w:eastAsia="黑体"/>
                <w:color w:val="auto"/>
                <w:szCs w:val="21"/>
                <w:highlight w:val="none"/>
              </w:rPr>
            </w:pPr>
          </w:p>
        </w:tc>
        <w:tc>
          <w:tcPr>
            <w:tcW w:w="2296" w:type="dxa"/>
            <w:gridSpan w:val="2"/>
            <w:noWrap w:val="0"/>
            <w:vAlign w:val="top"/>
          </w:tcPr>
          <w:p w14:paraId="01F624B2">
            <w:pPr>
              <w:spacing w:line="440" w:lineRule="exact"/>
              <w:rPr>
                <w:rFonts w:eastAsia="黑体"/>
                <w:color w:val="auto"/>
                <w:szCs w:val="21"/>
                <w:highlight w:val="none"/>
              </w:rPr>
            </w:pPr>
          </w:p>
        </w:tc>
        <w:bookmarkStart w:id="1232" w:name="_Toc221952184"/>
      </w:tr>
      <w:tr w14:paraId="04A1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6BD0B924">
            <w:pPr>
              <w:spacing w:line="440" w:lineRule="exact"/>
              <w:rPr>
                <w:rFonts w:eastAsia="黑体"/>
                <w:color w:val="auto"/>
                <w:szCs w:val="21"/>
                <w:highlight w:val="none"/>
              </w:rPr>
            </w:pPr>
          </w:p>
        </w:tc>
        <w:tc>
          <w:tcPr>
            <w:tcW w:w="3421" w:type="dxa"/>
            <w:gridSpan w:val="4"/>
            <w:noWrap w:val="0"/>
            <w:vAlign w:val="top"/>
          </w:tcPr>
          <w:p w14:paraId="5A8486C0">
            <w:pPr>
              <w:spacing w:line="440" w:lineRule="exact"/>
              <w:rPr>
                <w:rFonts w:eastAsia="黑体"/>
                <w:color w:val="auto"/>
                <w:szCs w:val="21"/>
                <w:highlight w:val="none"/>
              </w:rPr>
            </w:pPr>
          </w:p>
        </w:tc>
        <w:tc>
          <w:tcPr>
            <w:tcW w:w="1261" w:type="dxa"/>
            <w:noWrap w:val="0"/>
            <w:vAlign w:val="top"/>
          </w:tcPr>
          <w:p w14:paraId="5E564958">
            <w:pPr>
              <w:spacing w:line="440" w:lineRule="exact"/>
              <w:rPr>
                <w:rFonts w:eastAsia="黑体"/>
                <w:color w:val="auto"/>
                <w:szCs w:val="21"/>
                <w:highlight w:val="none"/>
              </w:rPr>
            </w:pPr>
          </w:p>
          <w:bookmarkEnd w:id="1232"/>
        </w:tc>
        <w:tc>
          <w:tcPr>
            <w:tcW w:w="2296" w:type="dxa"/>
            <w:gridSpan w:val="2"/>
            <w:noWrap w:val="0"/>
            <w:vAlign w:val="top"/>
          </w:tcPr>
          <w:p w14:paraId="38AD0BAB">
            <w:pPr>
              <w:spacing w:line="440" w:lineRule="exact"/>
              <w:rPr>
                <w:rFonts w:eastAsia="黑体"/>
                <w:color w:val="auto"/>
                <w:szCs w:val="21"/>
                <w:highlight w:val="none"/>
              </w:rPr>
            </w:pPr>
          </w:p>
        </w:tc>
      </w:tr>
      <w:tr w14:paraId="207E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4BEDE41A">
            <w:pPr>
              <w:spacing w:line="440" w:lineRule="exact"/>
              <w:rPr>
                <w:rFonts w:eastAsia="黑体"/>
                <w:color w:val="auto"/>
                <w:szCs w:val="21"/>
                <w:highlight w:val="none"/>
              </w:rPr>
            </w:pPr>
          </w:p>
        </w:tc>
        <w:tc>
          <w:tcPr>
            <w:tcW w:w="3421" w:type="dxa"/>
            <w:gridSpan w:val="4"/>
            <w:noWrap w:val="0"/>
            <w:vAlign w:val="top"/>
          </w:tcPr>
          <w:p w14:paraId="0FFBED9A">
            <w:pPr>
              <w:spacing w:line="440" w:lineRule="exact"/>
              <w:rPr>
                <w:rFonts w:eastAsia="黑体"/>
                <w:color w:val="auto"/>
                <w:szCs w:val="21"/>
                <w:highlight w:val="none"/>
              </w:rPr>
            </w:pPr>
            <w:bookmarkStart w:id="1233" w:name="_Toc221952185"/>
          </w:p>
        </w:tc>
        <w:tc>
          <w:tcPr>
            <w:tcW w:w="1261" w:type="dxa"/>
            <w:noWrap w:val="0"/>
            <w:vAlign w:val="top"/>
          </w:tcPr>
          <w:p w14:paraId="05AC99B3">
            <w:pPr>
              <w:spacing w:line="440" w:lineRule="exact"/>
              <w:rPr>
                <w:rFonts w:eastAsia="黑体"/>
                <w:color w:val="auto"/>
                <w:szCs w:val="21"/>
                <w:highlight w:val="none"/>
              </w:rPr>
            </w:pPr>
          </w:p>
        </w:tc>
        <w:tc>
          <w:tcPr>
            <w:tcW w:w="2296" w:type="dxa"/>
            <w:gridSpan w:val="2"/>
            <w:noWrap w:val="0"/>
            <w:vAlign w:val="top"/>
          </w:tcPr>
          <w:p w14:paraId="0A8D6495">
            <w:pPr>
              <w:spacing w:line="440" w:lineRule="exact"/>
              <w:rPr>
                <w:rFonts w:eastAsia="黑体"/>
                <w:color w:val="auto"/>
                <w:szCs w:val="21"/>
                <w:highlight w:val="none"/>
              </w:rPr>
            </w:pPr>
          </w:p>
        </w:tc>
      </w:tr>
      <w:bookmarkEnd w:id="1233"/>
      <w:tr w14:paraId="46E25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44C105A5">
            <w:pPr>
              <w:spacing w:line="440" w:lineRule="exact"/>
              <w:rPr>
                <w:rFonts w:eastAsia="黑体"/>
                <w:color w:val="auto"/>
                <w:szCs w:val="21"/>
                <w:highlight w:val="none"/>
              </w:rPr>
            </w:pPr>
          </w:p>
        </w:tc>
        <w:tc>
          <w:tcPr>
            <w:tcW w:w="3421" w:type="dxa"/>
            <w:gridSpan w:val="4"/>
            <w:noWrap w:val="0"/>
            <w:vAlign w:val="top"/>
          </w:tcPr>
          <w:p w14:paraId="754F05DC">
            <w:pPr>
              <w:spacing w:line="440" w:lineRule="exact"/>
              <w:rPr>
                <w:rFonts w:eastAsia="黑体"/>
                <w:color w:val="auto"/>
                <w:szCs w:val="21"/>
                <w:highlight w:val="none"/>
              </w:rPr>
            </w:pPr>
          </w:p>
        </w:tc>
        <w:tc>
          <w:tcPr>
            <w:tcW w:w="1261" w:type="dxa"/>
            <w:noWrap w:val="0"/>
            <w:vAlign w:val="top"/>
          </w:tcPr>
          <w:p w14:paraId="6F48BB6C">
            <w:pPr>
              <w:spacing w:line="440" w:lineRule="exact"/>
              <w:rPr>
                <w:rFonts w:eastAsia="黑体"/>
                <w:color w:val="auto"/>
                <w:szCs w:val="21"/>
                <w:highlight w:val="none"/>
              </w:rPr>
            </w:pPr>
          </w:p>
        </w:tc>
        <w:tc>
          <w:tcPr>
            <w:tcW w:w="2296" w:type="dxa"/>
            <w:gridSpan w:val="2"/>
            <w:noWrap w:val="0"/>
            <w:vAlign w:val="top"/>
          </w:tcPr>
          <w:p w14:paraId="2C1B2B1B">
            <w:pPr>
              <w:spacing w:line="440" w:lineRule="exact"/>
              <w:rPr>
                <w:rFonts w:eastAsia="黑体"/>
                <w:color w:val="auto"/>
                <w:szCs w:val="21"/>
                <w:highlight w:val="none"/>
              </w:rPr>
            </w:pPr>
          </w:p>
        </w:tc>
      </w:tr>
      <w:tr w14:paraId="425A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78FCD810">
            <w:pPr>
              <w:spacing w:line="440" w:lineRule="exact"/>
              <w:rPr>
                <w:rFonts w:eastAsia="黑体"/>
                <w:color w:val="auto"/>
                <w:szCs w:val="21"/>
                <w:highlight w:val="none"/>
              </w:rPr>
            </w:pPr>
          </w:p>
        </w:tc>
        <w:tc>
          <w:tcPr>
            <w:tcW w:w="3421" w:type="dxa"/>
            <w:gridSpan w:val="4"/>
            <w:noWrap w:val="0"/>
            <w:vAlign w:val="top"/>
          </w:tcPr>
          <w:p w14:paraId="68A223BC">
            <w:pPr>
              <w:spacing w:line="440" w:lineRule="exact"/>
              <w:rPr>
                <w:rFonts w:eastAsia="黑体"/>
                <w:color w:val="auto"/>
                <w:szCs w:val="21"/>
                <w:highlight w:val="none"/>
              </w:rPr>
            </w:pPr>
          </w:p>
        </w:tc>
        <w:tc>
          <w:tcPr>
            <w:tcW w:w="1261" w:type="dxa"/>
            <w:noWrap w:val="0"/>
            <w:vAlign w:val="top"/>
          </w:tcPr>
          <w:p w14:paraId="443C939C">
            <w:pPr>
              <w:spacing w:line="440" w:lineRule="exact"/>
              <w:rPr>
                <w:rFonts w:eastAsia="黑体"/>
                <w:color w:val="auto"/>
                <w:szCs w:val="21"/>
                <w:highlight w:val="none"/>
              </w:rPr>
            </w:pPr>
          </w:p>
        </w:tc>
        <w:tc>
          <w:tcPr>
            <w:tcW w:w="2296" w:type="dxa"/>
            <w:gridSpan w:val="2"/>
            <w:noWrap w:val="0"/>
            <w:vAlign w:val="top"/>
          </w:tcPr>
          <w:p w14:paraId="72C5EF60">
            <w:pPr>
              <w:spacing w:line="440" w:lineRule="exact"/>
              <w:rPr>
                <w:rFonts w:eastAsia="黑体"/>
                <w:color w:val="auto"/>
                <w:szCs w:val="21"/>
                <w:highlight w:val="none"/>
              </w:rPr>
            </w:pPr>
          </w:p>
        </w:tc>
        <w:bookmarkStart w:id="1234" w:name="_Toc221952186"/>
      </w:tr>
      <w:tr w14:paraId="71AD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70960087">
            <w:pPr>
              <w:spacing w:line="440" w:lineRule="exact"/>
              <w:rPr>
                <w:rFonts w:eastAsia="黑体"/>
                <w:color w:val="auto"/>
                <w:szCs w:val="21"/>
                <w:highlight w:val="none"/>
              </w:rPr>
            </w:pPr>
          </w:p>
          <w:bookmarkEnd w:id="1234"/>
        </w:tc>
        <w:tc>
          <w:tcPr>
            <w:tcW w:w="3421" w:type="dxa"/>
            <w:gridSpan w:val="4"/>
            <w:noWrap w:val="0"/>
            <w:vAlign w:val="top"/>
          </w:tcPr>
          <w:p w14:paraId="5283B674">
            <w:pPr>
              <w:spacing w:line="440" w:lineRule="exact"/>
              <w:rPr>
                <w:rFonts w:eastAsia="黑体"/>
                <w:color w:val="auto"/>
                <w:szCs w:val="21"/>
                <w:highlight w:val="none"/>
              </w:rPr>
            </w:pPr>
          </w:p>
        </w:tc>
        <w:tc>
          <w:tcPr>
            <w:tcW w:w="1261" w:type="dxa"/>
            <w:noWrap w:val="0"/>
            <w:vAlign w:val="top"/>
          </w:tcPr>
          <w:p w14:paraId="4A6EF82E">
            <w:pPr>
              <w:spacing w:line="440" w:lineRule="exact"/>
              <w:rPr>
                <w:rFonts w:eastAsia="黑体"/>
                <w:color w:val="auto"/>
                <w:szCs w:val="21"/>
                <w:highlight w:val="none"/>
              </w:rPr>
            </w:pPr>
          </w:p>
        </w:tc>
        <w:tc>
          <w:tcPr>
            <w:tcW w:w="2296" w:type="dxa"/>
            <w:gridSpan w:val="2"/>
            <w:noWrap w:val="0"/>
            <w:vAlign w:val="top"/>
          </w:tcPr>
          <w:p w14:paraId="4DB1BEC0">
            <w:pPr>
              <w:spacing w:line="440" w:lineRule="exact"/>
              <w:rPr>
                <w:rFonts w:eastAsia="黑体"/>
                <w:color w:val="auto"/>
                <w:szCs w:val="21"/>
                <w:highlight w:val="none"/>
              </w:rPr>
            </w:pPr>
          </w:p>
        </w:tc>
      </w:tr>
      <w:tr w14:paraId="083B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6E308BE2">
            <w:pPr>
              <w:spacing w:line="440" w:lineRule="exact"/>
              <w:rPr>
                <w:rFonts w:eastAsia="黑体"/>
                <w:color w:val="auto"/>
                <w:szCs w:val="21"/>
                <w:highlight w:val="none"/>
              </w:rPr>
            </w:pPr>
          </w:p>
        </w:tc>
        <w:tc>
          <w:tcPr>
            <w:tcW w:w="3421" w:type="dxa"/>
            <w:gridSpan w:val="4"/>
            <w:noWrap w:val="0"/>
            <w:vAlign w:val="top"/>
          </w:tcPr>
          <w:p w14:paraId="50701C2A">
            <w:pPr>
              <w:spacing w:line="440" w:lineRule="exact"/>
              <w:rPr>
                <w:rFonts w:eastAsia="黑体"/>
                <w:color w:val="auto"/>
                <w:szCs w:val="21"/>
                <w:highlight w:val="none"/>
              </w:rPr>
            </w:pPr>
          </w:p>
        </w:tc>
        <w:tc>
          <w:tcPr>
            <w:tcW w:w="1261" w:type="dxa"/>
            <w:noWrap w:val="0"/>
            <w:vAlign w:val="top"/>
          </w:tcPr>
          <w:p w14:paraId="0753C003">
            <w:pPr>
              <w:spacing w:line="440" w:lineRule="exact"/>
              <w:rPr>
                <w:rFonts w:eastAsia="黑体"/>
                <w:color w:val="auto"/>
                <w:szCs w:val="21"/>
                <w:highlight w:val="none"/>
              </w:rPr>
            </w:pPr>
          </w:p>
        </w:tc>
        <w:tc>
          <w:tcPr>
            <w:tcW w:w="2296" w:type="dxa"/>
            <w:gridSpan w:val="2"/>
            <w:noWrap w:val="0"/>
            <w:vAlign w:val="top"/>
          </w:tcPr>
          <w:p w14:paraId="7301243B">
            <w:pPr>
              <w:spacing w:line="440" w:lineRule="exact"/>
              <w:rPr>
                <w:rFonts w:eastAsia="黑体"/>
                <w:color w:val="auto"/>
                <w:szCs w:val="21"/>
                <w:highlight w:val="none"/>
              </w:rPr>
            </w:pPr>
          </w:p>
        </w:tc>
      </w:tr>
      <w:tr w14:paraId="0185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1536B63E">
            <w:pPr>
              <w:spacing w:line="440" w:lineRule="exact"/>
              <w:rPr>
                <w:rFonts w:eastAsia="黑体"/>
                <w:color w:val="auto"/>
                <w:szCs w:val="21"/>
                <w:highlight w:val="none"/>
              </w:rPr>
            </w:pPr>
          </w:p>
        </w:tc>
        <w:tc>
          <w:tcPr>
            <w:tcW w:w="3421" w:type="dxa"/>
            <w:gridSpan w:val="4"/>
            <w:noWrap w:val="0"/>
            <w:vAlign w:val="top"/>
          </w:tcPr>
          <w:p w14:paraId="5266AABE">
            <w:pPr>
              <w:spacing w:line="440" w:lineRule="exact"/>
              <w:rPr>
                <w:rFonts w:eastAsia="黑体"/>
                <w:color w:val="auto"/>
                <w:szCs w:val="21"/>
                <w:highlight w:val="none"/>
              </w:rPr>
            </w:pPr>
          </w:p>
        </w:tc>
        <w:tc>
          <w:tcPr>
            <w:tcW w:w="1261" w:type="dxa"/>
            <w:noWrap w:val="0"/>
            <w:vAlign w:val="top"/>
          </w:tcPr>
          <w:p w14:paraId="18F061D4">
            <w:pPr>
              <w:spacing w:line="440" w:lineRule="exact"/>
              <w:rPr>
                <w:rFonts w:eastAsia="黑体"/>
                <w:color w:val="auto"/>
                <w:szCs w:val="21"/>
                <w:highlight w:val="none"/>
              </w:rPr>
            </w:pPr>
          </w:p>
        </w:tc>
        <w:tc>
          <w:tcPr>
            <w:tcW w:w="2296" w:type="dxa"/>
            <w:gridSpan w:val="2"/>
            <w:noWrap w:val="0"/>
            <w:vAlign w:val="top"/>
          </w:tcPr>
          <w:p w14:paraId="40223A0B">
            <w:pPr>
              <w:spacing w:line="440" w:lineRule="exact"/>
              <w:rPr>
                <w:rFonts w:eastAsia="黑体"/>
                <w:color w:val="auto"/>
                <w:szCs w:val="21"/>
                <w:highlight w:val="none"/>
              </w:rPr>
            </w:pPr>
          </w:p>
        </w:tc>
      </w:tr>
      <w:tr w14:paraId="01E3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72CA61A5">
            <w:pPr>
              <w:spacing w:line="440" w:lineRule="exact"/>
              <w:rPr>
                <w:rFonts w:eastAsia="黑体"/>
                <w:color w:val="auto"/>
                <w:szCs w:val="21"/>
                <w:highlight w:val="none"/>
              </w:rPr>
            </w:pPr>
          </w:p>
        </w:tc>
        <w:tc>
          <w:tcPr>
            <w:tcW w:w="3421" w:type="dxa"/>
            <w:gridSpan w:val="4"/>
            <w:noWrap w:val="0"/>
            <w:vAlign w:val="top"/>
          </w:tcPr>
          <w:p w14:paraId="1E72B0ED">
            <w:pPr>
              <w:spacing w:line="440" w:lineRule="exact"/>
              <w:rPr>
                <w:rFonts w:eastAsia="黑体"/>
                <w:color w:val="auto"/>
                <w:szCs w:val="21"/>
                <w:highlight w:val="none"/>
              </w:rPr>
            </w:pPr>
          </w:p>
        </w:tc>
        <w:tc>
          <w:tcPr>
            <w:tcW w:w="1261" w:type="dxa"/>
            <w:noWrap w:val="0"/>
            <w:vAlign w:val="top"/>
          </w:tcPr>
          <w:p w14:paraId="14547A99">
            <w:pPr>
              <w:spacing w:line="440" w:lineRule="exact"/>
              <w:rPr>
                <w:rFonts w:eastAsia="黑体"/>
                <w:color w:val="auto"/>
                <w:szCs w:val="21"/>
                <w:highlight w:val="none"/>
              </w:rPr>
            </w:pPr>
          </w:p>
        </w:tc>
        <w:tc>
          <w:tcPr>
            <w:tcW w:w="2296" w:type="dxa"/>
            <w:gridSpan w:val="2"/>
            <w:noWrap w:val="0"/>
            <w:vAlign w:val="top"/>
          </w:tcPr>
          <w:p w14:paraId="186E7C50">
            <w:pPr>
              <w:spacing w:line="440" w:lineRule="exact"/>
              <w:rPr>
                <w:rFonts w:eastAsia="黑体"/>
                <w:color w:val="auto"/>
                <w:szCs w:val="21"/>
                <w:highlight w:val="none"/>
              </w:rPr>
            </w:pPr>
          </w:p>
        </w:tc>
      </w:tr>
    </w:tbl>
    <w:p w14:paraId="243464E1">
      <w:pPr>
        <w:spacing w:line="400" w:lineRule="exact"/>
        <w:ind w:firstLine="420"/>
        <w:rPr>
          <w:color w:val="auto"/>
          <w:highlight w:val="none"/>
        </w:rPr>
      </w:pPr>
      <w:r>
        <w:rPr>
          <w:rFonts w:hint="eastAsia"/>
          <w:color w:val="auto"/>
          <w:highlight w:val="none"/>
        </w:rPr>
        <w:t>注：应附注册建造师执业资格证书、职称证、</w:t>
      </w:r>
      <w:r>
        <w:rPr>
          <w:rFonts w:hint="eastAsia"/>
          <w:color w:val="auto"/>
          <w:highlight w:val="none"/>
          <w:u w:val="single"/>
        </w:rPr>
        <w:t>社保证明</w:t>
      </w:r>
      <w:r>
        <w:rPr>
          <w:rFonts w:hint="eastAsia"/>
          <w:color w:val="auto"/>
          <w:highlight w:val="none"/>
        </w:rPr>
        <w:t>、安全生产考核合格证（B证）</w:t>
      </w:r>
      <w:bookmarkStart w:id="1235" w:name="_Toc222029570"/>
      <w:bookmarkStart w:id="1236" w:name="_Toc221952187"/>
      <w:bookmarkStart w:id="1237" w:name="_Toc152047267"/>
      <w:bookmarkStart w:id="1238" w:name="_Toc222033921"/>
      <w:bookmarkStart w:id="1239" w:name="_Toc229305430"/>
      <w:bookmarkStart w:id="1240" w:name="_Toc222032739"/>
      <w:bookmarkStart w:id="1241" w:name="_Toc222031072"/>
      <w:bookmarkStart w:id="1242" w:name="_Toc179715760"/>
      <w:bookmarkStart w:id="1243" w:name="_Toc259524425"/>
      <w:r>
        <w:rPr>
          <w:rFonts w:hint="eastAsia"/>
          <w:color w:val="auto"/>
          <w:highlight w:val="none"/>
        </w:rPr>
        <w:t>。</w:t>
      </w:r>
    </w:p>
    <w:p w14:paraId="2D43AA95">
      <w:pPr>
        <w:widowControl/>
        <w:jc w:val="left"/>
        <w:rPr>
          <w:rFonts w:ascii="宋体" w:hAnsi="宋体"/>
          <w:b/>
          <w:color w:val="auto"/>
          <w:sz w:val="24"/>
          <w:szCs w:val="31"/>
          <w:highlight w:val="none"/>
        </w:rPr>
      </w:pPr>
      <w:r>
        <w:rPr>
          <w:rFonts w:ascii="宋体" w:hAnsi="宋体"/>
          <w:b/>
          <w:color w:val="auto"/>
          <w:sz w:val="24"/>
          <w:szCs w:val="31"/>
          <w:highlight w:val="none"/>
        </w:rPr>
        <w:br w:type="page"/>
      </w:r>
    </w:p>
    <w:p w14:paraId="4CE1E4EA">
      <w:pPr>
        <w:spacing w:line="400" w:lineRule="exact"/>
        <w:jc w:val="left"/>
        <w:outlineLvl w:val="3"/>
        <w:rPr>
          <w:rFonts w:ascii="宋体" w:hAnsi="宋体"/>
          <w:b/>
          <w:color w:val="auto"/>
          <w:sz w:val="24"/>
          <w:szCs w:val="31"/>
          <w:highlight w:val="none"/>
        </w:rPr>
      </w:pPr>
      <w:r>
        <w:rPr>
          <w:rFonts w:ascii="宋体" w:hAnsi="宋体"/>
          <w:b/>
          <w:color w:val="auto"/>
          <w:sz w:val="24"/>
          <w:szCs w:val="31"/>
          <w:highlight w:val="none"/>
        </w:rPr>
        <w:t>（</w:t>
      </w:r>
      <w:r>
        <w:rPr>
          <w:rFonts w:hint="eastAsia" w:ascii="宋体" w:hAnsi="宋体"/>
          <w:b/>
          <w:color w:val="auto"/>
          <w:sz w:val="24"/>
          <w:szCs w:val="31"/>
          <w:highlight w:val="none"/>
        </w:rPr>
        <w:t>三</w:t>
      </w:r>
      <w:r>
        <w:rPr>
          <w:rFonts w:ascii="宋体" w:hAnsi="宋体"/>
          <w:b/>
          <w:color w:val="auto"/>
          <w:sz w:val="24"/>
          <w:szCs w:val="31"/>
          <w:highlight w:val="none"/>
        </w:rPr>
        <w:t>）</w:t>
      </w:r>
      <w:r>
        <w:rPr>
          <w:rFonts w:hint="eastAsia" w:ascii="宋体" w:hAnsi="宋体"/>
          <w:b/>
          <w:color w:val="auto"/>
          <w:sz w:val="24"/>
          <w:szCs w:val="31"/>
          <w:highlight w:val="none"/>
        </w:rPr>
        <w:t>拟投入技术负责人</w:t>
      </w:r>
    </w:p>
    <w:p w14:paraId="36356775">
      <w:pPr>
        <w:spacing w:before="260" w:after="260" w:line="415" w:lineRule="auto"/>
        <w:jc w:val="center"/>
        <w:rPr>
          <w:b/>
          <w:color w:val="auto"/>
          <w:sz w:val="32"/>
          <w:szCs w:val="32"/>
          <w:highlight w:val="none"/>
        </w:rPr>
      </w:pPr>
      <w:r>
        <w:rPr>
          <w:rFonts w:hint="eastAsia"/>
          <w:b/>
          <w:color w:val="auto"/>
          <w:sz w:val="32"/>
          <w:szCs w:val="32"/>
          <w:highlight w:val="none"/>
        </w:rPr>
        <w:t>技术负责人</w:t>
      </w:r>
      <w:r>
        <w:rPr>
          <w:b/>
          <w:color w:val="auto"/>
          <w:sz w:val="32"/>
          <w:szCs w:val="32"/>
          <w:highlight w:val="none"/>
        </w:rPr>
        <w:t>简历表</w:t>
      </w:r>
    </w:p>
    <w:tbl>
      <w:tblPr>
        <w:tblStyle w:val="42"/>
        <w:tblpPr w:leftFromText="180" w:rightFromText="180" w:vertAnchor="text" w:horzAnchor="margin" w:tblpY="9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56"/>
        <w:gridCol w:w="723"/>
        <w:gridCol w:w="927"/>
        <w:gridCol w:w="1065"/>
        <w:gridCol w:w="706"/>
        <w:gridCol w:w="1261"/>
        <w:gridCol w:w="164"/>
        <w:gridCol w:w="2132"/>
      </w:tblGrid>
      <w:tr w14:paraId="413C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B550A14">
            <w:pPr>
              <w:spacing w:line="440" w:lineRule="exact"/>
              <w:jc w:val="center"/>
              <w:rPr>
                <w:rFonts w:ascii="宋体" w:hAnsi="宋体"/>
                <w:color w:val="auto"/>
                <w:szCs w:val="21"/>
                <w:highlight w:val="none"/>
              </w:rPr>
            </w:pPr>
            <w:r>
              <w:rPr>
                <w:rFonts w:ascii="宋体" w:hAnsi="宋体"/>
                <w:color w:val="auto"/>
                <w:szCs w:val="21"/>
                <w:highlight w:val="none"/>
              </w:rPr>
              <w:t>姓  名</w:t>
            </w:r>
          </w:p>
        </w:tc>
        <w:tc>
          <w:tcPr>
            <w:tcW w:w="1079" w:type="dxa"/>
            <w:gridSpan w:val="2"/>
            <w:noWrap w:val="0"/>
            <w:vAlign w:val="center"/>
          </w:tcPr>
          <w:p w14:paraId="37ADF0B2">
            <w:pPr>
              <w:spacing w:line="440" w:lineRule="exact"/>
              <w:jc w:val="center"/>
              <w:rPr>
                <w:rFonts w:ascii="宋体" w:hAnsi="宋体"/>
                <w:color w:val="auto"/>
                <w:szCs w:val="21"/>
                <w:highlight w:val="none"/>
              </w:rPr>
            </w:pPr>
          </w:p>
        </w:tc>
        <w:tc>
          <w:tcPr>
            <w:tcW w:w="927" w:type="dxa"/>
            <w:noWrap w:val="0"/>
            <w:vAlign w:val="center"/>
          </w:tcPr>
          <w:p w14:paraId="0E603144">
            <w:pPr>
              <w:spacing w:line="440" w:lineRule="exact"/>
              <w:jc w:val="center"/>
              <w:rPr>
                <w:rFonts w:ascii="宋体" w:hAnsi="宋体"/>
                <w:color w:val="auto"/>
                <w:szCs w:val="21"/>
                <w:highlight w:val="none"/>
              </w:rPr>
            </w:pPr>
            <w:r>
              <w:rPr>
                <w:rFonts w:ascii="宋体" w:hAnsi="宋体"/>
                <w:color w:val="auto"/>
                <w:szCs w:val="21"/>
                <w:highlight w:val="none"/>
              </w:rPr>
              <w:t>年 龄</w:t>
            </w:r>
          </w:p>
        </w:tc>
        <w:tc>
          <w:tcPr>
            <w:tcW w:w="1065" w:type="dxa"/>
            <w:noWrap w:val="0"/>
            <w:vAlign w:val="center"/>
          </w:tcPr>
          <w:p w14:paraId="696BAFA4">
            <w:pPr>
              <w:spacing w:line="440" w:lineRule="exact"/>
              <w:jc w:val="center"/>
              <w:rPr>
                <w:rFonts w:ascii="宋体" w:hAnsi="宋体"/>
                <w:color w:val="auto"/>
                <w:szCs w:val="21"/>
                <w:highlight w:val="none"/>
              </w:rPr>
            </w:pPr>
          </w:p>
        </w:tc>
        <w:tc>
          <w:tcPr>
            <w:tcW w:w="2131" w:type="dxa"/>
            <w:gridSpan w:val="3"/>
            <w:noWrap w:val="0"/>
            <w:vAlign w:val="center"/>
          </w:tcPr>
          <w:p w14:paraId="376F302E">
            <w:pPr>
              <w:spacing w:line="440" w:lineRule="exact"/>
              <w:jc w:val="center"/>
              <w:rPr>
                <w:rFonts w:ascii="宋体" w:hAnsi="宋体"/>
                <w:color w:val="auto"/>
                <w:szCs w:val="21"/>
                <w:highlight w:val="none"/>
              </w:rPr>
            </w:pPr>
            <w:r>
              <w:rPr>
                <w:rFonts w:ascii="宋体" w:hAnsi="宋体"/>
                <w:color w:val="auto"/>
                <w:szCs w:val="21"/>
                <w:highlight w:val="none"/>
              </w:rPr>
              <w:t>学历</w:t>
            </w:r>
          </w:p>
        </w:tc>
        <w:tc>
          <w:tcPr>
            <w:tcW w:w="2132" w:type="dxa"/>
            <w:noWrap w:val="0"/>
            <w:vAlign w:val="center"/>
          </w:tcPr>
          <w:p w14:paraId="67C7C8FB">
            <w:pPr>
              <w:spacing w:line="440" w:lineRule="exact"/>
              <w:rPr>
                <w:rFonts w:ascii="宋体" w:hAnsi="宋体"/>
                <w:color w:val="auto"/>
                <w:szCs w:val="21"/>
                <w:highlight w:val="none"/>
              </w:rPr>
            </w:pPr>
          </w:p>
        </w:tc>
      </w:tr>
      <w:tr w14:paraId="6F56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04F58C53">
            <w:pPr>
              <w:spacing w:line="440" w:lineRule="exact"/>
              <w:jc w:val="center"/>
              <w:rPr>
                <w:rFonts w:ascii="宋体" w:hAnsi="宋体"/>
                <w:color w:val="auto"/>
                <w:szCs w:val="21"/>
                <w:highlight w:val="none"/>
              </w:rPr>
            </w:pPr>
            <w:r>
              <w:rPr>
                <w:rFonts w:ascii="宋体" w:hAnsi="宋体"/>
                <w:color w:val="auto"/>
                <w:szCs w:val="21"/>
                <w:highlight w:val="none"/>
              </w:rPr>
              <w:t>职  称</w:t>
            </w:r>
          </w:p>
        </w:tc>
        <w:tc>
          <w:tcPr>
            <w:tcW w:w="1079" w:type="dxa"/>
            <w:gridSpan w:val="2"/>
            <w:noWrap w:val="0"/>
            <w:vAlign w:val="center"/>
          </w:tcPr>
          <w:p w14:paraId="4C15F2F5">
            <w:pPr>
              <w:spacing w:line="440" w:lineRule="exact"/>
              <w:jc w:val="center"/>
              <w:rPr>
                <w:rFonts w:ascii="宋体" w:hAnsi="宋体"/>
                <w:color w:val="auto"/>
                <w:szCs w:val="21"/>
                <w:highlight w:val="none"/>
              </w:rPr>
            </w:pPr>
          </w:p>
        </w:tc>
        <w:tc>
          <w:tcPr>
            <w:tcW w:w="927" w:type="dxa"/>
            <w:noWrap w:val="0"/>
            <w:vAlign w:val="center"/>
          </w:tcPr>
          <w:p w14:paraId="6BE9A1C1">
            <w:pPr>
              <w:spacing w:line="440" w:lineRule="exact"/>
              <w:jc w:val="center"/>
              <w:rPr>
                <w:rFonts w:ascii="宋体" w:hAnsi="宋体"/>
                <w:color w:val="auto"/>
                <w:szCs w:val="21"/>
                <w:highlight w:val="none"/>
              </w:rPr>
            </w:pPr>
            <w:r>
              <w:rPr>
                <w:rFonts w:ascii="宋体" w:hAnsi="宋体"/>
                <w:color w:val="auto"/>
                <w:szCs w:val="21"/>
                <w:highlight w:val="none"/>
              </w:rPr>
              <w:t>职 务</w:t>
            </w:r>
          </w:p>
        </w:tc>
        <w:tc>
          <w:tcPr>
            <w:tcW w:w="1065" w:type="dxa"/>
            <w:noWrap w:val="0"/>
            <w:vAlign w:val="center"/>
          </w:tcPr>
          <w:p w14:paraId="4877496F">
            <w:pPr>
              <w:spacing w:line="440" w:lineRule="exact"/>
              <w:jc w:val="center"/>
              <w:rPr>
                <w:rFonts w:ascii="宋体" w:hAnsi="宋体"/>
                <w:color w:val="auto"/>
                <w:szCs w:val="21"/>
                <w:highlight w:val="none"/>
              </w:rPr>
            </w:pPr>
          </w:p>
        </w:tc>
        <w:tc>
          <w:tcPr>
            <w:tcW w:w="2131" w:type="dxa"/>
            <w:gridSpan w:val="3"/>
            <w:noWrap w:val="0"/>
            <w:vAlign w:val="center"/>
          </w:tcPr>
          <w:p w14:paraId="5CDB336B">
            <w:pPr>
              <w:spacing w:line="440" w:lineRule="exact"/>
              <w:jc w:val="center"/>
              <w:rPr>
                <w:rFonts w:ascii="宋体" w:hAnsi="宋体"/>
                <w:color w:val="auto"/>
                <w:szCs w:val="21"/>
                <w:highlight w:val="none"/>
              </w:rPr>
            </w:pPr>
            <w:r>
              <w:rPr>
                <w:rFonts w:ascii="宋体" w:hAnsi="宋体"/>
                <w:color w:val="auto"/>
                <w:szCs w:val="21"/>
                <w:highlight w:val="none"/>
              </w:rPr>
              <w:t>拟在本合同任职</w:t>
            </w:r>
          </w:p>
        </w:tc>
        <w:tc>
          <w:tcPr>
            <w:tcW w:w="2132" w:type="dxa"/>
            <w:noWrap w:val="0"/>
            <w:vAlign w:val="center"/>
          </w:tcPr>
          <w:p w14:paraId="47D08B6D">
            <w:pPr>
              <w:spacing w:line="440" w:lineRule="exact"/>
              <w:rPr>
                <w:rFonts w:ascii="宋体" w:hAnsi="宋体"/>
                <w:color w:val="auto"/>
                <w:szCs w:val="21"/>
                <w:highlight w:val="none"/>
              </w:rPr>
            </w:pPr>
          </w:p>
        </w:tc>
      </w:tr>
      <w:tr w14:paraId="3527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noWrap w:val="0"/>
            <w:vAlign w:val="center"/>
          </w:tcPr>
          <w:p w14:paraId="5E4B4FCA">
            <w:pPr>
              <w:spacing w:line="440" w:lineRule="exact"/>
              <w:jc w:val="center"/>
              <w:rPr>
                <w:rFonts w:ascii="宋体" w:hAnsi="宋体"/>
                <w:color w:val="auto"/>
                <w:szCs w:val="21"/>
                <w:highlight w:val="none"/>
              </w:rPr>
            </w:pPr>
            <w:r>
              <w:rPr>
                <w:rFonts w:ascii="宋体" w:hAnsi="宋体"/>
                <w:color w:val="auto"/>
                <w:szCs w:val="21"/>
                <w:highlight w:val="none"/>
              </w:rPr>
              <w:t>主要工作经历</w:t>
            </w:r>
          </w:p>
        </w:tc>
      </w:tr>
      <w:tr w14:paraId="5342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4" w:type="dxa"/>
            <w:gridSpan w:val="2"/>
            <w:noWrap w:val="0"/>
            <w:vAlign w:val="center"/>
          </w:tcPr>
          <w:p w14:paraId="37A7D606">
            <w:pPr>
              <w:spacing w:line="440" w:lineRule="exact"/>
              <w:rPr>
                <w:rFonts w:ascii="宋体" w:hAnsi="宋体"/>
                <w:color w:val="auto"/>
                <w:szCs w:val="21"/>
                <w:highlight w:val="none"/>
              </w:rPr>
            </w:pPr>
            <w:r>
              <w:rPr>
                <w:rFonts w:ascii="宋体" w:hAnsi="宋体"/>
                <w:color w:val="auto"/>
                <w:szCs w:val="21"/>
                <w:highlight w:val="none"/>
              </w:rPr>
              <w:t>时  间</w:t>
            </w:r>
          </w:p>
        </w:tc>
        <w:tc>
          <w:tcPr>
            <w:tcW w:w="3421" w:type="dxa"/>
            <w:gridSpan w:val="4"/>
            <w:noWrap w:val="0"/>
            <w:vAlign w:val="center"/>
          </w:tcPr>
          <w:p w14:paraId="7CD9D9D9">
            <w:pPr>
              <w:spacing w:line="440" w:lineRule="exact"/>
              <w:rPr>
                <w:rFonts w:ascii="宋体" w:hAnsi="宋体"/>
                <w:color w:val="auto"/>
                <w:szCs w:val="21"/>
                <w:highlight w:val="none"/>
              </w:rPr>
            </w:pPr>
            <w:r>
              <w:rPr>
                <w:rFonts w:ascii="宋体" w:hAnsi="宋体"/>
                <w:color w:val="auto"/>
                <w:szCs w:val="21"/>
                <w:highlight w:val="none"/>
              </w:rPr>
              <w:t>参加过的类似项目</w:t>
            </w:r>
          </w:p>
        </w:tc>
        <w:tc>
          <w:tcPr>
            <w:tcW w:w="1261" w:type="dxa"/>
            <w:noWrap w:val="0"/>
            <w:vAlign w:val="center"/>
          </w:tcPr>
          <w:p w14:paraId="53131BA4">
            <w:pPr>
              <w:spacing w:line="440" w:lineRule="exact"/>
              <w:rPr>
                <w:rFonts w:ascii="宋体" w:hAnsi="宋体"/>
                <w:color w:val="auto"/>
                <w:szCs w:val="21"/>
                <w:highlight w:val="none"/>
              </w:rPr>
            </w:pPr>
            <w:r>
              <w:rPr>
                <w:rFonts w:ascii="宋体" w:hAnsi="宋体"/>
                <w:color w:val="auto"/>
                <w:szCs w:val="21"/>
                <w:highlight w:val="none"/>
              </w:rPr>
              <w:t>担任职务</w:t>
            </w:r>
          </w:p>
        </w:tc>
        <w:tc>
          <w:tcPr>
            <w:tcW w:w="2296" w:type="dxa"/>
            <w:gridSpan w:val="2"/>
            <w:noWrap w:val="0"/>
            <w:vAlign w:val="center"/>
          </w:tcPr>
          <w:p w14:paraId="5AF0DB4E">
            <w:pPr>
              <w:spacing w:line="440" w:lineRule="exact"/>
              <w:rPr>
                <w:rFonts w:ascii="宋体" w:hAnsi="宋体"/>
                <w:color w:val="auto"/>
                <w:szCs w:val="21"/>
                <w:highlight w:val="none"/>
              </w:rPr>
            </w:pPr>
            <w:r>
              <w:rPr>
                <w:rFonts w:ascii="宋体" w:hAnsi="宋体"/>
                <w:color w:val="auto"/>
                <w:szCs w:val="21"/>
                <w:highlight w:val="none"/>
              </w:rPr>
              <w:t>发包人及联系电话</w:t>
            </w:r>
          </w:p>
        </w:tc>
      </w:tr>
      <w:tr w14:paraId="0527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1CA567E5">
            <w:pPr>
              <w:spacing w:line="440" w:lineRule="exact"/>
              <w:rPr>
                <w:rFonts w:eastAsia="黑体"/>
                <w:color w:val="auto"/>
                <w:szCs w:val="21"/>
                <w:highlight w:val="none"/>
              </w:rPr>
            </w:pPr>
          </w:p>
        </w:tc>
        <w:tc>
          <w:tcPr>
            <w:tcW w:w="3421" w:type="dxa"/>
            <w:gridSpan w:val="4"/>
            <w:noWrap w:val="0"/>
            <w:vAlign w:val="top"/>
          </w:tcPr>
          <w:p w14:paraId="76D6D71D">
            <w:pPr>
              <w:spacing w:line="440" w:lineRule="exact"/>
              <w:rPr>
                <w:rFonts w:eastAsia="黑体"/>
                <w:color w:val="auto"/>
                <w:szCs w:val="21"/>
                <w:highlight w:val="none"/>
              </w:rPr>
            </w:pPr>
          </w:p>
        </w:tc>
        <w:tc>
          <w:tcPr>
            <w:tcW w:w="1261" w:type="dxa"/>
            <w:noWrap w:val="0"/>
            <w:vAlign w:val="top"/>
          </w:tcPr>
          <w:p w14:paraId="774BC6D7">
            <w:pPr>
              <w:spacing w:line="440" w:lineRule="exact"/>
              <w:rPr>
                <w:rFonts w:eastAsia="黑体"/>
                <w:color w:val="auto"/>
                <w:szCs w:val="21"/>
                <w:highlight w:val="none"/>
              </w:rPr>
            </w:pPr>
          </w:p>
        </w:tc>
        <w:tc>
          <w:tcPr>
            <w:tcW w:w="2296" w:type="dxa"/>
            <w:gridSpan w:val="2"/>
            <w:noWrap w:val="0"/>
            <w:vAlign w:val="top"/>
          </w:tcPr>
          <w:p w14:paraId="08627B25">
            <w:pPr>
              <w:spacing w:line="440" w:lineRule="exact"/>
              <w:rPr>
                <w:rFonts w:eastAsia="黑体"/>
                <w:color w:val="auto"/>
                <w:szCs w:val="21"/>
                <w:highlight w:val="none"/>
              </w:rPr>
            </w:pPr>
          </w:p>
        </w:tc>
      </w:tr>
      <w:tr w14:paraId="3DD6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439A8070">
            <w:pPr>
              <w:spacing w:line="440" w:lineRule="exact"/>
              <w:rPr>
                <w:rFonts w:eastAsia="黑体"/>
                <w:color w:val="auto"/>
                <w:szCs w:val="21"/>
                <w:highlight w:val="none"/>
              </w:rPr>
            </w:pPr>
          </w:p>
        </w:tc>
        <w:tc>
          <w:tcPr>
            <w:tcW w:w="3421" w:type="dxa"/>
            <w:gridSpan w:val="4"/>
            <w:noWrap w:val="0"/>
            <w:vAlign w:val="top"/>
          </w:tcPr>
          <w:p w14:paraId="310CE06C">
            <w:pPr>
              <w:spacing w:line="440" w:lineRule="exact"/>
              <w:rPr>
                <w:rFonts w:eastAsia="黑体"/>
                <w:color w:val="auto"/>
                <w:szCs w:val="21"/>
                <w:highlight w:val="none"/>
              </w:rPr>
            </w:pPr>
          </w:p>
        </w:tc>
        <w:tc>
          <w:tcPr>
            <w:tcW w:w="1261" w:type="dxa"/>
            <w:noWrap w:val="0"/>
            <w:vAlign w:val="top"/>
          </w:tcPr>
          <w:p w14:paraId="071E1A06">
            <w:pPr>
              <w:spacing w:line="440" w:lineRule="exact"/>
              <w:rPr>
                <w:rFonts w:eastAsia="黑体"/>
                <w:color w:val="auto"/>
                <w:szCs w:val="21"/>
                <w:highlight w:val="none"/>
              </w:rPr>
            </w:pPr>
          </w:p>
        </w:tc>
        <w:tc>
          <w:tcPr>
            <w:tcW w:w="2296" w:type="dxa"/>
            <w:gridSpan w:val="2"/>
            <w:noWrap w:val="0"/>
            <w:vAlign w:val="top"/>
          </w:tcPr>
          <w:p w14:paraId="50E80D69">
            <w:pPr>
              <w:spacing w:line="440" w:lineRule="exact"/>
              <w:rPr>
                <w:rFonts w:eastAsia="黑体"/>
                <w:color w:val="auto"/>
                <w:szCs w:val="21"/>
                <w:highlight w:val="none"/>
              </w:rPr>
            </w:pPr>
          </w:p>
        </w:tc>
      </w:tr>
      <w:tr w14:paraId="3026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74A5C036">
            <w:pPr>
              <w:spacing w:line="440" w:lineRule="exact"/>
              <w:rPr>
                <w:rFonts w:eastAsia="黑体"/>
                <w:color w:val="auto"/>
                <w:szCs w:val="21"/>
                <w:highlight w:val="none"/>
              </w:rPr>
            </w:pPr>
          </w:p>
        </w:tc>
        <w:tc>
          <w:tcPr>
            <w:tcW w:w="3421" w:type="dxa"/>
            <w:gridSpan w:val="4"/>
            <w:noWrap w:val="0"/>
            <w:vAlign w:val="top"/>
          </w:tcPr>
          <w:p w14:paraId="37822078">
            <w:pPr>
              <w:spacing w:line="440" w:lineRule="exact"/>
              <w:rPr>
                <w:rFonts w:eastAsia="黑体"/>
                <w:color w:val="auto"/>
                <w:szCs w:val="21"/>
                <w:highlight w:val="none"/>
              </w:rPr>
            </w:pPr>
          </w:p>
        </w:tc>
        <w:tc>
          <w:tcPr>
            <w:tcW w:w="1261" w:type="dxa"/>
            <w:noWrap w:val="0"/>
            <w:vAlign w:val="top"/>
          </w:tcPr>
          <w:p w14:paraId="506D3387">
            <w:pPr>
              <w:spacing w:line="440" w:lineRule="exact"/>
              <w:rPr>
                <w:rFonts w:eastAsia="黑体"/>
                <w:color w:val="auto"/>
                <w:szCs w:val="21"/>
                <w:highlight w:val="none"/>
              </w:rPr>
            </w:pPr>
          </w:p>
        </w:tc>
        <w:tc>
          <w:tcPr>
            <w:tcW w:w="2296" w:type="dxa"/>
            <w:gridSpan w:val="2"/>
            <w:noWrap w:val="0"/>
            <w:vAlign w:val="top"/>
          </w:tcPr>
          <w:p w14:paraId="26203774">
            <w:pPr>
              <w:spacing w:line="440" w:lineRule="exact"/>
              <w:rPr>
                <w:rFonts w:eastAsia="黑体"/>
                <w:color w:val="auto"/>
                <w:szCs w:val="21"/>
                <w:highlight w:val="none"/>
              </w:rPr>
            </w:pPr>
          </w:p>
        </w:tc>
      </w:tr>
      <w:tr w14:paraId="1260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3829BA99">
            <w:pPr>
              <w:spacing w:line="440" w:lineRule="exact"/>
              <w:rPr>
                <w:rFonts w:eastAsia="黑体"/>
                <w:color w:val="auto"/>
                <w:szCs w:val="21"/>
                <w:highlight w:val="none"/>
              </w:rPr>
            </w:pPr>
          </w:p>
        </w:tc>
        <w:tc>
          <w:tcPr>
            <w:tcW w:w="3421" w:type="dxa"/>
            <w:gridSpan w:val="4"/>
            <w:noWrap w:val="0"/>
            <w:vAlign w:val="top"/>
          </w:tcPr>
          <w:p w14:paraId="54E2D3C3">
            <w:pPr>
              <w:spacing w:line="440" w:lineRule="exact"/>
              <w:rPr>
                <w:rFonts w:eastAsia="黑体"/>
                <w:color w:val="auto"/>
                <w:szCs w:val="21"/>
                <w:highlight w:val="none"/>
              </w:rPr>
            </w:pPr>
          </w:p>
        </w:tc>
        <w:tc>
          <w:tcPr>
            <w:tcW w:w="1261" w:type="dxa"/>
            <w:noWrap w:val="0"/>
            <w:vAlign w:val="top"/>
          </w:tcPr>
          <w:p w14:paraId="6F539375">
            <w:pPr>
              <w:spacing w:line="440" w:lineRule="exact"/>
              <w:rPr>
                <w:rFonts w:eastAsia="黑体"/>
                <w:color w:val="auto"/>
                <w:szCs w:val="21"/>
                <w:highlight w:val="none"/>
              </w:rPr>
            </w:pPr>
          </w:p>
        </w:tc>
        <w:tc>
          <w:tcPr>
            <w:tcW w:w="2296" w:type="dxa"/>
            <w:gridSpan w:val="2"/>
            <w:noWrap w:val="0"/>
            <w:vAlign w:val="top"/>
          </w:tcPr>
          <w:p w14:paraId="537BF91A">
            <w:pPr>
              <w:spacing w:line="440" w:lineRule="exact"/>
              <w:rPr>
                <w:rFonts w:eastAsia="黑体"/>
                <w:color w:val="auto"/>
                <w:szCs w:val="21"/>
                <w:highlight w:val="none"/>
              </w:rPr>
            </w:pPr>
          </w:p>
        </w:tc>
      </w:tr>
      <w:tr w14:paraId="3D25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4663FF54">
            <w:pPr>
              <w:spacing w:line="440" w:lineRule="exact"/>
              <w:rPr>
                <w:rFonts w:eastAsia="黑体"/>
                <w:color w:val="auto"/>
                <w:szCs w:val="21"/>
                <w:highlight w:val="none"/>
              </w:rPr>
            </w:pPr>
          </w:p>
        </w:tc>
        <w:tc>
          <w:tcPr>
            <w:tcW w:w="3421" w:type="dxa"/>
            <w:gridSpan w:val="4"/>
            <w:noWrap w:val="0"/>
            <w:vAlign w:val="top"/>
          </w:tcPr>
          <w:p w14:paraId="6BD050C4">
            <w:pPr>
              <w:spacing w:line="440" w:lineRule="exact"/>
              <w:rPr>
                <w:rFonts w:eastAsia="黑体"/>
                <w:color w:val="auto"/>
                <w:szCs w:val="21"/>
                <w:highlight w:val="none"/>
              </w:rPr>
            </w:pPr>
          </w:p>
        </w:tc>
        <w:tc>
          <w:tcPr>
            <w:tcW w:w="1261" w:type="dxa"/>
            <w:noWrap w:val="0"/>
            <w:vAlign w:val="top"/>
          </w:tcPr>
          <w:p w14:paraId="75D51331">
            <w:pPr>
              <w:spacing w:line="440" w:lineRule="exact"/>
              <w:rPr>
                <w:rFonts w:eastAsia="黑体"/>
                <w:color w:val="auto"/>
                <w:szCs w:val="21"/>
                <w:highlight w:val="none"/>
              </w:rPr>
            </w:pPr>
          </w:p>
        </w:tc>
        <w:tc>
          <w:tcPr>
            <w:tcW w:w="2296" w:type="dxa"/>
            <w:gridSpan w:val="2"/>
            <w:noWrap w:val="0"/>
            <w:vAlign w:val="top"/>
          </w:tcPr>
          <w:p w14:paraId="06390887">
            <w:pPr>
              <w:spacing w:line="440" w:lineRule="exact"/>
              <w:rPr>
                <w:rFonts w:eastAsia="黑体"/>
                <w:color w:val="auto"/>
                <w:szCs w:val="21"/>
                <w:highlight w:val="none"/>
              </w:rPr>
            </w:pPr>
          </w:p>
        </w:tc>
      </w:tr>
      <w:tr w14:paraId="09BF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4A9EDA6C">
            <w:pPr>
              <w:spacing w:line="440" w:lineRule="exact"/>
              <w:rPr>
                <w:rFonts w:eastAsia="黑体"/>
                <w:color w:val="auto"/>
                <w:szCs w:val="21"/>
                <w:highlight w:val="none"/>
              </w:rPr>
            </w:pPr>
          </w:p>
        </w:tc>
        <w:tc>
          <w:tcPr>
            <w:tcW w:w="3421" w:type="dxa"/>
            <w:gridSpan w:val="4"/>
            <w:noWrap w:val="0"/>
            <w:vAlign w:val="top"/>
          </w:tcPr>
          <w:p w14:paraId="66F35F8D">
            <w:pPr>
              <w:spacing w:line="440" w:lineRule="exact"/>
              <w:rPr>
                <w:rFonts w:eastAsia="黑体"/>
                <w:color w:val="auto"/>
                <w:szCs w:val="21"/>
                <w:highlight w:val="none"/>
              </w:rPr>
            </w:pPr>
          </w:p>
        </w:tc>
        <w:tc>
          <w:tcPr>
            <w:tcW w:w="1261" w:type="dxa"/>
            <w:noWrap w:val="0"/>
            <w:vAlign w:val="top"/>
          </w:tcPr>
          <w:p w14:paraId="647E6353">
            <w:pPr>
              <w:spacing w:line="440" w:lineRule="exact"/>
              <w:rPr>
                <w:rFonts w:eastAsia="黑体"/>
                <w:color w:val="auto"/>
                <w:szCs w:val="21"/>
                <w:highlight w:val="none"/>
              </w:rPr>
            </w:pPr>
          </w:p>
        </w:tc>
        <w:tc>
          <w:tcPr>
            <w:tcW w:w="2296" w:type="dxa"/>
            <w:gridSpan w:val="2"/>
            <w:noWrap w:val="0"/>
            <w:vAlign w:val="top"/>
          </w:tcPr>
          <w:p w14:paraId="48D28E01">
            <w:pPr>
              <w:spacing w:line="440" w:lineRule="exact"/>
              <w:rPr>
                <w:rFonts w:eastAsia="黑体"/>
                <w:color w:val="auto"/>
                <w:szCs w:val="21"/>
                <w:highlight w:val="none"/>
              </w:rPr>
            </w:pPr>
          </w:p>
        </w:tc>
      </w:tr>
      <w:tr w14:paraId="7186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4CDBE2D6">
            <w:pPr>
              <w:spacing w:line="440" w:lineRule="exact"/>
              <w:rPr>
                <w:rFonts w:eastAsia="黑体"/>
                <w:color w:val="auto"/>
                <w:szCs w:val="21"/>
                <w:highlight w:val="none"/>
              </w:rPr>
            </w:pPr>
          </w:p>
        </w:tc>
        <w:tc>
          <w:tcPr>
            <w:tcW w:w="3421" w:type="dxa"/>
            <w:gridSpan w:val="4"/>
            <w:noWrap w:val="0"/>
            <w:vAlign w:val="top"/>
          </w:tcPr>
          <w:p w14:paraId="03DDC929">
            <w:pPr>
              <w:spacing w:line="440" w:lineRule="exact"/>
              <w:rPr>
                <w:rFonts w:eastAsia="黑体"/>
                <w:color w:val="auto"/>
                <w:szCs w:val="21"/>
                <w:highlight w:val="none"/>
              </w:rPr>
            </w:pPr>
          </w:p>
        </w:tc>
        <w:tc>
          <w:tcPr>
            <w:tcW w:w="1261" w:type="dxa"/>
            <w:noWrap w:val="0"/>
            <w:vAlign w:val="top"/>
          </w:tcPr>
          <w:p w14:paraId="67D450AD">
            <w:pPr>
              <w:spacing w:line="440" w:lineRule="exact"/>
              <w:rPr>
                <w:rFonts w:eastAsia="黑体"/>
                <w:color w:val="auto"/>
                <w:szCs w:val="21"/>
                <w:highlight w:val="none"/>
              </w:rPr>
            </w:pPr>
          </w:p>
        </w:tc>
        <w:tc>
          <w:tcPr>
            <w:tcW w:w="2296" w:type="dxa"/>
            <w:gridSpan w:val="2"/>
            <w:noWrap w:val="0"/>
            <w:vAlign w:val="top"/>
          </w:tcPr>
          <w:p w14:paraId="4A1AD683">
            <w:pPr>
              <w:spacing w:line="440" w:lineRule="exact"/>
              <w:rPr>
                <w:rFonts w:eastAsia="黑体"/>
                <w:color w:val="auto"/>
                <w:szCs w:val="21"/>
                <w:highlight w:val="none"/>
              </w:rPr>
            </w:pPr>
          </w:p>
        </w:tc>
      </w:tr>
      <w:tr w14:paraId="38A1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0D2E9574">
            <w:pPr>
              <w:spacing w:line="440" w:lineRule="exact"/>
              <w:rPr>
                <w:rFonts w:eastAsia="黑体"/>
                <w:color w:val="auto"/>
                <w:szCs w:val="21"/>
                <w:highlight w:val="none"/>
              </w:rPr>
            </w:pPr>
          </w:p>
        </w:tc>
        <w:tc>
          <w:tcPr>
            <w:tcW w:w="3421" w:type="dxa"/>
            <w:gridSpan w:val="4"/>
            <w:noWrap w:val="0"/>
            <w:vAlign w:val="top"/>
          </w:tcPr>
          <w:p w14:paraId="032984CC">
            <w:pPr>
              <w:spacing w:line="440" w:lineRule="exact"/>
              <w:rPr>
                <w:rFonts w:eastAsia="黑体"/>
                <w:color w:val="auto"/>
                <w:szCs w:val="21"/>
                <w:highlight w:val="none"/>
              </w:rPr>
            </w:pPr>
          </w:p>
        </w:tc>
        <w:tc>
          <w:tcPr>
            <w:tcW w:w="1261" w:type="dxa"/>
            <w:noWrap w:val="0"/>
            <w:vAlign w:val="top"/>
          </w:tcPr>
          <w:p w14:paraId="44473816">
            <w:pPr>
              <w:spacing w:line="440" w:lineRule="exact"/>
              <w:rPr>
                <w:rFonts w:eastAsia="黑体"/>
                <w:color w:val="auto"/>
                <w:szCs w:val="21"/>
                <w:highlight w:val="none"/>
              </w:rPr>
            </w:pPr>
          </w:p>
        </w:tc>
        <w:tc>
          <w:tcPr>
            <w:tcW w:w="2296" w:type="dxa"/>
            <w:gridSpan w:val="2"/>
            <w:noWrap w:val="0"/>
            <w:vAlign w:val="top"/>
          </w:tcPr>
          <w:p w14:paraId="643DE379">
            <w:pPr>
              <w:spacing w:line="440" w:lineRule="exact"/>
              <w:rPr>
                <w:rFonts w:eastAsia="黑体"/>
                <w:color w:val="auto"/>
                <w:szCs w:val="21"/>
                <w:highlight w:val="none"/>
              </w:rPr>
            </w:pPr>
          </w:p>
        </w:tc>
      </w:tr>
      <w:tr w14:paraId="56FB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51A760B5">
            <w:pPr>
              <w:spacing w:line="440" w:lineRule="exact"/>
              <w:rPr>
                <w:rFonts w:eastAsia="黑体"/>
                <w:color w:val="auto"/>
                <w:szCs w:val="21"/>
                <w:highlight w:val="none"/>
              </w:rPr>
            </w:pPr>
          </w:p>
        </w:tc>
        <w:tc>
          <w:tcPr>
            <w:tcW w:w="3421" w:type="dxa"/>
            <w:gridSpan w:val="4"/>
            <w:noWrap w:val="0"/>
            <w:vAlign w:val="top"/>
          </w:tcPr>
          <w:p w14:paraId="52850FDD">
            <w:pPr>
              <w:spacing w:line="440" w:lineRule="exact"/>
              <w:rPr>
                <w:rFonts w:eastAsia="黑体"/>
                <w:color w:val="auto"/>
                <w:szCs w:val="21"/>
                <w:highlight w:val="none"/>
              </w:rPr>
            </w:pPr>
          </w:p>
        </w:tc>
        <w:tc>
          <w:tcPr>
            <w:tcW w:w="1261" w:type="dxa"/>
            <w:noWrap w:val="0"/>
            <w:vAlign w:val="top"/>
          </w:tcPr>
          <w:p w14:paraId="5C9BBEFC">
            <w:pPr>
              <w:spacing w:line="440" w:lineRule="exact"/>
              <w:rPr>
                <w:rFonts w:eastAsia="黑体"/>
                <w:color w:val="auto"/>
                <w:szCs w:val="21"/>
                <w:highlight w:val="none"/>
              </w:rPr>
            </w:pPr>
          </w:p>
        </w:tc>
        <w:tc>
          <w:tcPr>
            <w:tcW w:w="2296" w:type="dxa"/>
            <w:gridSpan w:val="2"/>
            <w:noWrap w:val="0"/>
            <w:vAlign w:val="top"/>
          </w:tcPr>
          <w:p w14:paraId="1760FD4E">
            <w:pPr>
              <w:spacing w:line="440" w:lineRule="exact"/>
              <w:rPr>
                <w:rFonts w:eastAsia="黑体"/>
                <w:color w:val="auto"/>
                <w:szCs w:val="21"/>
                <w:highlight w:val="none"/>
              </w:rPr>
            </w:pPr>
          </w:p>
        </w:tc>
      </w:tr>
      <w:tr w14:paraId="6AC4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78D73E85">
            <w:pPr>
              <w:spacing w:line="440" w:lineRule="exact"/>
              <w:rPr>
                <w:rFonts w:eastAsia="黑体"/>
                <w:color w:val="auto"/>
                <w:szCs w:val="21"/>
                <w:highlight w:val="none"/>
              </w:rPr>
            </w:pPr>
          </w:p>
        </w:tc>
        <w:tc>
          <w:tcPr>
            <w:tcW w:w="3421" w:type="dxa"/>
            <w:gridSpan w:val="4"/>
            <w:noWrap w:val="0"/>
            <w:vAlign w:val="top"/>
          </w:tcPr>
          <w:p w14:paraId="1230A8EC">
            <w:pPr>
              <w:spacing w:line="440" w:lineRule="exact"/>
              <w:rPr>
                <w:rFonts w:eastAsia="黑体"/>
                <w:color w:val="auto"/>
                <w:szCs w:val="21"/>
                <w:highlight w:val="none"/>
              </w:rPr>
            </w:pPr>
          </w:p>
        </w:tc>
        <w:tc>
          <w:tcPr>
            <w:tcW w:w="1261" w:type="dxa"/>
            <w:noWrap w:val="0"/>
            <w:vAlign w:val="top"/>
          </w:tcPr>
          <w:p w14:paraId="1668C577">
            <w:pPr>
              <w:spacing w:line="440" w:lineRule="exact"/>
              <w:rPr>
                <w:rFonts w:eastAsia="黑体"/>
                <w:color w:val="auto"/>
                <w:szCs w:val="21"/>
                <w:highlight w:val="none"/>
              </w:rPr>
            </w:pPr>
          </w:p>
        </w:tc>
        <w:tc>
          <w:tcPr>
            <w:tcW w:w="2296" w:type="dxa"/>
            <w:gridSpan w:val="2"/>
            <w:noWrap w:val="0"/>
            <w:vAlign w:val="top"/>
          </w:tcPr>
          <w:p w14:paraId="12FF2176">
            <w:pPr>
              <w:spacing w:line="440" w:lineRule="exact"/>
              <w:rPr>
                <w:rFonts w:eastAsia="黑体"/>
                <w:color w:val="auto"/>
                <w:szCs w:val="21"/>
                <w:highlight w:val="none"/>
              </w:rPr>
            </w:pPr>
          </w:p>
        </w:tc>
      </w:tr>
      <w:tr w14:paraId="1586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06EC367F">
            <w:pPr>
              <w:spacing w:line="440" w:lineRule="exact"/>
              <w:rPr>
                <w:rFonts w:eastAsia="黑体"/>
                <w:color w:val="auto"/>
                <w:szCs w:val="21"/>
                <w:highlight w:val="none"/>
              </w:rPr>
            </w:pPr>
          </w:p>
        </w:tc>
        <w:tc>
          <w:tcPr>
            <w:tcW w:w="3421" w:type="dxa"/>
            <w:gridSpan w:val="4"/>
            <w:noWrap w:val="0"/>
            <w:vAlign w:val="top"/>
          </w:tcPr>
          <w:p w14:paraId="0DEA5E0D">
            <w:pPr>
              <w:spacing w:line="440" w:lineRule="exact"/>
              <w:rPr>
                <w:rFonts w:eastAsia="黑体"/>
                <w:color w:val="auto"/>
                <w:szCs w:val="21"/>
                <w:highlight w:val="none"/>
              </w:rPr>
            </w:pPr>
          </w:p>
        </w:tc>
        <w:tc>
          <w:tcPr>
            <w:tcW w:w="1261" w:type="dxa"/>
            <w:noWrap w:val="0"/>
            <w:vAlign w:val="top"/>
          </w:tcPr>
          <w:p w14:paraId="686DBCA8">
            <w:pPr>
              <w:spacing w:line="440" w:lineRule="exact"/>
              <w:rPr>
                <w:rFonts w:eastAsia="黑体"/>
                <w:color w:val="auto"/>
                <w:szCs w:val="21"/>
                <w:highlight w:val="none"/>
              </w:rPr>
            </w:pPr>
          </w:p>
        </w:tc>
        <w:tc>
          <w:tcPr>
            <w:tcW w:w="2296" w:type="dxa"/>
            <w:gridSpan w:val="2"/>
            <w:noWrap w:val="0"/>
            <w:vAlign w:val="top"/>
          </w:tcPr>
          <w:p w14:paraId="24D54FDE">
            <w:pPr>
              <w:spacing w:line="440" w:lineRule="exact"/>
              <w:rPr>
                <w:rFonts w:eastAsia="黑体"/>
                <w:color w:val="auto"/>
                <w:szCs w:val="21"/>
                <w:highlight w:val="none"/>
              </w:rPr>
            </w:pPr>
          </w:p>
        </w:tc>
      </w:tr>
      <w:tr w14:paraId="51301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6165F038">
            <w:pPr>
              <w:spacing w:line="440" w:lineRule="exact"/>
              <w:rPr>
                <w:rFonts w:eastAsia="黑体"/>
                <w:color w:val="auto"/>
                <w:szCs w:val="21"/>
                <w:highlight w:val="none"/>
              </w:rPr>
            </w:pPr>
          </w:p>
        </w:tc>
        <w:tc>
          <w:tcPr>
            <w:tcW w:w="3421" w:type="dxa"/>
            <w:gridSpan w:val="4"/>
            <w:noWrap w:val="0"/>
            <w:vAlign w:val="top"/>
          </w:tcPr>
          <w:p w14:paraId="203361F1">
            <w:pPr>
              <w:spacing w:line="440" w:lineRule="exact"/>
              <w:rPr>
                <w:rFonts w:eastAsia="黑体"/>
                <w:color w:val="auto"/>
                <w:szCs w:val="21"/>
                <w:highlight w:val="none"/>
              </w:rPr>
            </w:pPr>
          </w:p>
        </w:tc>
        <w:tc>
          <w:tcPr>
            <w:tcW w:w="1261" w:type="dxa"/>
            <w:noWrap w:val="0"/>
            <w:vAlign w:val="top"/>
          </w:tcPr>
          <w:p w14:paraId="35C9A6C2">
            <w:pPr>
              <w:spacing w:line="440" w:lineRule="exact"/>
              <w:rPr>
                <w:rFonts w:eastAsia="黑体"/>
                <w:color w:val="auto"/>
                <w:szCs w:val="21"/>
                <w:highlight w:val="none"/>
              </w:rPr>
            </w:pPr>
          </w:p>
        </w:tc>
        <w:tc>
          <w:tcPr>
            <w:tcW w:w="2296" w:type="dxa"/>
            <w:gridSpan w:val="2"/>
            <w:noWrap w:val="0"/>
            <w:vAlign w:val="top"/>
          </w:tcPr>
          <w:p w14:paraId="357B4941">
            <w:pPr>
              <w:spacing w:line="440" w:lineRule="exact"/>
              <w:rPr>
                <w:rFonts w:eastAsia="黑体"/>
                <w:color w:val="auto"/>
                <w:szCs w:val="21"/>
                <w:highlight w:val="none"/>
              </w:rPr>
            </w:pPr>
          </w:p>
        </w:tc>
      </w:tr>
    </w:tbl>
    <w:p w14:paraId="583CFB0F">
      <w:pPr>
        <w:spacing w:before="260" w:after="260" w:line="415" w:lineRule="auto"/>
        <w:jc w:val="left"/>
        <w:rPr>
          <w:color w:val="auto"/>
          <w:szCs w:val="21"/>
          <w:highlight w:val="none"/>
        </w:rPr>
      </w:pPr>
      <w:r>
        <w:rPr>
          <w:rFonts w:hint="eastAsia"/>
          <w:color w:val="auto"/>
          <w:highlight w:val="none"/>
        </w:rPr>
        <w:t>注：</w:t>
      </w:r>
      <w:r>
        <w:rPr>
          <w:rFonts w:hint="eastAsia"/>
          <w:color w:val="auto"/>
          <w:szCs w:val="21"/>
          <w:highlight w:val="none"/>
        </w:rPr>
        <w:t>应附职称证书、</w:t>
      </w:r>
      <w:r>
        <w:rPr>
          <w:rFonts w:hint="eastAsia"/>
          <w:color w:val="auto"/>
          <w:highlight w:val="none"/>
          <w:u w:val="single"/>
        </w:rPr>
        <w:t>社保证明</w:t>
      </w:r>
      <w:r>
        <w:rPr>
          <w:rFonts w:hint="eastAsia"/>
          <w:color w:val="auto"/>
          <w:szCs w:val="21"/>
          <w:highlight w:val="none"/>
        </w:rPr>
        <w:t>。</w:t>
      </w:r>
    </w:p>
    <w:p w14:paraId="3593D2EE">
      <w:pPr>
        <w:jc w:val="left"/>
        <w:rPr>
          <w:color w:val="auto"/>
          <w:highlight w:val="none"/>
        </w:rPr>
      </w:pPr>
    </w:p>
    <w:p w14:paraId="44495A07">
      <w:pPr>
        <w:spacing w:line="400" w:lineRule="exact"/>
        <w:jc w:val="left"/>
        <w:outlineLvl w:val="3"/>
        <w:rPr>
          <w:rFonts w:hint="eastAsia" w:ascii="宋体" w:hAnsi="宋体"/>
          <w:b/>
          <w:color w:val="auto"/>
          <w:sz w:val="24"/>
          <w:szCs w:val="31"/>
          <w:highlight w:val="none"/>
        </w:rPr>
        <w:sectPr>
          <w:pgSz w:w="11906" w:h="16838"/>
          <w:pgMar w:top="1440" w:right="1800" w:bottom="1440" w:left="1800" w:header="851" w:footer="992" w:gutter="0"/>
          <w:cols w:space="720" w:num="1"/>
          <w:docGrid w:type="lines" w:linePitch="312" w:charSpace="0"/>
        </w:sectPr>
      </w:pPr>
    </w:p>
    <w:p w14:paraId="3C7426DD">
      <w:pPr>
        <w:spacing w:line="400" w:lineRule="exact"/>
        <w:jc w:val="left"/>
        <w:outlineLvl w:val="3"/>
        <w:rPr>
          <w:rFonts w:ascii="宋体" w:hAnsi="宋体"/>
          <w:b/>
          <w:color w:val="auto"/>
          <w:sz w:val="24"/>
          <w:szCs w:val="31"/>
          <w:highlight w:val="none"/>
        </w:rPr>
      </w:pPr>
      <w:r>
        <w:rPr>
          <w:rFonts w:hint="eastAsia" w:ascii="宋体" w:hAnsi="宋体"/>
          <w:b/>
          <w:color w:val="auto"/>
          <w:sz w:val="24"/>
          <w:szCs w:val="31"/>
          <w:highlight w:val="none"/>
        </w:rPr>
        <w:t>（四）拟投入专职安全员</w:t>
      </w:r>
    </w:p>
    <w:p w14:paraId="4DFB65DF">
      <w:pPr>
        <w:spacing w:before="260" w:after="260" w:line="415" w:lineRule="auto"/>
        <w:jc w:val="center"/>
        <w:rPr>
          <w:b/>
          <w:color w:val="auto"/>
          <w:sz w:val="32"/>
          <w:szCs w:val="32"/>
          <w:highlight w:val="none"/>
        </w:rPr>
      </w:pPr>
      <w:r>
        <w:rPr>
          <w:rFonts w:hint="eastAsia" w:ascii="Times New Roman" w:hAnsi="Times New Roman"/>
          <w:b/>
          <w:color w:val="auto"/>
          <w:sz w:val="32"/>
          <w:szCs w:val="32"/>
          <w:highlight w:val="none"/>
        </w:rPr>
        <w:t>专职安全员</w:t>
      </w:r>
      <w:r>
        <w:rPr>
          <w:rFonts w:hint="eastAsia"/>
          <w:b/>
          <w:color w:val="auto"/>
          <w:sz w:val="32"/>
          <w:szCs w:val="32"/>
          <w:highlight w:val="none"/>
        </w:rPr>
        <w:t>简历</w:t>
      </w:r>
      <w:r>
        <w:rPr>
          <w:rFonts w:hint="eastAsia" w:ascii="Times New Roman" w:hAnsi="Times New Roman"/>
          <w:b/>
          <w:color w:val="auto"/>
          <w:sz w:val="32"/>
          <w:szCs w:val="32"/>
          <w:highlight w:val="none"/>
        </w:rPr>
        <w:t>表</w:t>
      </w:r>
    </w:p>
    <w:p w14:paraId="46671BE9">
      <w:pPr>
        <w:spacing w:line="400" w:lineRule="exact"/>
        <w:ind w:firstLine="420" w:firstLineChars="200"/>
        <w:rPr>
          <w:color w:val="auto"/>
          <w:highlight w:val="none"/>
        </w:rPr>
      </w:pP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916"/>
        <w:gridCol w:w="1328"/>
        <w:gridCol w:w="1311"/>
        <w:gridCol w:w="1263"/>
        <w:gridCol w:w="1377"/>
      </w:tblGrid>
      <w:tr w14:paraId="40439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27" w:type="dxa"/>
            <w:noWrap w:val="0"/>
            <w:vAlign w:val="center"/>
          </w:tcPr>
          <w:p w14:paraId="202D38B6">
            <w:pPr>
              <w:pStyle w:val="13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姓名</w:t>
            </w:r>
          </w:p>
        </w:tc>
        <w:tc>
          <w:tcPr>
            <w:tcW w:w="1916" w:type="dxa"/>
            <w:noWrap w:val="0"/>
            <w:vAlign w:val="center"/>
          </w:tcPr>
          <w:p w14:paraId="5107D2FE">
            <w:pPr>
              <w:pStyle w:val="138"/>
              <w:adjustRightInd w:val="0"/>
              <w:snapToGrid w:val="0"/>
              <w:spacing w:before="0" w:after="0"/>
              <w:jc w:val="center"/>
              <w:rPr>
                <w:rFonts w:ascii="宋体" w:hAnsi="宋体" w:eastAsia="宋体"/>
                <w:color w:val="auto"/>
                <w:sz w:val="21"/>
                <w:szCs w:val="21"/>
                <w:highlight w:val="none"/>
              </w:rPr>
            </w:pPr>
          </w:p>
        </w:tc>
        <w:tc>
          <w:tcPr>
            <w:tcW w:w="1328" w:type="dxa"/>
            <w:noWrap w:val="0"/>
            <w:vAlign w:val="center"/>
          </w:tcPr>
          <w:p w14:paraId="14401E4D">
            <w:pPr>
              <w:pStyle w:val="13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年龄</w:t>
            </w:r>
          </w:p>
        </w:tc>
        <w:tc>
          <w:tcPr>
            <w:tcW w:w="1311" w:type="dxa"/>
            <w:noWrap w:val="0"/>
            <w:vAlign w:val="center"/>
          </w:tcPr>
          <w:p w14:paraId="32F5B22B">
            <w:pPr>
              <w:pStyle w:val="138"/>
              <w:adjustRightInd w:val="0"/>
              <w:snapToGrid w:val="0"/>
              <w:spacing w:before="0" w:after="0"/>
              <w:jc w:val="center"/>
              <w:rPr>
                <w:rFonts w:ascii="宋体" w:hAnsi="宋体" w:eastAsia="宋体"/>
                <w:color w:val="auto"/>
                <w:sz w:val="21"/>
                <w:szCs w:val="21"/>
                <w:highlight w:val="none"/>
              </w:rPr>
            </w:pPr>
          </w:p>
        </w:tc>
        <w:tc>
          <w:tcPr>
            <w:tcW w:w="1263" w:type="dxa"/>
            <w:noWrap w:val="0"/>
            <w:vAlign w:val="center"/>
          </w:tcPr>
          <w:p w14:paraId="43BCD56C">
            <w:pPr>
              <w:pStyle w:val="13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职称</w:t>
            </w:r>
          </w:p>
        </w:tc>
        <w:tc>
          <w:tcPr>
            <w:tcW w:w="1377" w:type="dxa"/>
            <w:noWrap w:val="0"/>
            <w:vAlign w:val="center"/>
          </w:tcPr>
          <w:p w14:paraId="70042104">
            <w:pPr>
              <w:pStyle w:val="138"/>
              <w:adjustRightInd w:val="0"/>
              <w:snapToGrid w:val="0"/>
              <w:spacing w:before="0" w:after="0"/>
              <w:jc w:val="center"/>
              <w:rPr>
                <w:rFonts w:ascii="宋体" w:hAnsi="宋体" w:eastAsia="宋体"/>
                <w:color w:val="auto"/>
                <w:sz w:val="21"/>
                <w:szCs w:val="21"/>
                <w:highlight w:val="none"/>
              </w:rPr>
            </w:pPr>
          </w:p>
        </w:tc>
      </w:tr>
      <w:tr w14:paraId="11782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27" w:type="dxa"/>
            <w:noWrap w:val="0"/>
            <w:vAlign w:val="center"/>
          </w:tcPr>
          <w:p w14:paraId="2F50E559">
            <w:pPr>
              <w:pStyle w:val="13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从事本工作时间</w:t>
            </w:r>
          </w:p>
        </w:tc>
        <w:tc>
          <w:tcPr>
            <w:tcW w:w="1916" w:type="dxa"/>
            <w:noWrap w:val="0"/>
            <w:vAlign w:val="center"/>
          </w:tcPr>
          <w:p w14:paraId="13F31463">
            <w:pPr>
              <w:pStyle w:val="138"/>
              <w:adjustRightInd w:val="0"/>
              <w:snapToGrid w:val="0"/>
              <w:spacing w:before="0" w:after="0"/>
              <w:jc w:val="center"/>
              <w:rPr>
                <w:rFonts w:ascii="宋体" w:hAnsi="宋体" w:eastAsia="宋体"/>
                <w:color w:val="auto"/>
                <w:sz w:val="21"/>
                <w:szCs w:val="21"/>
                <w:highlight w:val="none"/>
              </w:rPr>
            </w:pPr>
          </w:p>
        </w:tc>
        <w:tc>
          <w:tcPr>
            <w:tcW w:w="1328" w:type="dxa"/>
            <w:noWrap w:val="0"/>
            <w:vAlign w:val="center"/>
          </w:tcPr>
          <w:p w14:paraId="64748679">
            <w:pPr>
              <w:pStyle w:val="13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学历</w:t>
            </w:r>
          </w:p>
        </w:tc>
        <w:tc>
          <w:tcPr>
            <w:tcW w:w="1311" w:type="dxa"/>
            <w:noWrap w:val="0"/>
            <w:vAlign w:val="center"/>
          </w:tcPr>
          <w:p w14:paraId="3A6A7C7E">
            <w:pPr>
              <w:pStyle w:val="138"/>
              <w:adjustRightInd w:val="0"/>
              <w:snapToGrid w:val="0"/>
              <w:spacing w:before="0" w:after="0"/>
              <w:jc w:val="center"/>
              <w:rPr>
                <w:rFonts w:ascii="宋体" w:hAnsi="宋体" w:eastAsia="宋体"/>
                <w:color w:val="auto"/>
                <w:sz w:val="21"/>
                <w:szCs w:val="21"/>
                <w:highlight w:val="none"/>
              </w:rPr>
            </w:pPr>
          </w:p>
        </w:tc>
        <w:tc>
          <w:tcPr>
            <w:tcW w:w="1263" w:type="dxa"/>
            <w:noWrap w:val="0"/>
            <w:vAlign w:val="center"/>
          </w:tcPr>
          <w:p w14:paraId="4E28F8A5">
            <w:pPr>
              <w:pStyle w:val="13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专业</w:t>
            </w:r>
          </w:p>
        </w:tc>
        <w:tc>
          <w:tcPr>
            <w:tcW w:w="1377" w:type="dxa"/>
            <w:noWrap w:val="0"/>
            <w:vAlign w:val="center"/>
          </w:tcPr>
          <w:p w14:paraId="675A7771">
            <w:pPr>
              <w:pStyle w:val="138"/>
              <w:adjustRightInd w:val="0"/>
              <w:snapToGrid w:val="0"/>
              <w:spacing w:before="0" w:after="0"/>
              <w:jc w:val="center"/>
              <w:rPr>
                <w:rFonts w:ascii="宋体" w:hAnsi="宋体" w:eastAsia="宋体"/>
                <w:color w:val="auto"/>
                <w:sz w:val="21"/>
                <w:szCs w:val="21"/>
                <w:highlight w:val="none"/>
              </w:rPr>
            </w:pPr>
          </w:p>
        </w:tc>
      </w:tr>
    </w:tbl>
    <w:p w14:paraId="698F162D">
      <w:pPr>
        <w:widowControl/>
        <w:jc w:val="left"/>
        <w:rPr>
          <w:color w:val="auto"/>
          <w:highlight w:val="none"/>
        </w:rPr>
      </w:pPr>
      <w:r>
        <w:rPr>
          <w:rFonts w:hint="eastAsia"/>
          <w:color w:val="auto"/>
          <w:highlight w:val="none"/>
        </w:rPr>
        <w:t>注：应附安全生产考核合格证（C证）、</w:t>
      </w:r>
      <w:r>
        <w:rPr>
          <w:rFonts w:hint="eastAsia"/>
          <w:color w:val="auto"/>
          <w:highlight w:val="none"/>
          <w:u w:val="single"/>
        </w:rPr>
        <w:t>社保证明。</w:t>
      </w:r>
      <w:r>
        <w:rPr>
          <w:rFonts w:ascii="宋体" w:hAnsi="宋体"/>
          <w:b/>
          <w:color w:val="auto"/>
          <w:sz w:val="24"/>
          <w:szCs w:val="31"/>
          <w:highlight w:val="none"/>
        </w:rPr>
        <w:br w:type="page"/>
      </w:r>
    </w:p>
    <w:p w14:paraId="1F7E6766">
      <w:pPr>
        <w:spacing w:line="360" w:lineRule="auto"/>
        <w:jc w:val="left"/>
        <w:outlineLvl w:val="3"/>
        <w:rPr>
          <w:rFonts w:ascii="宋体" w:hAnsi="宋体"/>
          <w:b/>
          <w:strike/>
          <w:color w:val="auto"/>
          <w:sz w:val="24"/>
          <w:szCs w:val="31"/>
          <w:highlight w:val="none"/>
        </w:rPr>
      </w:pPr>
      <w:r>
        <w:rPr>
          <w:rFonts w:hint="eastAsia" w:ascii="宋体" w:hAnsi="宋体"/>
          <w:b/>
          <w:strike/>
          <w:color w:val="auto"/>
          <w:sz w:val="24"/>
          <w:szCs w:val="31"/>
          <w:highlight w:val="none"/>
        </w:rPr>
        <w:t>（五）近  年完成的类似项目情况表</w:t>
      </w:r>
    </w:p>
    <w:p w14:paraId="1A880A13">
      <w:pPr>
        <w:topLinePunct/>
        <w:spacing w:line="360" w:lineRule="auto"/>
        <w:jc w:val="center"/>
        <w:rPr>
          <w:strike/>
          <w:color w:val="auto"/>
          <w:szCs w:val="21"/>
          <w:highlight w:val="none"/>
        </w:rPr>
      </w:pPr>
      <w:r>
        <w:rPr>
          <w:rFonts w:hint="eastAsia"/>
          <w:strike/>
          <w:color w:val="auto"/>
          <w:szCs w:val="21"/>
          <w:highlight w:val="none"/>
        </w:rPr>
        <w:t>（近  年指</w:t>
      </w:r>
      <w:r>
        <w:rPr>
          <w:rFonts w:hint="eastAsia"/>
          <w:strike/>
          <w:color w:val="auto"/>
          <w:szCs w:val="21"/>
          <w:highlight w:val="none"/>
          <w:u w:val="single"/>
        </w:rPr>
        <w:t xml:space="preserve">     </w:t>
      </w:r>
      <w:r>
        <w:rPr>
          <w:rFonts w:hint="eastAsia"/>
          <w:strike/>
          <w:color w:val="auto"/>
          <w:szCs w:val="21"/>
          <w:highlight w:val="none"/>
        </w:rPr>
        <w:t>年</w:t>
      </w:r>
      <w:r>
        <w:rPr>
          <w:rFonts w:hint="eastAsia"/>
          <w:strike/>
          <w:color w:val="auto"/>
          <w:szCs w:val="21"/>
          <w:highlight w:val="none"/>
          <w:u w:val="single"/>
        </w:rPr>
        <w:t xml:space="preserve">     </w:t>
      </w:r>
      <w:r>
        <w:rPr>
          <w:rFonts w:hint="eastAsia"/>
          <w:strike/>
          <w:color w:val="auto"/>
          <w:szCs w:val="21"/>
          <w:highlight w:val="none"/>
        </w:rPr>
        <w:t>月   日至今）</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4"/>
        <w:gridCol w:w="5178"/>
      </w:tblGrid>
      <w:tr w14:paraId="54F8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010C8FBE">
            <w:pPr>
              <w:topLinePunct/>
              <w:spacing w:line="360" w:lineRule="auto"/>
              <w:jc w:val="center"/>
              <w:rPr>
                <w:rFonts w:ascii="宋体" w:hAnsi="宋体"/>
                <w:strike/>
                <w:color w:val="auto"/>
                <w:szCs w:val="21"/>
                <w:highlight w:val="none"/>
              </w:rPr>
            </w:pPr>
            <w:r>
              <w:rPr>
                <w:rFonts w:hint="eastAsia" w:ascii="宋体" w:hAnsi="宋体"/>
                <w:strike/>
                <w:color w:val="auto"/>
                <w:szCs w:val="21"/>
                <w:highlight w:val="none"/>
              </w:rPr>
              <w:t>合同</w:t>
            </w:r>
            <w:r>
              <w:rPr>
                <w:rFonts w:ascii="宋体" w:hAnsi="宋体"/>
                <w:strike/>
                <w:color w:val="auto"/>
                <w:szCs w:val="21"/>
                <w:highlight w:val="none"/>
              </w:rPr>
              <w:t>名称</w:t>
            </w:r>
          </w:p>
        </w:tc>
        <w:tc>
          <w:tcPr>
            <w:tcW w:w="5178" w:type="dxa"/>
            <w:noWrap w:val="0"/>
            <w:vAlign w:val="center"/>
          </w:tcPr>
          <w:p w14:paraId="480D5682">
            <w:pPr>
              <w:topLinePunct/>
              <w:spacing w:line="360" w:lineRule="auto"/>
              <w:jc w:val="center"/>
              <w:rPr>
                <w:rFonts w:ascii="宋体" w:hAnsi="宋体"/>
                <w:strike/>
                <w:color w:val="auto"/>
                <w:szCs w:val="21"/>
                <w:highlight w:val="none"/>
              </w:rPr>
            </w:pPr>
          </w:p>
        </w:tc>
      </w:tr>
      <w:tr w14:paraId="1B03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29B46B85">
            <w:pPr>
              <w:topLinePunct/>
              <w:spacing w:line="360" w:lineRule="auto"/>
              <w:jc w:val="center"/>
              <w:rPr>
                <w:rFonts w:ascii="宋体" w:hAnsi="宋体"/>
                <w:strike/>
                <w:color w:val="auto"/>
                <w:szCs w:val="21"/>
                <w:highlight w:val="none"/>
              </w:rPr>
            </w:pPr>
            <w:r>
              <w:rPr>
                <w:rFonts w:hint="eastAsia" w:ascii="宋体" w:hAnsi="宋体"/>
                <w:strike/>
                <w:color w:val="auto"/>
                <w:szCs w:val="21"/>
                <w:highlight w:val="none"/>
              </w:rPr>
              <w:t>合同</w:t>
            </w:r>
            <w:r>
              <w:rPr>
                <w:rFonts w:ascii="宋体" w:hAnsi="宋体"/>
                <w:strike/>
                <w:color w:val="auto"/>
                <w:szCs w:val="21"/>
                <w:highlight w:val="none"/>
              </w:rPr>
              <w:t>项目所在地</w:t>
            </w:r>
          </w:p>
        </w:tc>
        <w:tc>
          <w:tcPr>
            <w:tcW w:w="5178" w:type="dxa"/>
            <w:noWrap w:val="0"/>
            <w:vAlign w:val="center"/>
          </w:tcPr>
          <w:p w14:paraId="4A22820C">
            <w:pPr>
              <w:topLinePunct/>
              <w:spacing w:line="360" w:lineRule="auto"/>
              <w:jc w:val="center"/>
              <w:rPr>
                <w:rFonts w:ascii="宋体" w:hAnsi="宋体"/>
                <w:strike/>
                <w:color w:val="auto"/>
                <w:szCs w:val="21"/>
                <w:highlight w:val="none"/>
              </w:rPr>
            </w:pPr>
          </w:p>
        </w:tc>
      </w:tr>
      <w:tr w14:paraId="2FF8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2484887F">
            <w:pPr>
              <w:topLinePunct/>
              <w:spacing w:line="360" w:lineRule="auto"/>
              <w:jc w:val="center"/>
              <w:rPr>
                <w:rFonts w:ascii="宋体" w:hAnsi="宋体"/>
                <w:strike/>
                <w:color w:val="auto"/>
                <w:szCs w:val="21"/>
                <w:highlight w:val="none"/>
              </w:rPr>
            </w:pPr>
            <w:r>
              <w:rPr>
                <w:rFonts w:ascii="宋体" w:hAnsi="宋体"/>
                <w:strike/>
                <w:color w:val="auto"/>
                <w:szCs w:val="21"/>
                <w:highlight w:val="none"/>
              </w:rPr>
              <w:t>发包人名称</w:t>
            </w:r>
          </w:p>
        </w:tc>
        <w:tc>
          <w:tcPr>
            <w:tcW w:w="5178" w:type="dxa"/>
            <w:noWrap w:val="0"/>
            <w:vAlign w:val="center"/>
          </w:tcPr>
          <w:p w14:paraId="46F37EDB">
            <w:pPr>
              <w:topLinePunct/>
              <w:spacing w:line="360" w:lineRule="auto"/>
              <w:jc w:val="center"/>
              <w:rPr>
                <w:rFonts w:ascii="宋体" w:hAnsi="宋体"/>
                <w:strike/>
                <w:color w:val="auto"/>
                <w:szCs w:val="21"/>
                <w:highlight w:val="none"/>
              </w:rPr>
            </w:pPr>
          </w:p>
        </w:tc>
      </w:tr>
      <w:tr w14:paraId="6853C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066141A7">
            <w:pPr>
              <w:topLinePunct/>
              <w:spacing w:line="360" w:lineRule="auto"/>
              <w:jc w:val="center"/>
              <w:rPr>
                <w:rFonts w:ascii="宋体" w:hAnsi="宋体"/>
                <w:strike/>
                <w:color w:val="auto"/>
                <w:szCs w:val="21"/>
                <w:highlight w:val="none"/>
              </w:rPr>
            </w:pPr>
            <w:r>
              <w:rPr>
                <w:rFonts w:ascii="宋体" w:hAnsi="宋体"/>
                <w:strike/>
                <w:color w:val="auto"/>
                <w:szCs w:val="21"/>
                <w:highlight w:val="none"/>
              </w:rPr>
              <w:t>发包人地址</w:t>
            </w:r>
          </w:p>
        </w:tc>
        <w:tc>
          <w:tcPr>
            <w:tcW w:w="5178" w:type="dxa"/>
            <w:noWrap w:val="0"/>
            <w:vAlign w:val="center"/>
          </w:tcPr>
          <w:p w14:paraId="1B683244">
            <w:pPr>
              <w:topLinePunct/>
              <w:spacing w:line="360" w:lineRule="auto"/>
              <w:jc w:val="center"/>
              <w:rPr>
                <w:rFonts w:ascii="宋体" w:hAnsi="宋体"/>
                <w:strike/>
                <w:color w:val="auto"/>
                <w:szCs w:val="21"/>
                <w:highlight w:val="none"/>
              </w:rPr>
            </w:pPr>
          </w:p>
        </w:tc>
      </w:tr>
      <w:tr w14:paraId="6B28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2E36EA53">
            <w:pPr>
              <w:topLinePunct/>
              <w:spacing w:line="360" w:lineRule="auto"/>
              <w:jc w:val="center"/>
              <w:rPr>
                <w:rFonts w:ascii="宋体" w:hAnsi="宋体"/>
                <w:strike/>
                <w:color w:val="auto"/>
                <w:szCs w:val="21"/>
                <w:highlight w:val="none"/>
              </w:rPr>
            </w:pPr>
            <w:r>
              <w:rPr>
                <w:rFonts w:ascii="宋体" w:hAnsi="宋体"/>
                <w:strike/>
                <w:color w:val="auto"/>
                <w:szCs w:val="21"/>
                <w:highlight w:val="none"/>
              </w:rPr>
              <w:t>发包人电话</w:t>
            </w:r>
          </w:p>
        </w:tc>
        <w:tc>
          <w:tcPr>
            <w:tcW w:w="5178" w:type="dxa"/>
            <w:noWrap w:val="0"/>
            <w:vAlign w:val="center"/>
          </w:tcPr>
          <w:p w14:paraId="692820E4">
            <w:pPr>
              <w:topLinePunct/>
              <w:spacing w:line="360" w:lineRule="auto"/>
              <w:jc w:val="center"/>
              <w:rPr>
                <w:rFonts w:ascii="宋体" w:hAnsi="宋体"/>
                <w:strike/>
                <w:color w:val="auto"/>
                <w:szCs w:val="21"/>
                <w:highlight w:val="none"/>
              </w:rPr>
            </w:pPr>
          </w:p>
        </w:tc>
      </w:tr>
      <w:tr w14:paraId="1495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16303BCA">
            <w:pPr>
              <w:topLinePunct/>
              <w:spacing w:line="360" w:lineRule="auto"/>
              <w:jc w:val="center"/>
              <w:rPr>
                <w:rFonts w:ascii="宋体" w:hAnsi="宋体"/>
                <w:strike/>
                <w:color w:val="auto"/>
                <w:szCs w:val="21"/>
                <w:highlight w:val="none"/>
              </w:rPr>
            </w:pPr>
            <w:r>
              <w:rPr>
                <w:rFonts w:hint="eastAsia" w:ascii="宋体" w:hAnsi="宋体"/>
                <w:strike/>
                <w:color w:val="auto"/>
                <w:szCs w:val="21"/>
                <w:highlight w:val="none"/>
              </w:rPr>
              <w:t>签约</w:t>
            </w:r>
            <w:r>
              <w:rPr>
                <w:rFonts w:ascii="宋体" w:hAnsi="宋体"/>
                <w:strike/>
                <w:color w:val="auto"/>
                <w:szCs w:val="21"/>
                <w:highlight w:val="none"/>
              </w:rPr>
              <w:t>合同价</w:t>
            </w:r>
          </w:p>
        </w:tc>
        <w:tc>
          <w:tcPr>
            <w:tcW w:w="5178" w:type="dxa"/>
            <w:noWrap w:val="0"/>
            <w:vAlign w:val="center"/>
          </w:tcPr>
          <w:p w14:paraId="6CF135C0">
            <w:pPr>
              <w:topLinePunct/>
              <w:spacing w:line="360" w:lineRule="auto"/>
              <w:jc w:val="center"/>
              <w:rPr>
                <w:rFonts w:ascii="宋体" w:hAnsi="宋体"/>
                <w:strike/>
                <w:color w:val="auto"/>
                <w:szCs w:val="21"/>
                <w:highlight w:val="none"/>
              </w:rPr>
            </w:pPr>
          </w:p>
        </w:tc>
      </w:tr>
      <w:tr w14:paraId="0EB3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41C0F72C">
            <w:pPr>
              <w:topLinePunct/>
              <w:spacing w:line="360" w:lineRule="auto"/>
              <w:jc w:val="center"/>
              <w:rPr>
                <w:rFonts w:ascii="宋体" w:hAnsi="宋体"/>
                <w:strike/>
                <w:color w:val="auto"/>
                <w:szCs w:val="21"/>
                <w:highlight w:val="none"/>
              </w:rPr>
            </w:pPr>
            <w:r>
              <w:rPr>
                <w:rFonts w:ascii="宋体" w:hAnsi="宋体"/>
                <w:strike/>
                <w:color w:val="auto"/>
                <w:szCs w:val="21"/>
                <w:highlight w:val="none"/>
              </w:rPr>
              <w:t>开工日期</w:t>
            </w:r>
          </w:p>
        </w:tc>
        <w:tc>
          <w:tcPr>
            <w:tcW w:w="5178" w:type="dxa"/>
            <w:noWrap w:val="0"/>
            <w:vAlign w:val="center"/>
          </w:tcPr>
          <w:p w14:paraId="5AD8A770">
            <w:pPr>
              <w:topLinePunct/>
              <w:spacing w:line="360" w:lineRule="auto"/>
              <w:jc w:val="center"/>
              <w:rPr>
                <w:rFonts w:ascii="宋体" w:hAnsi="宋体"/>
                <w:strike/>
                <w:color w:val="auto"/>
                <w:szCs w:val="21"/>
                <w:highlight w:val="none"/>
              </w:rPr>
            </w:pPr>
          </w:p>
        </w:tc>
        <w:bookmarkStart w:id="1244" w:name="_Toc332641447"/>
        <w:bookmarkStart w:id="1245" w:name="_Toc246997117"/>
        <w:bookmarkStart w:id="1246" w:name="_Toc246996374"/>
        <w:bookmarkStart w:id="1247" w:name="_Toc247085892"/>
      </w:tr>
      <w:tr w14:paraId="4A1A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15A3F815">
            <w:pPr>
              <w:topLinePunct/>
              <w:spacing w:line="360" w:lineRule="auto"/>
              <w:jc w:val="center"/>
              <w:rPr>
                <w:rFonts w:ascii="宋体" w:hAnsi="宋体"/>
                <w:strike/>
                <w:color w:val="auto"/>
                <w:szCs w:val="21"/>
                <w:highlight w:val="none"/>
              </w:rPr>
            </w:pPr>
            <w:r>
              <w:rPr>
                <w:rFonts w:hint="eastAsia" w:ascii="宋体" w:hAnsi="宋体"/>
                <w:strike/>
                <w:color w:val="auto"/>
                <w:szCs w:val="21"/>
                <w:highlight w:val="none"/>
              </w:rPr>
              <w:t>完工</w:t>
            </w:r>
            <w:r>
              <w:rPr>
                <w:rFonts w:ascii="宋体" w:hAnsi="宋体"/>
                <w:strike/>
                <w:color w:val="auto"/>
                <w:szCs w:val="21"/>
                <w:highlight w:val="none"/>
              </w:rPr>
              <w:t>日期</w:t>
            </w:r>
          </w:p>
        </w:tc>
        <w:tc>
          <w:tcPr>
            <w:tcW w:w="5178" w:type="dxa"/>
            <w:noWrap w:val="0"/>
            <w:vAlign w:val="center"/>
          </w:tcPr>
          <w:p w14:paraId="7A04F337">
            <w:pPr>
              <w:topLinePunct/>
              <w:spacing w:line="360" w:lineRule="auto"/>
              <w:jc w:val="center"/>
              <w:rPr>
                <w:rFonts w:ascii="宋体" w:hAnsi="宋体"/>
                <w:strike/>
                <w:color w:val="auto"/>
                <w:szCs w:val="21"/>
                <w:highlight w:val="none"/>
              </w:rPr>
            </w:pPr>
          </w:p>
        </w:tc>
      </w:tr>
      <w:tr w14:paraId="3487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5326334C">
            <w:pPr>
              <w:topLinePunct/>
              <w:spacing w:line="360" w:lineRule="auto"/>
              <w:jc w:val="center"/>
              <w:rPr>
                <w:rFonts w:ascii="宋体" w:hAnsi="宋体"/>
                <w:strike/>
                <w:color w:val="auto"/>
                <w:szCs w:val="21"/>
                <w:highlight w:val="none"/>
              </w:rPr>
            </w:pPr>
            <w:r>
              <w:rPr>
                <w:rFonts w:ascii="宋体" w:hAnsi="宋体"/>
                <w:strike/>
                <w:color w:val="auto"/>
                <w:szCs w:val="21"/>
                <w:highlight w:val="none"/>
              </w:rPr>
              <w:t>承担的工作</w:t>
            </w:r>
          </w:p>
        </w:tc>
        <w:tc>
          <w:tcPr>
            <w:tcW w:w="5178" w:type="dxa"/>
            <w:noWrap w:val="0"/>
            <w:vAlign w:val="center"/>
          </w:tcPr>
          <w:p w14:paraId="628A3357">
            <w:pPr>
              <w:topLinePunct/>
              <w:spacing w:line="360" w:lineRule="auto"/>
              <w:jc w:val="center"/>
              <w:rPr>
                <w:rFonts w:ascii="宋体" w:hAnsi="宋体"/>
                <w:strike/>
                <w:color w:val="auto"/>
                <w:szCs w:val="21"/>
                <w:highlight w:val="none"/>
              </w:rPr>
            </w:pPr>
          </w:p>
        </w:tc>
      </w:tr>
      <w:tr w14:paraId="7EDA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3B12D3E8">
            <w:pPr>
              <w:topLinePunct/>
              <w:spacing w:line="360" w:lineRule="auto"/>
              <w:jc w:val="center"/>
              <w:rPr>
                <w:rFonts w:ascii="宋体" w:hAnsi="宋体"/>
                <w:strike/>
                <w:color w:val="auto"/>
                <w:szCs w:val="21"/>
                <w:highlight w:val="none"/>
              </w:rPr>
            </w:pPr>
            <w:r>
              <w:rPr>
                <w:rFonts w:ascii="宋体" w:hAnsi="宋体"/>
                <w:strike/>
                <w:color w:val="auto"/>
                <w:szCs w:val="21"/>
                <w:highlight w:val="none"/>
              </w:rPr>
              <w:t>工程质量</w:t>
            </w:r>
          </w:p>
        </w:tc>
        <w:tc>
          <w:tcPr>
            <w:tcW w:w="5178" w:type="dxa"/>
            <w:noWrap w:val="0"/>
            <w:vAlign w:val="center"/>
          </w:tcPr>
          <w:p w14:paraId="56CDC859">
            <w:pPr>
              <w:topLinePunct/>
              <w:spacing w:line="360" w:lineRule="auto"/>
              <w:jc w:val="center"/>
              <w:rPr>
                <w:rFonts w:ascii="宋体" w:hAnsi="宋体"/>
                <w:strike/>
                <w:color w:val="auto"/>
                <w:szCs w:val="21"/>
                <w:highlight w:val="none"/>
              </w:rPr>
            </w:pPr>
          </w:p>
        </w:tc>
      </w:tr>
      <w:tr w14:paraId="7DA5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6218AD71">
            <w:pPr>
              <w:topLinePunct/>
              <w:spacing w:line="360" w:lineRule="auto"/>
              <w:jc w:val="center"/>
              <w:rPr>
                <w:rFonts w:ascii="宋体" w:hAnsi="宋体"/>
                <w:strike/>
                <w:color w:val="auto"/>
                <w:szCs w:val="21"/>
                <w:highlight w:val="none"/>
              </w:rPr>
            </w:pPr>
            <w:r>
              <w:rPr>
                <w:rFonts w:ascii="宋体" w:hAnsi="宋体"/>
                <w:strike/>
                <w:color w:val="auto"/>
                <w:szCs w:val="21"/>
                <w:highlight w:val="none"/>
              </w:rPr>
              <w:t>项目负责人</w:t>
            </w:r>
          </w:p>
        </w:tc>
        <w:tc>
          <w:tcPr>
            <w:tcW w:w="5178" w:type="dxa"/>
            <w:noWrap w:val="0"/>
            <w:vAlign w:val="center"/>
          </w:tcPr>
          <w:p w14:paraId="13740787">
            <w:pPr>
              <w:topLinePunct/>
              <w:spacing w:line="360" w:lineRule="auto"/>
              <w:jc w:val="center"/>
              <w:rPr>
                <w:rFonts w:ascii="宋体" w:hAnsi="宋体"/>
                <w:strike/>
                <w:color w:val="auto"/>
                <w:szCs w:val="21"/>
                <w:highlight w:val="none"/>
              </w:rPr>
            </w:pPr>
          </w:p>
        </w:tc>
      </w:tr>
      <w:tr w14:paraId="682B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5D21F362">
            <w:pPr>
              <w:topLinePunct/>
              <w:spacing w:line="360" w:lineRule="auto"/>
              <w:jc w:val="center"/>
              <w:rPr>
                <w:rFonts w:ascii="宋体" w:hAnsi="宋体"/>
                <w:strike/>
                <w:color w:val="auto"/>
                <w:szCs w:val="21"/>
                <w:highlight w:val="none"/>
              </w:rPr>
            </w:pPr>
            <w:r>
              <w:rPr>
                <w:rFonts w:ascii="宋体" w:hAnsi="宋体"/>
                <w:strike/>
                <w:color w:val="auto"/>
                <w:szCs w:val="21"/>
                <w:highlight w:val="none"/>
              </w:rPr>
              <w:t>技术负责人</w:t>
            </w:r>
          </w:p>
        </w:tc>
        <w:tc>
          <w:tcPr>
            <w:tcW w:w="5178" w:type="dxa"/>
            <w:noWrap w:val="0"/>
            <w:vAlign w:val="center"/>
          </w:tcPr>
          <w:p w14:paraId="59A0982C">
            <w:pPr>
              <w:topLinePunct/>
              <w:spacing w:line="360" w:lineRule="auto"/>
              <w:jc w:val="center"/>
              <w:rPr>
                <w:rFonts w:ascii="宋体" w:hAnsi="宋体"/>
                <w:strike/>
                <w:color w:val="auto"/>
                <w:szCs w:val="21"/>
                <w:highlight w:val="none"/>
              </w:rPr>
            </w:pPr>
          </w:p>
        </w:tc>
      </w:tr>
      <w:tr w14:paraId="60D6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7B962FF6">
            <w:pPr>
              <w:topLinePunct/>
              <w:spacing w:line="360" w:lineRule="auto"/>
              <w:jc w:val="center"/>
              <w:rPr>
                <w:rFonts w:ascii="宋体" w:hAnsi="宋体"/>
                <w:strike/>
                <w:color w:val="auto"/>
                <w:szCs w:val="21"/>
                <w:highlight w:val="none"/>
              </w:rPr>
            </w:pPr>
            <w:r>
              <w:rPr>
                <w:rFonts w:hint="eastAsia" w:ascii="宋体" w:hAnsi="宋体"/>
                <w:strike/>
                <w:color w:val="auto"/>
                <w:szCs w:val="21"/>
                <w:highlight w:val="none"/>
              </w:rPr>
              <w:t>监理人以</w:t>
            </w:r>
            <w:r>
              <w:rPr>
                <w:rFonts w:ascii="宋体" w:hAnsi="宋体"/>
                <w:strike/>
                <w:color w:val="auto"/>
                <w:szCs w:val="21"/>
                <w:highlight w:val="none"/>
              </w:rPr>
              <w:t>及电话</w:t>
            </w:r>
          </w:p>
        </w:tc>
        <w:tc>
          <w:tcPr>
            <w:tcW w:w="5178" w:type="dxa"/>
            <w:noWrap w:val="0"/>
            <w:vAlign w:val="center"/>
          </w:tcPr>
          <w:p w14:paraId="454688A9">
            <w:pPr>
              <w:topLinePunct/>
              <w:spacing w:line="360" w:lineRule="auto"/>
              <w:jc w:val="center"/>
              <w:rPr>
                <w:rFonts w:ascii="宋体" w:hAnsi="宋体"/>
                <w:strike/>
                <w:color w:val="auto"/>
                <w:szCs w:val="21"/>
                <w:highlight w:val="none"/>
              </w:rPr>
            </w:pPr>
          </w:p>
        </w:tc>
      </w:tr>
      <w:tr w14:paraId="5BCD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16024D97">
            <w:pPr>
              <w:topLinePunct/>
              <w:spacing w:line="360" w:lineRule="auto"/>
              <w:jc w:val="center"/>
              <w:rPr>
                <w:rFonts w:ascii="宋体" w:hAnsi="宋体"/>
                <w:strike/>
                <w:color w:val="auto"/>
                <w:szCs w:val="21"/>
                <w:highlight w:val="none"/>
              </w:rPr>
            </w:pPr>
            <w:r>
              <w:rPr>
                <w:rFonts w:hint="eastAsia" w:ascii="宋体" w:hAnsi="宋体"/>
                <w:strike/>
                <w:color w:val="auto"/>
                <w:szCs w:val="21"/>
                <w:highlight w:val="none"/>
              </w:rPr>
              <w:t>合同</w:t>
            </w:r>
            <w:r>
              <w:rPr>
                <w:rFonts w:ascii="宋体" w:hAnsi="宋体"/>
                <w:strike/>
                <w:color w:val="auto"/>
                <w:szCs w:val="21"/>
                <w:highlight w:val="none"/>
              </w:rPr>
              <w:t>项目描述</w:t>
            </w:r>
          </w:p>
          <w:bookmarkEnd w:id="1244"/>
          <w:bookmarkEnd w:id="1245"/>
          <w:bookmarkEnd w:id="1246"/>
          <w:bookmarkEnd w:id="1247"/>
        </w:tc>
        <w:tc>
          <w:tcPr>
            <w:tcW w:w="5178" w:type="dxa"/>
            <w:noWrap w:val="0"/>
            <w:vAlign w:val="center"/>
          </w:tcPr>
          <w:p w14:paraId="40FF3096">
            <w:pPr>
              <w:topLinePunct/>
              <w:spacing w:line="360" w:lineRule="auto"/>
              <w:jc w:val="center"/>
              <w:rPr>
                <w:rFonts w:ascii="宋体" w:hAnsi="宋体"/>
                <w:strike/>
                <w:color w:val="auto"/>
                <w:szCs w:val="21"/>
                <w:highlight w:val="none"/>
              </w:rPr>
            </w:pPr>
          </w:p>
          <w:p w14:paraId="3C4A20C8">
            <w:pPr>
              <w:topLinePunct/>
              <w:spacing w:line="360" w:lineRule="auto"/>
              <w:jc w:val="center"/>
              <w:rPr>
                <w:rFonts w:ascii="宋体" w:hAnsi="宋体"/>
                <w:strike/>
                <w:color w:val="auto"/>
                <w:szCs w:val="21"/>
                <w:highlight w:val="none"/>
              </w:rPr>
            </w:pPr>
          </w:p>
          <w:p w14:paraId="43C0F595">
            <w:pPr>
              <w:topLinePunct/>
              <w:spacing w:line="360" w:lineRule="auto"/>
              <w:jc w:val="center"/>
              <w:rPr>
                <w:rFonts w:ascii="宋体" w:hAnsi="宋体"/>
                <w:strike/>
                <w:color w:val="auto"/>
                <w:szCs w:val="21"/>
                <w:highlight w:val="none"/>
              </w:rPr>
            </w:pPr>
          </w:p>
        </w:tc>
      </w:tr>
      <w:tr w14:paraId="03DC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7C13CB42">
            <w:pPr>
              <w:topLinePunct/>
              <w:spacing w:line="360" w:lineRule="auto"/>
              <w:jc w:val="center"/>
              <w:rPr>
                <w:rFonts w:ascii="宋体" w:hAnsi="宋体"/>
                <w:strike/>
                <w:color w:val="auto"/>
                <w:szCs w:val="21"/>
                <w:highlight w:val="none"/>
              </w:rPr>
            </w:pPr>
            <w:r>
              <w:rPr>
                <w:rFonts w:ascii="宋体" w:hAnsi="宋体"/>
                <w:strike/>
                <w:color w:val="auto"/>
                <w:szCs w:val="21"/>
                <w:highlight w:val="none"/>
              </w:rPr>
              <w:t>备注</w:t>
            </w:r>
          </w:p>
        </w:tc>
        <w:tc>
          <w:tcPr>
            <w:tcW w:w="5178" w:type="dxa"/>
            <w:noWrap w:val="0"/>
            <w:vAlign w:val="center"/>
          </w:tcPr>
          <w:p w14:paraId="255D2EA1">
            <w:pPr>
              <w:topLinePunct/>
              <w:spacing w:line="360" w:lineRule="auto"/>
              <w:jc w:val="center"/>
              <w:rPr>
                <w:rFonts w:ascii="宋体" w:hAnsi="宋体"/>
                <w:strike/>
                <w:color w:val="auto"/>
                <w:szCs w:val="21"/>
                <w:highlight w:val="none"/>
              </w:rPr>
            </w:pPr>
            <w:r>
              <w:rPr>
                <w:rFonts w:hint="eastAsia" w:ascii="宋体" w:hAnsi="宋体"/>
                <w:strike/>
                <w:color w:val="auto"/>
                <w:szCs w:val="21"/>
                <w:highlight w:val="none"/>
              </w:rPr>
              <w:t>合同项目描述内容至少包括项目概况、本合同在项目中的地位（部位、合同价格所占比例）和合同工程完工验收鉴定书有关验收结论</w:t>
            </w:r>
          </w:p>
        </w:tc>
      </w:tr>
    </w:tbl>
    <w:p w14:paraId="05BDAB8F">
      <w:pPr>
        <w:spacing w:line="400" w:lineRule="exact"/>
        <w:rPr>
          <w:strike/>
          <w:color w:val="auto"/>
          <w:highlight w:val="none"/>
        </w:rPr>
      </w:pPr>
      <w:r>
        <w:rPr>
          <w:rFonts w:hint="eastAsia"/>
          <w:strike/>
          <w:color w:val="auto"/>
          <w:highlight w:val="none"/>
        </w:rPr>
        <w:t>注：</w:t>
      </w:r>
      <w:r>
        <w:rPr>
          <w:rFonts w:hint="eastAsia"/>
          <w:strike/>
          <w:color w:val="auto"/>
          <w:highlight w:val="none"/>
          <w:u w:val="single"/>
        </w:rPr>
        <w:t>需提供相关材料</w:t>
      </w:r>
      <w:r>
        <w:rPr>
          <w:rFonts w:hint="eastAsia" w:ascii="宋体" w:hAnsi="宋体"/>
          <w:bCs/>
          <w:strike/>
          <w:color w:val="auto"/>
          <w:szCs w:val="21"/>
          <w:highlight w:val="none"/>
          <w:u w:val="single"/>
        </w:rPr>
        <w:t>的扫描件</w:t>
      </w:r>
      <w:bookmarkEnd w:id="1235"/>
      <w:bookmarkEnd w:id="1236"/>
      <w:bookmarkEnd w:id="1237"/>
      <w:bookmarkEnd w:id="1238"/>
      <w:bookmarkEnd w:id="1239"/>
      <w:bookmarkEnd w:id="1240"/>
      <w:bookmarkEnd w:id="1241"/>
      <w:bookmarkEnd w:id="1242"/>
      <w:bookmarkEnd w:id="1243"/>
      <w:bookmarkStart w:id="1248" w:name="_Toc227133884"/>
      <w:bookmarkStart w:id="1249" w:name="_Toc222029457"/>
      <w:bookmarkStart w:id="1250" w:name="_Toc229474018"/>
      <w:bookmarkStart w:id="1251" w:name="_Toc221949861"/>
    </w:p>
    <w:p w14:paraId="094C14C7">
      <w:pPr>
        <w:spacing w:line="400" w:lineRule="exact"/>
        <w:rPr>
          <w:color w:val="auto"/>
          <w:highlight w:val="none"/>
        </w:rPr>
      </w:pPr>
    </w:p>
    <w:p w14:paraId="489CFFC0">
      <w:pPr>
        <w:spacing w:line="400" w:lineRule="exact"/>
        <w:rPr>
          <w:color w:val="auto"/>
          <w:highlight w:val="none"/>
        </w:rPr>
      </w:pPr>
    </w:p>
    <w:p w14:paraId="436FD1F9">
      <w:pPr>
        <w:spacing w:line="400" w:lineRule="exact"/>
        <w:rPr>
          <w:color w:val="auto"/>
          <w:highlight w:val="none"/>
        </w:rPr>
      </w:pPr>
    </w:p>
    <w:p w14:paraId="3339C4BC">
      <w:pPr>
        <w:spacing w:line="400" w:lineRule="exact"/>
        <w:rPr>
          <w:color w:val="auto"/>
          <w:highlight w:val="none"/>
        </w:rPr>
      </w:pPr>
    </w:p>
    <w:p w14:paraId="5686633E">
      <w:pPr>
        <w:spacing w:line="400" w:lineRule="exact"/>
        <w:rPr>
          <w:color w:val="auto"/>
          <w:highlight w:val="none"/>
        </w:rPr>
      </w:pPr>
    </w:p>
    <w:p w14:paraId="7FA9229E">
      <w:pPr>
        <w:spacing w:line="400" w:lineRule="exact"/>
        <w:rPr>
          <w:color w:val="auto"/>
          <w:highlight w:val="none"/>
        </w:rPr>
      </w:pPr>
    </w:p>
    <w:p w14:paraId="4B639E17">
      <w:pPr>
        <w:spacing w:line="400" w:lineRule="exact"/>
        <w:rPr>
          <w:color w:val="auto"/>
          <w:highlight w:val="none"/>
        </w:rPr>
      </w:pPr>
    </w:p>
    <w:bookmarkEnd w:id="1248"/>
    <w:bookmarkEnd w:id="1249"/>
    <w:bookmarkEnd w:id="1250"/>
    <w:bookmarkEnd w:id="1251"/>
    <w:p w14:paraId="6B58043B">
      <w:pPr>
        <w:spacing w:line="400" w:lineRule="exact"/>
        <w:rPr>
          <w:color w:val="auto"/>
          <w:highlight w:val="none"/>
        </w:rPr>
      </w:pPr>
    </w:p>
    <w:p w14:paraId="3D4BF27C">
      <w:pPr>
        <w:spacing w:line="360" w:lineRule="auto"/>
        <w:jc w:val="left"/>
        <w:outlineLvl w:val="3"/>
        <w:rPr>
          <w:rFonts w:hint="eastAsia" w:ascii="宋体" w:hAnsi="宋体"/>
          <w:b/>
          <w:color w:val="auto"/>
          <w:sz w:val="24"/>
          <w:szCs w:val="31"/>
          <w:highlight w:val="none"/>
        </w:rPr>
        <w:sectPr>
          <w:pgSz w:w="11906" w:h="16838"/>
          <w:pgMar w:top="1440" w:right="1797" w:bottom="1440" w:left="1797" w:header="851" w:footer="992" w:gutter="0"/>
          <w:cols w:space="720" w:num="1"/>
          <w:docGrid w:linePitch="312" w:charSpace="0"/>
        </w:sectPr>
      </w:pPr>
    </w:p>
    <w:p w14:paraId="35255388">
      <w:pPr>
        <w:spacing w:line="360" w:lineRule="auto"/>
        <w:jc w:val="left"/>
        <w:outlineLvl w:val="3"/>
        <w:rPr>
          <w:rFonts w:ascii="宋体" w:hAnsi="宋体"/>
          <w:b/>
          <w:color w:val="auto"/>
          <w:sz w:val="24"/>
          <w:szCs w:val="31"/>
          <w:highlight w:val="none"/>
        </w:rPr>
      </w:pPr>
      <w:r>
        <w:rPr>
          <w:rFonts w:hint="eastAsia" w:ascii="宋体" w:hAnsi="宋体"/>
          <w:b/>
          <w:color w:val="auto"/>
          <w:sz w:val="24"/>
          <w:szCs w:val="31"/>
          <w:highlight w:val="none"/>
        </w:rPr>
        <w:t>（六）资格审查自审表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3939"/>
        <w:gridCol w:w="1198"/>
        <w:gridCol w:w="1162"/>
        <w:gridCol w:w="1536"/>
      </w:tblGrid>
      <w:tr w14:paraId="6600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403CD9A7">
            <w:pPr>
              <w:topLinePunct/>
              <w:spacing w:line="360" w:lineRule="auto"/>
              <w:jc w:val="center"/>
              <w:rPr>
                <w:color w:val="auto"/>
                <w:szCs w:val="21"/>
                <w:highlight w:val="none"/>
              </w:rPr>
            </w:pPr>
            <w:r>
              <w:rPr>
                <w:rFonts w:hint="eastAsia"/>
                <w:color w:val="auto"/>
                <w:szCs w:val="21"/>
                <w:highlight w:val="none"/>
              </w:rPr>
              <w:t>序号</w:t>
            </w:r>
          </w:p>
        </w:tc>
        <w:tc>
          <w:tcPr>
            <w:tcW w:w="3939" w:type="dxa"/>
            <w:noWrap w:val="0"/>
            <w:vAlign w:val="center"/>
          </w:tcPr>
          <w:p w14:paraId="232989F4">
            <w:pPr>
              <w:topLinePunct/>
              <w:spacing w:line="360" w:lineRule="auto"/>
              <w:jc w:val="center"/>
              <w:rPr>
                <w:color w:val="auto"/>
                <w:szCs w:val="21"/>
                <w:highlight w:val="none"/>
              </w:rPr>
            </w:pPr>
            <w:r>
              <w:rPr>
                <w:rFonts w:hint="eastAsia"/>
                <w:color w:val="auto"/>
                <w:szCs w:val="21"/>
                <w:highlight w:val="none"/>
              </w:rPr>
              <w:t>审查因素</w:t>
            </w:r>
          </w:p>
        </w:tc>
        <w:tc>
          <w:tcPr>
            <w:tcW w:w="1198" w:type="dxa"/>
            <w:noWrap w:val="0"/>
            <w:vAlign w:val="center"/>
          </w:tcPr>
          <w:p w14:paraId="13EA1C93">
            <w:pPr>
              <w:topLinePunct/>
              <w:spacing w:line="360" w:lineRule="auto"/>
              <w:jc w:val="center"/>
              <w:rPr>
                <w:color w:val="auto"/>
                <w:szCs w:val="21"/>
                <w:highlight w:val="none"/>
              </w:rPr>
            </w:pPr>
            <w:r>
              <w:rPr>
                <w:rFonts w:hint="eastAsia"/>
                <w:color w:val="auto"/>
                <w:szCs w:val="21"/>
                <w:highlight w:val="none"/>
              </w:rPr>
              <w:t>审查标准</w:t>
            </w:r>
          </w:p>
        </w:tc>
        <w:tc>
          <w:tcPr>
            <w:tcW w:w="1162" w:type="dxa"/>
            <w:noWrap w:val="0"/>
            <w:vAlign w:val="center"/>
          </w:tcPr>
          <w:p w14:paraId="33206667">
            <w:pPr>
              <w:topLinePunct/>
              <w:spacing w:line="360" w:lineRule="auto"/>
              <w:jc w:val="center"/>
              <w:rPr>
                <w:color w:val="auto"/>
                <w:szCs w:val="21"/>
                <w:highlight w:val="none"/>
              </w:rPr>
            </w:pPr>
            <w:r>
              <w:rPr>
                <w:rFonts w:hint="eastAsia"/>
                <w:color w:val="auto"/>
                <w:szCs w:val="21"/>
                <w:highlight w:val="none"/>
              </w:rPr>
              <w:t>审查结果</w:t>
            </w:r>
          </w:p>
        </w:tc>
        <w:tc>
          <w:tcPr>
            <w:tcW w:w="1536" w:type="dxa"/>
            <w:noWrap w:val="0"/>
            <w:vAlign w:val="center"/>
          </w:tcPr>
          <w:p w14:paraId="02E56366">
            <w:pPr>
              <w:topLinePunct/>
              <w:spacing w:line="360" w:lineRule="auto"/>
              <w:jc w:val="center"/>
              <w:rPr>
                <w:color w:val="auto"/>
                <w:szCs w:val="21"/>
                <w:highlight w:val="none"/>
              </w:rPr>
            </w:pPr>
            <w:bookmarkStart w:id="1252" w:name="_Toc221949862"/>
            <w:r>
              <w:rPr>
                <w:rFonts w:hint="eastAsia"/>
                <w:color w:val="auto"/>
                <w:szCs w:val="21"/>
                <w:highlight w:val="none"/>
              </w:rPr>
              <w:t>引用的证</w:t>
            </w:r>
            <w:bookmarkEnd w:id="1252"/>
            <w:r>
              <w:rPr>
                <w:rFonts w:hint="eastAsia"/>
                <w:color w:val="auto"/>
                <w:szCs w:val="21"/>
                <w:highlight w:val="none"/>
              </w:rPr>
              <w:t>明</w:t>
            </w:r>
          </w:p>
          <w:p w14:paraId="0F1C429F">
            <w:pPr>
              <w:topLinePunct/>
              <w:spacing w:line="360" w:lineRule="auto"/>
              <w:jc w:val="center"/>
              <w:rPr>
                <w:color w:val="auto"/>
                <w:szCs w:val="21"/>
                <w:highlight w:val="none"/>
              </w:rPr>
            </w:pPr>
            <w:r>
              <w:rPr>
                <w:rFonts w:hint="eastAsia"/>
                <w:color w:val="auto"/>
                <w:szCs w:val="21"/>
                <w:highlight w:val="none"/>
              </w:rPr>
              <w:t>材</w:t>
            </w:r>
            <w:bookmarkStart w:id="1253" w:name="_Toc221949863"/>
            <w:r>
              <w:rPr>
                <w:rFonts w:hint="eastAsia"/>
                <w:color w:val="auto"/>
                <w:szCs w:val="21"/>
                <w:highlight w:val="none"/>
              </w:rPr>
              <w:t>料对应页码</w:t>
            </w:r>
          </w:p>
        </w:tc>
      </w:tr>
      <w:bookmarkEnd w:id="1253"/>
      <w:tr w14:paraId="12A4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17363780">
            <w:pPr>
              <w:topLinePunct/>
              <w:spacing w:line="360" w:lineRule="auto"/>
              <w:jc w:val="center"/>
              <w:rPr>
                <w:color w:val="auto"/>
                <w:szCs w:val="21"/>
                <w:highlight w:val="none"/>
              </w:rPr>
            </w:pPr>
          </w:p>
        </w:tc>
        <w:tc>
          <w:tcPr>
            <w:tcW w:w="3939" w:type="dxa"/>
            <w:noWrap w:val="0"/>
            <w:vAlign w:val="center"/>
          </w:tcPr>
          <w:p w14:paraId="320B9C92">
            <w:pPr>
              <w:topLinePunct/>
              <w:spacing w:line="360" w:lineRule="auto"/>
              <w:rPr>
                <w:color w:val="auto"/>
                <w:szCs w:val="21"/>
                <w:highlight w:val="none"/>
              </w:rPr>
            </w:pPr>
            <w:r>
              <w:rPr>
                <w:rFonts w:hint="eastAsia"/>
                <w:color w:val="auto"/>
                <w:szCs w:val="21"/>
                <w:highlight w:val="none"/>
              </w:rPr>
              <w:t>营业</w:t>
            </w:r>
            <w:bookmarkStart w:id="1254" w:name="_Toc221949864"/>
            <w:r>
              <w:rPr>
                <w:rFonts w:hint="eastAsia"/>
                <w:color w:val="auto"/>
                <w:szCs w:val="21"/>
                <w:highlight w:val="none"/>
              </w:rPr>
              <w:t>执照</w:t>
            </w:r>
          </w:p>
        </w:tc>
        <w:tc>
          <w:tcPr>
            <w:tcW w:w="1198" w:type="dxa"/>
            <w:noWrap w:val="0"/>
            <w:vAlign w:val="center"/>
          </w:tcPr>
          <w:p w14:paraId="533D7F67">
            <w:pPr>
              <w:topLinePunct/>
              <w:spacing w:line="360" w:lineRule="auto"/>
              <w:jc w:val="center"/>
              <w:rPr>
                <w:color w:val="auto"/>
                <w:szCs w:val="21"/>
                <w:highlight w:val="none"/>
              </w:rPr>
            </w:pPr>
          </w:p>
        </w:tc>
        <w:tc>
          <w:tcPr>
            <w:tcW w:w="1162" w:type="dxa"/>
            <w:noWrap w:val="0"/>
            <w:vAlign w:val="center"/>
          </w:tcPr>
          <w:p w14:paraId="2FDE0552">
            <w:pPr>
              <w:topLinePunct/>
              <w:spacing w:line="360" w:lineRule="auto"/>
              <w:jc w:val="center"/>
              <w:rPr>
                <w:color w:val="auto"/>
                <w:szCs w:val="21"/>
                <w:highlight w:val="none"/>
              </w:rPr>
            </w:pPr>
          </w:p>
          <w:bookmarkEnd w:id="1254"/>
        </w:tc>
        <w:tc>
          <w:tcPr>
            <w:tcW w:w="1536" w:type="dxa"/>
            <w:noWrap w:val="0"/>
            <w:vAlign w:val="center"/>
          </w:tcPr>
          <w:p w14:paraId="7CB7C934">
            <w:pPr>
              <w:topLinePunct/>
              <w:spacing w:line="360" w:lineRule="auto"/>
              <w:jc w:val="center"/>
              <w:rPr>
                <w:color w:val="auto"/>
                <w:szCs w:val="21"/>
                <w:highlight w:val="none"/>
              </w:rPr>
            </w:pPr>
          </w:p>
        </w:tc>
      </w:tr>
      <w:tr w14:paraId="5BB8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627705BF">
            <w:pPr>
              <w:topLinePunct/>
              <w:spacing w:line="360" w:lineRule="auto"/>
              <w:jc w:val="center"/>
              <w:rPr>
                <w:color w:val="auto"/>
                <w:szCs w:val="21"/>
                <w:highlight w:val="none"/>
              </w:rPr>
            </w:pPr>
          </w:p>
        </w:tc>
        <w:tc>
          <w:tcPr>
            <w:tcW w:w="3939" w:type="dxa"/>
            <w:noWrap w:val="0"/>
            <w:vAlign w:val="center"/>
          </w:tcPr>
          <w:p w14:paraId="00616C97">
            <w:pPr>
              <w:topLinePunct/>
              <w:spacing w:line="360" w:lineRule="auto"/>
              <w:rPr>
                <w:color w:val="auto"/>
                <w:szCs w:val="21"/>
                <w:highlight w:val="none"/>
              </w:rPr>
            </w:pPr>
            <w:bookmarkStart w:id="1255" w:name="_Toc221949865"/>
            <w:r>
              <w:rPr>
                <w:rFonts w:hint="eastAsia"/>
                <w:color w:val="auto"/>
                <w:szCs w:val="21"/>
                <w:highlight w:val="none"/>
              </w:rPr>
              <w:t>安全生产许</w:t>
            </w:r>
            <w:bookmarkEnd w:id="1255"/>
            <w:r>
              <w:rPr>
                <w:rFonts w:hint="eastAsia"/>
                <w:color w:val="auto"/>
                <w:szCs w:val="21"/>
                <w:highlight w:val="none"/>
              </w:rPr>
              <w:t>可证</w:t>
            </w:r>
          </w:p>
        </w:tc>
        <w:tc>
          <w:tcPr>
            <w:tcW w:w="1198" w:type="dxa"/>
            <w:noWrap w:val="0"/>
            <w:vAlign w:val="center"/>
          </w:tcPr>
          <w:p w14:paraId="3F068343">
            <w:pPr>
              <w:topLinePunct/>
              <w:spacing w:line="360" w:lineRule="auto"/>
              <w:jc w:val="center"/>
              <w:rPr>
                <w:color w:val="auto"/>
                <w:szCs w:val="21"/>
                <w:highlight w:val="none"/>
              </w:rPr>
            </w:pPr>
            <w:bookmarkStart w:id="1256" w:name="_Toc221949866"/>
          </w:p>
        </w:tc>
        <w:tc>
          <w:tcPr>
            <w:tcW w:w="1162" w:type="dxa"/>
            <w:noWrap w:val="0"/>
            <w:vAlign w:val="center"/>
          </w:tcPr>
          <w:p w14:paraId="12892DD4">
            <w:pPr>
              <w:topLinePunct/>
              <w:spacing w:line="360" w:lineRule="auto"/>
              <w:jc w:val="center"/>
              <w:rPr>
                <w:color w:val="auto"/>
                <w:szCs w:val="21"/>
                <w:highlight w:val="none"/>
              </w:rPr>
            </w:pPr>
          </w:p>
        </w:tc>
        <w:tc>
          <w:tcPr>
            <w:tcW w:w="1536" w:type="dxa"/>
            <w:noWrap w:val="0"/>
            <w:vAlign w:val="center"/>
          </w:tcPr>
          <w:p w14:paraId="081C74CC">
            <w:pPr>
              <w:topLinePunct/>
              <w:spacing w:line="360" w:lineRule="auto"/>
              <w:jc w:val="center"/>
              <w:rPr>
                <w:color w:val="auto"/>
                <w:szCs w:val="21"/>
                <w:highlight w:val="none"/>
              </w:rPr>
            </w:pPr>
          </w:p>
        </w:tc>
      </w:tr>
      <w:tr w14:paraId="2218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4B189BEF">
            <w:pPr>
              <w:topLinePunct/>
              <w:spacing w:line="360" w:lineRule="auto"/>
              <w:jc w:val="center"/>
              <w:rPr>
                <w:color w:val="auto"/>
                <w:szCs w:val="21"/>
                <w:highlight w:val="none"/>
              </w:rPr>
            </w:pPr>
          </w:p>
          <w:bookmarkEnd w:id="1256"/>
        </w:tc>
        <w:tc>
          <w:tcPr>
            <w:tcW w:w="3939" w:type="dxa"/>
            <w:noWrap w:val="0"/>
            <w:vAlign w:val="center"/>
          </w:tcPr>
          <w:p w14:paraId="25C2E973">
            <w:pPr>
              <w:topLinePunct/>
              <w:spacing w:line="360" w:lineRule="auto"/>
              <w:rPr>
                <w:color w:val="auto"/>
                <w:szCs w:val="21"/>
                <w:highlight w:val="none"/>
              </w:rPr>
            </w:pPr>
            <w:r>
              <w:rPr>
                <w:rFonts w:hint="eastAsia"/>
                <w:color w:val="auto"/>
                <w:szCs w:val="21"/>
                <w:highlight w:val="none"/>
              </w:rPr>
              <w:t>资质证</w:t>
            </w:r>
            <w:bookmarkStart w:id="1257" w:name="_Toc221949867"/>
            <w:r>
              <w:rPr>
                <w:rFonts w:hint="eastAsia"/>
                <w:color w:val="auto"/>
                <w:szCs w:val="21"/>
                <w:highlight w:val="none"/>
              </w:rPr>
              <w:t>书及等级</w:t>
            </w:r>
          </w:p>
          <w:bookmarkEnd w:id="1257"/>
        </w:tc>
        <w:tc>
          <w:tcPr>
            <w:tcW w:w="1198" w:type="dxa"/>
            <w:noWrap w:val="0"/>
            <w:vAlign w:val="center"/>
          </w:tcPr>
          <w:p w14:paraId="5C2B58CD">
            <w:pPr>
              <w:topLinePunct/>
              <w:spacing w:line="360" w:lineRule="auto"/>
              <w:jc w:val="center"/>
              <w:rPr>
                <w:color w:val="auto"/>
                <w:szCs w:val="21"/>
                <w:highlight w:val="none"/>
              </w:rPr>
            </w:pPr>
          </w:p>
        </w:tc>
        <w:tc>
          <w:tcPr>
            <w:tcW w:w="1162" w:type="dxa"/>
            <w:noWrap w:val="0"/>
            <w:vAlign w:val="center"/>
          </w:tcPr>
          <w:p w14:paraId="652D6BB9">
            <w:pPr>
              <w:topLinePunct/>
              <w:spacing w:line="360" w:lineRule="auto"/>
              <w:jc w:val="center"/>
              <w:rPr>
                <w:color w:val="auto"/>
                <w:szCs w:val="21"/>
                <w:highlight w:val="none"/>
              </w:rPr>
            </w:pPr>
          </w:p>
        </w:tc>
        <w:tc>
          <w:tcPr>
            <w:tcW w:w="1536" w:type="dxa"/>
            <w:noWrap w:val="0"/>
            <w:vAlign w:val="center"/>
          </w:tcPr>
          <w:p w14:paraId="52C88EC9">
            <w:pPr>
              <w:topLinePunct/>
              <w:spacing w:line="360" w:lineRule="auto"/>
              <w:jc w:val="center"/>
              <w:rPr>
                <w:color w:val="auto"/>
                <w:szCs w:val="21"/>
                <w:highlight w:val="none"/>
              </w:rPr>
            </w:pPr>
          </w:p>
        </w:tc>
        <w:bookmarkStart w:id="1258" w:name="_Toc221949868"/>
      </w:tr>
      <w:tr w14:paraId="1E2A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70F5A5C7">
            <w:pPr>
              <w:topLinePunct/>
              <w:spacing w:line="360" w:lineRule="auto"/>
              <w:jc w:val="center"/>
              <w:rPr>
                <w:color w:val="auto"/>
                <w:szCs w:val="21"/>
                <w:highlight w:val="none"/>
              </w:rPr>
            </w:pPr>
          </w:p>
        </w:tc>
        <w:tc>
          <w:tcPr>
            <w:tcW w:w="3939" w:type="dxa"/>
            <w:noWrap w:val="0"/>
            <w:vAlign w:val="center"/>
          </w:tcPr>
          <w:p w14:paraId="2740DC57">
            <w:pPr>
              <w:topLinePunct/>
              <w:spacing w:line="360" w:lineRule="auto"/>
              <w:rPr>
                <w:rFonts w:hint="eastAsia"/>
                <w:strike/>
                <w:color w:val="auto"/>
                <w:szCs w:val="21"/>
                <w:highlight w:val="none"/>
              </w:rPr>
            </w:pPr>
            <w:r>
              <w:rPr>
                <w:rFonts w:hint="eastAsia"/>
                <w:strike/>
                <w:color w:val="auto"/>
                <w:szCs w:val="21"/>
                <w:highlight w:val="none"/>
              </w:rPr>
              <w:t>类似</w:t>
            </w:r>
            <w:bookmarkEnd w:id="1258"/>
            <w:r>
              <w:rPr>
                <w:rFonts w:hint="eastAsia"/>
                <w:strike/>
                <w:color w:val="auto"/>
                <w:szCs w:val="21"/>
                <w:highlight w:val="none"/>
              </w:rPr>
              <w:t>项目业</w:t>
            </w:r>
            <w:bookmarkStart w:id="1259" w:name="_Toc221949869"/>
            <w:r>
              <w:rPr>
                <w:rFonts w:hint="eastAsia"/>
                <w:strike/>
                <w:color w:val="auto"/>
                <w:szCs w:val="21"/>
                <w:highlight w:val="none"/>
              </w:rPr>
              <w:t>绩（若有）</w:t>
            </w:r>
          </w:p>
        </w:tc>
        <w:tc>
          <w:tcPr>
            <w:tcW w:w="1198" w:type="dxa"/>
            <w:noWrap w:val="0"/>
            <w:vAlign w:val="center"/>
          </w:tcPr>
          <w:p w14:paraId="0F8EE16A">
            <w:pPr>
              <w:topLinePunct/>
              <w:spacing w:line="360" w:lineRule="auto"/>
              <w:jc w:val="center"/>
              <w:rPr>
                <w:color w:val="auto"/>
                <w:szCs w:val="21"/>
                <w:highlight w:val="none"/>
              </w:rPr>
            </w:pPr>
          </w:p>
        </w:tc>
        <w:tc>
          <w:tcPr>
            <w:tcW w:w="1162" w:type="dxa"/>
            <w:noWrap w:val="0"/>
            <w:vAlign w:val="center"/>
          </w:tcPr>
          <w:p w14:paraId="38E36CDC">
            <w:pPr>
              <w:topLinePunct/>
              <w:spacing w:line="360" w:lineRule="auto"/>
              <w:jc w:val="center"/>
              <w:rPr>
                <w:color w:val="auto"/>
                <w:szCs w:val="21"/>
                <w:highlight w:val="none"/>
              </w:rPr>
            </w:pPr>
          </w:p>
          <w:bookmarkEnd w:id="1259"/>
        </w:tc>
        <w:tc>
          <w:tcPr>
            <w:tcW w:w="1536" w:type="dxa"/>
            <w:noWrap w:val="0"/>
            <w:vAlign w:val="center"/>
          </w:tcPr>
          <w:p w14:paraId="2F85624A">
            <w:pPr>
              <w:topLinePunct/>
              <w:spacing w:line="360" w:lineRule="auto"/>
              <w:jc w:val="center"/>
              <w:rPr>
                <w:color w:val="auto"/>
                <w:szCs w:val="21"/>
                <w:highlight w:val="none"/>
              </w:rPr>
            </w:pPr>
          </w:p>
        </w:tc>
      </w:tr>
      <w:tr w14:paraId="10BF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1CD5308F">
            <w:pPr>
              <w:topLinePunct/>
              <w:spacing w:line="360" w:lineRule="auto"/>
              <w:jc w:val="center"/>
              <w:rPr>
                <w:color w:val="auto"/>
                <w:szCs w:val="21"/>
                <w:highlight w:val="none"/>
              </w:rPr>
            </w:pPr>
          </w:p>
        </w:tc>
        <w:tc>
          <w:tcPr>
            <w:tcW w:w="3939" w:type="dxa"/>
            <w:noWrap w:val="0"/>
            <w:vAlign w:val="center"/>
          </w:tcPr>
          <w:p w14:paraId="5DB4245C">
            <w:pPr>
              <w:topLinePunct/>
              <w:spacing w:line="360" w:lineRule="auto"/>
              <w:rPr>
                <w:color w:val="auto"/>
                <w:szCs w:val="21"/>
                <w:highlight w:val="none"/>
              </w:rPr>
            </w:pPr>
            <w:bookmarkStart w:id="1260" w:name="_Toc221949871"/>
            <w:r>
              <w:rPr>
                <w:rFonts w:hint="eastAsia"/>
                <w:color w:val="auto"/>
                <w:szCs w:val="21"/>
                <w:highlight w:val="none"/>
              </w:rPr>
              <w:t>项目负责</w:t>
            </w:r>
            <w:bookmarkEnd w:id="1260"/>
            <w:r>
              <w:rPr>
                <w:rFonts w:hint="eastAsia"/>
                <w:color w:val="auto"/>
                <w:szCs w:val="21"/>
                <w:highlight w:val="none"/>
              </w:rPr>
              <w:t>人资格</w:t>
            </w:r>
          </w:p>
        </w:tc>
        <w:tc>
          <w:tcPr>
            <w:tcW w:w="1198" w:type="dxa"/>
            <w:noWrap w:val="0"/>
            <w:vAlign w:val="center"/>
          </w:tcPr>
          <w:p w14:paraId="6DE391D1">
            <w:pPr>
              <w:topLinePunct/>
              <w:spacing w:line="360" w:lineRule="auto"/>
              <w:jc w:val="center"/>
              <w:rPr>
                <w:color w:val="auto"/>
                <w:szCs w:val="21"/>
                <w:highlight w:val="none"/>
              </w:rPr>
            </w:pPr>
          </w:p>
        </w:tc>
        <w:tc>
          <w:tcPr>
            <w:tcW w:w="1162" w:type="dxa"/>
            <w:noWrap w:val="0"/>
            <w:vAlign w:val="center"/>
          </w:tcPr>
          <w:p w14:paraId="596D139B">
            <w:pPr>
              <w:topLinePunct/>
              <w:spacing w:line="360" w:lineRule="auto"/>
              <w:jc w:val="center"/>
              <w:rPr>
                <w:color w:val="auto"/>
                <w:szCs w:val="21"/>
                <w:highlight w:val="none"/>
              </w:rPr>
            </w:pPr>
          </w:p>
        </w:tc>
        <w:tc>
          <w:tcPr>
            <w:tcW w:w="1536" w:type="dxa"/>
            <w:noWrap w:val="0"/>
            <w:vAlign w:val="center"/>
          </w:tcPr>
          <w:p w14:paraId="6A2B7C3E">
            <w:pPr>
              <w:topLinePunct/>
              <w:spacing w:line="360" w:lineRule="auto"/>
              <w:jc w:val="center"/>
              <w:rPr>
                <w:color w:val="auto"/>
                <w:szCs w:val="21"/>
                <w:highlight w:val="none"/>
              </w:rPr>
            </w:pPr>
          </w:p>
        </w:tc>
      </w:tr>
      <w:tr w14:paraId="52CC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5BDA0C2D">
            <w:pPr>
              <w:topLinePunct/>
              <w:spacing w:line="360" w:lineRule="auto"/>
              <w:jc w:val="center"/>
              <w:rPr>
                <w:color w:val="auto"/>
                <w:szCs w:val="21"/>
                <w:highlight w:val="none"/>
              </w:rPr>
            </w:pPr>
          </w:p>
        </w:tc>
        <w:tc>
          <w:tcPr>
            <w:tcW w:w="3939" w:type="dxa"/>
            <w:noWrap w:val="0"/>
            <w:vAlign w:val="center"/>
          </w:tcPr>
          <w:p w14:paraId="1247A056">
            <w:pPr>
              <w:topLinePunct/>
              <w:spacing w:line="360" w:lineRule="auto"/>
              <w:rPr>
                <w:rFonts w:hint="eastAsia"/>
                <w:color w:val="auto"/>
                <w:szCs w:val="21"/>
                <w:highlight w:val="none"/>
              </w:rPr>
            </w:pPr>
            <w:r>
              <w:rPr>
                <w:rFonts w:hint="eastAsia"/>
                <w:color w:val="auto"/>
                <w:szCs w:val="21"/>
                <w:highlight w:val="none"/>
              </w:rPr>
              <w:t>专职安全员资格</w:t>
            </w:r>
          </w:p>
        </w:tc>
        <w:tc>
          <w:tcPr>
            <w:tcW w:w="1198" w:type="dxa"/>
            <w:noWrap w:val="0"/>
            <w:vAlign w:val="center"/>
          </w:tcPr>
          <w:p w14:paraId="4F2536D4">
            <w:pPr>
              <w:topLinePunct/>
              <w:spacing w:line="360" w:lineRule="auto"/>
              <w:jc w:val="center"/>
              <w:rPr>
                <w:color w:val="auto"/>
                <w:szCs w:val="21"/>
                <w:highlight w:val="none"/>
              </w:rPr>
            </w:pPr>
          </w:p>
        </w:tc>
        <w:tc>
          <w:tcPr>
            <w:tcW w:w="1162" w:type="dxa"/>
            <w:noWrap w:val="0"/>
            <w:vAlign w:val="center"/>
          </w:tcPr>
          <w:p w14:paraId="687C3B6D">
            <w:pPr>
              <w:topLinePunct/>
              <w:spacing w:line="360" w:lineRule="auto"/>
              <w:jc w:val="center"/>
              <w:rPr>
                <w:color w:val="auto"/>
                <w:szCs w:val="21"/>
                <w:highlight w:val="none"/>
              </w:rPr>
            </w:pPr>
          </w:p>
        </w:tc>
        <w:tc>
          <w:tcPr>
            <w:tcW w:w="1536" w:type="dxa"/>
            <w:noWrap w:val="0"/>
            <w:vAlign w:val="center"/>
          </w:tcPr>
          <w:p w14:paraId="2950AEC5">
            <w:pPr>
              <w:topLinePunct/>
              <w:spacing w:line="360" w:lineRule="auto"/>
              <w:jc w:val="center"/>
              <w:rPr>
                <w:color w:val="auto"/>
                <w:szCs w:val="21"/>
                <w:highlight w:val="none"/>
              </w:rPr>
            </w:pPr>
          </w:p>
        </w:tc>
      </w:tr>
      <w:tr w14:paraId="06EB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64AFFA04">
            <w:pPr>
              <w:topLinePunct/>
              <w:spacing w:line="360" w:lineRule="auto"/>
              <w:jc w:val="center"/>
              <w:rPr>
                <w:color w:val="auto"/>
                <w:szCs w:val="21"/>
                <w:highlight w:val="none"/>
              </w:rPr>
            </w:pPr>
          </w:p>
        </w:tc>
        <w:tc>
          <w:tcPr>
            <w:tcW w:w="3939" w:type="dxa"/>
            <w:noWrap w:val="0"/>
            <w:vAlign w:val="center"/>
          </w:tcPr>
          <w:p w14:paraId="15E1A757">
            <w:pPr>
              <w:topLinePunct/>
              <w:spacing w:line="360" w:lineRule="auto"/>
              <w:rPr>
                <w:rFonts w:hint="eastAsia"/>
                <w:color w:val="auto"/>
                <w:szCs w:val="21"/>
                <w:highlight w:val="none"/>
              </w:rPr>
            </w:pPr>
            <w:r>
              <w:rPr>
                <w:rFonts w:hint="eastAsia"/>
                <w:color w:val="auto"/>
                <w:szCs w:val="21"/>
                <w:highlight w:val="none"/>
              </w:rPr>
              <w:t>社保证明文件</w:t>
            </w:r>
          </w:p>
        </w:tc>
        <w:tc>
          <w:tcPr>
            <w:tcW w:w="1198" w:type="dxa"/>
            <w:noWrap w:val="0"/>
            <w:vAlign w:val="center"/>
          </w:tcPr>
          <w:p w14:paraId="35DB258F">
            <w:pPr>
              <w:topLinePunct/>
              <w:spacing w:line="360" w:lineRule="auto"/>
              <w:jc w:val="center"/>
              <w:rPr>
                <w:color w:val="auto"/>
                <w:szCs w:val="21"/>
                <w:highlight w:val="none"/>
              </w:rPr>
            </w:pPr>
          </w:p>
        </w:tc>
        <w:tc>
          <w:tcPr>
            <w:tcW w:w="1162" w:type="dxa"/>
            <w:noWrap w:val="0"/>
            <w:vAlign w:val="center"/>
          </w:tcPr>
          <w:p w14:paraId="4312D457">
            <w:pPr>
              <w:topLinePunct/>
              <w:spacing w:line="360" w:lineRule="auto"/>
              <w:jc w:val="center"/>
              <w:rPr>
                <w:color w:val="auto"/>
                <w:szCs w:val="21"/>
                <w:highlight w:val="none"/>
              </w:rPr>
            </w:pPr>
          </w:p>
        </w:tc>
        <w:tc>
          <w:tcPr>
            <w:tcW w:w="1536" w:type="dxa"/>
            <w:noWrap w:val="0"/>
            <w:vAlign w:val="center"/>
          </w:tcPr>
          <w:p w14:paraId="72D1A85A">
            <w:pPr>
              <w:topLinePunct/>
              <w:spacing w:line="360" w:lineRule="auto"/>
              <w:jc w:val="center"/>
              <w:rPr>
                <w:color w:val="auto"/>
                <w:szCs w:val="21"/>
                <w:highlight w:val="none"/>
              </w:rPr>
            </w:pPr>
          </w:p>
        </w:tc>
      </w:tr>
      <w:tr w14:paraId="396E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253B0732">
            <w:pPr>
              <w:topLinePunct/>
              <w:spacing w:line="360" w:lineRule="auto"/>
              <w:jc w:val="center"/>
              <w:rPr>
                <w:color w:val="auto"/>
                <w:szCs w:val="21"/>
                <w:highlight w:val="none"/>
              </w:rPr>
            </w:pPr>
          </w:p>
        </w:tc>
        <w:tc>
          <w:tcPr>
            <w:tcW w:w="3939" w:type="dxa"/>
            <w:noWrap w:val="0"/>
            <w:vAlign w:val="center"/>
          </w:tcPr>
          <w:p w14:paraId="7524DCF7">
            <w:pPr>
              <w:topLinePunct/>
              <w:spacing w:line="360" w:lineRule="auto"/>
              <w:rPr>
                <w:rFonts w:hint="eastAsia"/>
                <w:strike/>
                <w:color w:val="auto"/>
                <w:szCs w:val="21"/>
                <w:highlight w:val="none"/>
              </w:rPr>
            </w:pPr>
            <w:r>
              <w:rPr>
                <w:rFonts w:hint="eastAsia"/>
                <w:strike/>
                <w:color w:val="auto"/>
                <w:szCs w:val="21"/>
                <w:highlight w:val="none"/>
              </w:rPr>
              <w:t>联合</w:t>
            </w:r>
            <w:bookmarkStart w:id="1261" w:name="_Toc221949873"/>
            <w:r>
              <w:rPr>
                <w:rFonts w:hint="eastAsia"/>
                <w:strike/>
                <w:color w:val="auto"/>
                <w:szCs w:val="21"/>
                <w:highlight w:val="none"/>
              </w:rPr>
              <w:t>体协议书（若有）</w:t>
            </w:r>
          </w:p>
          <w:bookmarkEnd w:id="1261"/>
        </w:tc>
        <w:tc>
          <w:tcPr>
            <w:tcW w:w="1198" w:type="dxa"/>
            <w:noWrap w:val="0"/>
            <w:vAlign w:val="center"/>
          </w:tcPr>
          <w:p w14:paraId="0EC84723">
            <w:pPr>
              <w:topLinePunct/>
              <w:spacing w:line="360" w:lineRule="auto"/>
              <w:jc w:val="center"/>
              <w:rPr>
                <w:color w:val="auto"/>
                <w:szCs w:val="21"/>
                <w:highlight w:val="none"/>
              </w:rPr>
            </w:pPr>
          </w:p>
        </w:tc>
        <w:tc>
          <w:tcPr>
            <w:tcW w:w="1162" w:type="dxa"/>
            <w:noWrap w:val="0"/>
            <w:vAlign w:val="center"/>
          </w:tcPr>
          <w:p w14:paraId="0734C774">
            <w:pPr>
              <w:topLinePunct/>
              <w:spacing w:line="360" w:lineRule="auto"/>
              <w:jc w:val="center"/>
              <w:rPr>
                <w:color w:val="auto"/>
                <w:szCs w:val="21"/>
                <w:highlight w:val="none"/>
              </w:rPr>
            </w:pPr>
          </w:p>
        </w:tc>
        <w:tc>
          <w:tcPr>
            <w:tcW w:w="1536" w:type="dxa"/>
            <w:noWrap w:val="0"/>
            <w:vAlign w:val="center"/>
          </w:tcPr>
          <w:p w14:paraId="387663CB">
            <w:pPr>
              <w:topLinePunct/>
              <w:spacing w:line="360" w:lineRule="auto"/>
              <w:jc w:val="center"/>
              <w:rPr>
                <w:color w:val="auto"/>
                <w:szCs w:val="21"/>
                <w:highlight w:val="none"/>
              </w:rPr>
            </w:pPr>
          </w:p>
        </w:tc>
        <w:bookmarkStart w:id="1262" w:name="_Toc221949874"/>
      </w:tr>
      <w:bookmarkEnd w:id="1262"/>
      <w:tr w14:paraId="6F05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6A826D84">
            <w:pPr>
              <w:topLinePunct/>
              <w:spacing w:line="360" w:lineRule="auto"/>
              <w:jc w:val="center"/>
              <w:rPr>
                <w:color w:val="auto"/>
                <w:szCs w:val="21"/>
                <w:highlight w:val="none"/>
              </w:rPr>
            </w:pPr>
          </w:p>
        </w:tc>
        <w:tc>
          <w:tcPr>
            <w:tcW w:w="3939" w:type="dxa"/>
            <w:noWrap w:val="0"/>
            <w:vAlign w:val="center"/>
          </w:tcPr>
          <w:p w14:paraId="29780461">
            <w:pPr>
              <w:topLinePunct/>
              <w:spacing w:line="360" w:lineRule="auto"/>
              <w:rPr>
                <w:rFonts w:hint="eastAsia"/>
                <w:color w:val="auto"/>
                <w:szCs w:val="21"/>
                <w:highlight w:val="none"/>
              </w:rPr>
            </w:pPr>
            <w:r>
              <w:rPr>
                <w:rFonts w:hint="eastAsia"/>
                <w:color w:val="auto"/>
                <w:szCs w:val="21"/>
                <w:highlight w:val="none"/>
              </w:rPr>
              <w:t>投标人声明</w:t>
            </w:r>
          </w:p>
        </w:tc>
        <w:tc>
          <w:tcPr>
            <w:tcW w:w="1198" w:type="dxa"/>
            <w:noWrap w:val="0"/>
            <w:vAlign w:val="center"/>
          </w:tcPr>
          <w:p w14:paraId="003CF3F3">
            <w:pPr>
              <w:topLinePunct/>
              <w:spacing w:line="360" w:lineRule="auto"/>
              <w:jc w:val="center"/>
              <w:rPr>
                <w:color w:val="auto"/>
                <w:szCs w:val="21"/>
                <w:highlight w:val="none"/>
              </w:rPr>
            </w:pPr>
          </w:p>
        </w:tc>
        <w:tc>
          <w:tcPr>
            <w:tcW w:w="1162" w:type="dxa"/>
            <w:noWrap w:val="0"/>
            <w:vAlign w:val="center"/>
          </w:tcPr>
          <w:p w14:paraId="023DF549">
            <w:pPr>
              <w:topLinePunct/>
              <w:spacing w:line="360" w:lineRule="auto"/>
              <w:jc w:val="center"/>
              <w:rPr>
                <w:color w:val="auto"/>
                <w:szCs w:val="21"/>
                <w:highlight w:val="none"/>
              </w:rPr>
            </w:pPr>
          </w:p>
        </w:tc>
        <w:tc>
          <w:tcPr>
            <w:tcW w:w="1536" w:type="dxa"/>
            <w:noWrap w:val="0"/>
            <w:vAlign w:val="center"/>
          </w:tcPr>
          <w:p w14:paraId="70C1FB82">
            <w:pPr>
              <w:topLinePunct/>
              <w:spacing w:line="360" w:lineRule="auto"/>
              <w:jc w:val="center"/>
              <w:rPr>
                <w:color w:val="auto"/>
                <w:szCs w:val="21"/>
                <w:highlight w:val="none"/>
              </w:rPr>
            </w:pPr>
          </w:p>
        </w:tc>
      </w:tr>
      <w:tr w14:paraId="16EA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0722BA6C">
            <w:pPr>
              <w:topLinePunct/>
              <w:spacing w:line="360" w:lineRule="auto"/>
              <w:jc w:val="center"/>
              <w:rPr>
                <w:color w:val="auto"/>
                <w:szCs w:val="21"/>
                <w:highlight w:val="none"/>
              </w:rPr>
            </w:pPr>
          </w:p>
        </w:tc>
        <w:tc>
          <w:tcPr>
            <w:tcW w:w="3939" w:type="dxa"/>
            <w:noWrap w:val="0"/>
            <w:vAlign w:val="center"/>
          </w:tcPr>
          <w:p w14:paraId="384E2258">
            <w:pPr>
              <w:topLinePunct/>
              <w:spacing w:line="360" w:lineRule="auto"/>
              <w:rPr>
                <w:rFonts w:hint="eastAsia"/>
                <w:color w:val="auto"/>
                <w:szCs w:val="21"/>
                <w:highlight w:val="none"/>
              </w:rPr>
            </w:pPr>
            <w:r>
              <w:rPr>
                <w:rFonts w:hint="eastAsia"/>
                <w:color w:val="auto"/>
                <w:szCs w:val="21"/>
                <w:highlight w:val="none"/>
              </w:rPr>
              <w:t>未被纳入失信联合惩戒名单且被限制参与相关项目投标的（提供查询结果网页截图，并加盖公章。）</w:t>
            </w:r>
          </w:p>
        </w:tc>
        <w:tc>
          <w:tcPr>
            <w:tcW w:w="1198" w:type="dxa"/>
            <w:noWrap w:val="0"/>
            <w:vAlign w:val="center"/>
          </w:tcPr>
          <w:p w14:paraId="3CDA90D8">
            <w:pPr>
              <w:topLinePunct/>
              <w:spacing w:line="360" w:lineRule="auto"/>
              <w:jc w:val="center"/>
              <w:rPr>
                <w:color w:val="auto"/>
                <w:szCs w:val="21"/>
                <w:highlight w:val="none"/>
              </w:rPr>
            </w:pPr>
          </w:p>
        </w:tc>
        <w:tc>
          <w:tcPr>
            <w:tcW w:w="1162" w:type="dxa"/>
            <w:noWrap w:val="0"/>
            <w:vAlign w:val="center"/>
          </w:tcPr>
          <w:p w14:paraId="0065511C">
            <w:pPr>
              <w:topLinePunct/>
              <w:spacing w:line="360" w:lineRule="auto"/>
              <w:jc w:val="center"/>
              <w:rPr>
                <w:color w:val="auto"/>
                <w:szCs w:val="21"/>
                <w:highlight w:val="none"/>
              </w:rPr>
            </w:pPr>
          </w:p>
        </w:tc>
        <w:tc>
          <w:tcPr>
            <w:tcW w:w="1536" w:type="dxa"/>
            <w:noWrap w:val="0"/>
            <w:vAlign w:val="center"/>
          </w:tcPr>
          <w:p w14:paraId="0ED76AD5">
            <w:pPr>
              <w:topLinePunct/>
              <w:spacing w:line="360" w:lineRule="auto"/>
              <w:jc w:val="center"/>
              <w:rPr>
                <w:color w:val="auto"/>
                <w:szCs w:val="21"/>
                <w:highlight w:val="none"/>
              </w:rPr>
            </w:pPr>
          </w:p>
        </w:tc>
      </w:tr>
      <w:tr w14:paraId="7235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73A9D085">
            <w:pPr>
              <w:topLinePunct/>
              <w:spacing w:line="360" w:lineRule="auto"/>
              <w:jc w:val="center"/>
              <w:rPr>
                <w:color w:val="auto"/>
                <w:szCs w:val="21"/>
                <w:highlight w:val="none"/>
              </w:rPr>
            </w:pPr>
          </w:p>
        </w:tc>
        <w:tc>
          <w:tcPr>
            <w:tcW w:w="3939" w:type="dxa"/>
            <w:noWrap w:val="0"/>
            <w:vAlign w:val="center"/>
          </w:tcPr>
          <w:p w14:paraId="7368959E">
            <w:pPr>
              <w:topLinePunct/>
              <w:spacing w:line="360" w:lineRule="auto"/>
              <w:rPr>
                <w:color w:val="auto"/>
                <w:szCs w:val="21"/>
                <w:highlight w:val="none"/>
              </w:rPr>
            </w:pPr>
            <w:r>
              <w:rPr>
                <w:color w:val="auto"/>
                <w:szCs w:val="21"/>
                <w:highlight w:val="none"/>
              </w:rPr>
              <w:t>……</w:t>
            </w:r>
          </w:p>
        </w:tc>
        <w:tc>
          <w:tcPr>
            <w:tcW w:w="1198" w:type="dxa"/>
            <w:noWrap w:val="0"/>
            <w:vAlign w:val="center"/>
          </w:tcPr>
          <w:p w14:paraId="20633F19">
            <w:pPr>
              <w:topLinePunct/>
              <w:spacing w:line="360" w:lineRule="auto"/>
              <w:jc w:val="center"/>
              <w:rPr>
                <w:color w:val="auto"/>
                <w:szCs w:val="21"/>
                <w:highlight w:val="none"/>
              </w:rPr>
            </w:pPr>
          </w:p>
        </w:tc>
        <w:tc>
          <w:tcPr>
            <w:tcW w:w="1162" w:type="dxa"/>
            <w:noWrap w:val="0"/>
            <w:vAlign w:val="center"/>
          </w:tcPr>
          <w:p w14:paraId="1E373D2C">
            <w:pPr>
              <w:topLinePunct/>
              <w:spacing w:line="360" w:lineRule="auto"/>
              <w:jc w:val="center"/>
              <w:rPr>
                <w:color w:val="auto"/>
                <w:szCs w:val="21"/>
                <w:highlight w:val="none"/>
              </w:rPr>
            </w:pPr>
          </w:p>
        </w:tc>
        <w:tc>
          <w:tcPr>
            <w:tcW w:w="1536" w:type="dxa"/>
            <w:noWrap w:val="0"/>
            <w:vAlign w:val="center"/>
          </w:tcPr>
          <w:p w14:paraId="6E6B656D">
            <w:pPr>
              <w:topLinePunct/>
              <w:spacing w:line="360" w:lineRule="auto"/>
              <w:jc w:val="center"/>
              <w:rPr>
                <w:color w:val="auto"/>
                <w:szCs w:val="21"/>
                <w:highlight w:val="none"/>
              </w:rPr>
            </w:pPr>
          </w:p>
        </w:tc>
      </w:tr>
      <w:tr w14:paraId="7F18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1996C899">
            <w:pPr>
              <w:topLinePunct/>
              <w:spacing w:line="360" w:lineRule="auto"/>
              <w:jc w:val="center"/>
              <w:rPr>
                <w:color w:val="auto"/>
                <w:szCs w:val="21"/>
                <w:highlight w:val="none"/>
              </w:rPr>
            </w:pPr>
          </w:p>
        </w:tc>
        <w:tc>
          <w:tcPr>
            <w:tcW w:w="3939" w:type="dxa"/>
            <w:noWrap w:val="0"/>
            <w:vAlign w:val="center"/>
          </w:tcPr>
          <w:p w14:paraId="2C2263C8">
            <w:pPr>
              <w:topLinePunct/>
              <w:spacing w:line="360" w:lineRule="auto"/>
              <w:rPr>
                <w:color w:val="auto"/>
                <w:szCs w:val="21"/>
                <w:highlight w:val="none"/>
              </w:rPr>
            </w:pPr>
          </w:p>
        </w:tc>
        <w:tc>
          <w:tcPr>
            <w:tcW w:w="1198" w:type="dxa"/>
            <w:noWrap w:val="0"/>
            <w:vAlign w:val="center"/>
          </w:tcPr>
          <w:p w14:paraId="06B867FA">
            <w:pPr>
              <w:topLinePunct/>
              <w:spacing w:line="360" w:lineRule="auto"/>
              <w:jc w:val="center"/>
              <w:rPr>
                <w:color w:val="auto"/>
                <w:szCs w:val="21"/>
                <w:highlight w:val="none"/>
              </w:rPr>
            </w:pPr>
          </w:p>
        </w:tc>
        <w:tc>
          <w:tcPr>
            <w:tcW w:w="1162" w:type="dxa"/>
            <w:noWrap w:val="0"/>
            <w:vAlign w:val="center"/>
          </w:tcPr>
          <w:p w14:paraId="1F775941">
            <w:pPr>
              <w:topLinePunct/>
              <w:spacing w:line="360" w:lineRule="auto"/>
              <w:jc w:val="center"/>
              <w:rPr>
                <w:color w:val="auto"/>
                <w:szCs w:val="21"/>
                <w:highlight w:val="none"/>
              </w:rPr>
            </w:pPr>
          </w:p>
        </w:tc>
        <w:tc>
          <w:tcPr>
            <w:tcW w:w="1536" w:type="dxa"/>
            <w:noWrap w:val="0"/>
            <w:vAlign w:val="center"/>
          </w:tcPr>
          <w:p w14:paraId="50500C8F">
            <w:pPr>
              <w:topLinePunct/>
              <w:spacing w:line="360" w:lineRule="auto"/>
              <w:jc w:val="center"/>
              <w:rPr>
                <w:color w:val="auto"/>
                <w:szCs w:val="21"/>
                <w:highlight w:val="none"/>
              </w:rPr>
            </w:pPr>
          </w:p>
        </w:tc>
      </w:tr>
    </w:tbl>
    <w:p w14:paraId="790CEB88">
      <w:pPr>
        <w:rPr>
          <w:color w:val="auto"/>
          <w:highlight w:val="none"/>
        </w:rPr>
      </w:pPr>
    </w:p>
    <w:p w14:paraId="1D67F220">
      <w:pPr>
        <w:rPr>
          <w:color w:val="auto"/>
          <w:highlight w:val="none"/>
        </w:rPr>
      </w:pPr>
    </w:p>
    <w:p w14:paraId="2B5DB9BC">
      <w:pPr>
        <w:rPr>
          <w:color w:val="auto"/>
          <w:highlight w:val="none"/>
        </w:rPr>
      </w:pPr>
    </w:p>
    <w:p w14:paraId="0E5EA7BD">
      <w:pPr>
        <w:jc w:val="left"/>
        <w:rPr>
          <w:color w:val="auto"/>
          <w:highlight w:val="none"/>
        </w:rPr>
      </w:pPr>
    </w:p>
    <w:p w14:paraId="3DCB4855">
      <w:pPr>
        <w:rPr>
          <w:color w:val="auto"/>
          <w:highlight w:val="none"/>
        </w:rPr>
      </w:pPr>
    </w:p>
    <w:p w14:paraId="37C21D66">
      <w:pPr>
        <w:jc w:val="left"/>
        <w:rPr>
          <w:color w:val="auto"/>
          <w:highlight w:val="none"/>
        </w:rPr>
      </w:pPr>
      <w:r>
        <w:rPr>
          <w:color w:val="auto"/>
          <w:highlight w:val="none"/>
        </w:rPr>
        <w:br w:type="page"/>
      </w:r>
    </w:p>
    <w:p w14:paraId="6149D120">
      <w:pPr>
        <w:spacing w:line="360" w:lineRule="auto"/>
        <w:jc w:val="center"/>
        <w:outlineLvl w:val="2"/>
        <w:rPr>
          <w:rFonts w:ascii="黑体" w:hAnsi="黑体" w:eastAsia="黑体"/>
          <w:color w:val="auto"/>
          <w:sz w:val="28"/>
          <w:szCs w:val="27"/>
          <w:highlight w:val="none"/>
        </w:rPr>
      </w:pPr>
      <w:bookmarkStart w:id="1263" w:name="_Toc21787769"/>
      <w:bookmarkStart w:id="1264" w:name="_Toc15214"/>
      <w:bookmarkStart w:id="1265" w:name="_Toc180758606"/>
      <w:r>
        <w:rPr>
          <w:rFonts w:hint="eastAsia" w:ascii="黑体" w:hAnsi="黑体" w:eastAsia="黑体"/>
          <w:color w:val="auto"/>
          <w:sz w:val="28"/>
          <w:szCs w:val="27"/>
          <w:highlight w:val="none"/>
        </w:rPr>
        <w:t>十</w:t>
      </w:r>
      <w:r>
        <w:rPr>
          <w:rFonts w:hint="eastAsia" w:ascii="黑体" w:hAnsi="黑体" w:eastAsia="黑体"/>
          <w:color w:val="auto"/>
          <w:sz w:val="28"/>
          <w:szCs w:val="27"/>
          <w:highlight w:val="none"/>
          <w:lang w:val="en-US" w:eastAsia="zh-CN"/>
        </w:rPr>
        <w:t>一</w:t>
      </w:r>
      <w:r>
        <w:rPr>
          <w:rFonts w:hint="eastAsia" w:ascii="黑体" w:hAnsi="黑体" w:eastAsia="黑体"/>
          <w:color w:val="auto"/>
          <w:sz w:val="28"/>
          <w:szCs w:val="27"/>
          <w:highlight w:val="none"/>
        </w:rPr>
        <w:t>、投标人须知前附表规定的其他材料</w:t>
      </w:r>
      <w:bookmarkEnd w:id="1263"/>
      <w:bookmarkEnd w:id="1264"/>
      <w:bookmarkEnd w:id="1265"/>
    </w:p>
    <w:p w14:paraId="42B0F2B9">
      <w:pPr>
        <w:spacing w:line="360" w:lineRule="auto"/>
        <w:ind w:firstLine="480" w:firstLineChars="200"/>
        <w:rPr>
          <w:rFonts w:hint="eastAsia" w:ascii="黑体" w:hAnsi="黑体" w:eastAsia="黑体"/>
          <w:color w:val="auto"/>
          <w:sz w:val="24"/>
          <w:highlight w:val="none"/>
        </w:rPr>
      </w:pPr>
      <w:bookmarkStart w:id="1266" w:name="_Toc152047271"/>
      <w:bookmarkStart w:id="1267" w:name="_Toc221949894"/>
      <w:bookmarkStart w:id="1268" w:name="_Toc179715764"/>
      <w:bookmarkStart w:id="1269" w:name="_Toc222029460"/>
      <w:bookmarkStart w:id="1270" w:name="_Toc227133887"/>
      <w:r>
        <w:rPr>
          <w:rFonts w:hint="eastAsia" w:ascii="黑体" w:hAnsi="黑体" w:eastAsia="黑体"/>
          <w:color w:val="auto"/>
          <w:sz w:val="24"/>
          <w:highlight w:val="none"/>
        </w:rPr>
        <w:t>附件一  投标人声明</w:t>
      </w:r>
    </w:p>
    <w:p w14:paraId="266BABDE">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附件二  投标人廉政承诺书</w:t>
      </w:r>
    </w:p>
    <w:p w14:paraId="43D78E30">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附件三  关于建筑垃圾源头控制、建筑垃圾综合利用产品的使用和运输措施承诺书</w:t>
      </w:r>
    </w:p>
    <w:p w14:paraId="48887AFE">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附件四  投标文件编制人员名单</w:t>
      </w:r>
    </w:p>
    <w:p w14:paraId="6AA83EA5">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附件五  对投标文件编制的承诺</w:t>
      </w:r>
    </w:p>
    <w:p w14:paraId="789EA35E">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附件六  投标文件编制情况</w:t>
      </w:r>
    </w:p>
    <w:p w14:paraId="294AD48F">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附件七  如投标报价低于警示价的，提供投标报价不低于成本价的证明材料</w:t>
      </w:r>
    </w:p>
    <w:p w14:paraId="5BE64871">
      <w:pPr>
        <w:spacing w:line="360" w:lineRule="auto"/>
        <w:ind w:firstLine="480" w:firstLineChars="200"/>
        <w:rPr>
          <w:rFonts w:ascii="宋体" w:hAnsi="宋体"/>
          <w:color w:val="auto"/>
          <w:sz w:val="24"/>
          <w:highlight w:val="none"/>
        </w:rPr>
      </w:pPr>
    </w:p>
    <w:p w14:paraId="11281B4C">
      <w:pPr>
        <w:spacing w:line="360" w:lineRule="auto"/>
        <w:rPr>
          <w:rFonts w:hint="eastAsia" w:ascii="宋体" w:hAnsi="宋体" w:cs="宋体"/>
          <w:b/>
          <w:color w:val="auto"/>
          <w:sz w:val="24"/>
          <w:szCs w:val="24"/>
          <w:highlight w:val="none"/>
        </w:rPr>
      </w:pPr>
      <w:r>
        <w:rPr>
          <w:rFonts w:ascii="宋体" w:hAnsi="宋体"/>
          <w:color w:val="auto"/>
          <w:sz w:val="24"/>
          <w:highlight w:val="none"/>
        </w:rPr>
        <w:br w:type="page"/>
      </w:r>
      <w:r>
        <w:rPr>
          <w:rFonts w:hint="eastAsia" w:ascii="宋体" w:hAnsi="宋体" w:cs="宋体"/>
          <w:color w:val="auto"/>
          <w:sz w:val="24"/>
          <w:szCs w:val="24"/>
          <w:highlight w:val="none"/>
        </w:rPr>
        <w:t>附件一：</w:t>
      </w:r>
    </w:p>
    <w:p w14:paraId="61E8D5D0">
      <w:pPr>
        <w:spacing w:line="360" w:lineRule="auto"/>
        <w:jc w:val="center"/>
        <w:rPr>
          <w:rFonts w:hint="eastAsia" w:ascii="宋体" w:hAnsi="宋体" w:cs="宋体"/>
          <w:b/>
          <w:color w:val="auto"/>
          <w:sz w:val="44"/>
          <w:szCs w:val="44"/>
          <w:highlight w:val="none"/>
        </w:rPr>
      </w:pPr>
      <w:r>
        <w:rPr>
          <w:rFonts w:hint="eastAsia" w:ascii="宋体" w:hAnsi="宋体" w:cs="宋体"/>
          <w:b/>
          <w:color w:val="auto"/>
          <w:kern w:val="0"/>
          <w:sz w:val="44"/>
          <w:szCs w:val="44"/>
          <w:highlight w:val="none"/>
        </w:rPr>
        <w:t>投标人</w:t>
      </w:r>
      <w:r>
        <w:rPr>
          <w:rFonts w:hint="eastAsia" w:ascii="宋体" w:hAnsi="宋体" w:cs="宋体"/>
          <w:b/>
          <w:color w:val="auto"/>
          <w:sz w:val="44"/>
          <w:szCs w:val="44"/>
          <w:highlight w:val="none"/>
        </w:rPr>
        <w:t>声明</w:t>
      </w:r>
    </w:p>
    <w:p w14:paraId="6C0E24E5">
      <w:pPr>
        <w:pStyle w:val="115"/>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广州市水务局、本招标项目招标人及招标监管机构：</w:t>
      </w:r>
    </w:p>
    <w:p w14:paraId="18118DEE">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（项目名称）</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投标工作，作出郑重声明：</w:t>
      </w:r>
    </w:p>
    <w:p w14:paraId="549DE182">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一、本公司保证投标文件及其后提供的一切材料都是真实的。如我司成为本项目中标候选人，我司同意并授权招标人将我司投标文件商务部分的人员、业绩、奖项等资料进行公开。</w:t>
      </w:r>
    </w:p>
    <w:p w14:paraId="32F1F9E9">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38183289">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三、本公司不存在下列情形之一：</w:t>
      </w:r>
    </w:p>
    <w:p w14:paraId="41AF5AFB">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（1）为招标人不具有独立法人资格的附属机构（单位）；</w:t>
      </w:r>
    </w:p>
    <w:p w14:paraId="5A37BD0C">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（2）为本标段前期准备提供设计或咨询服务或者与本项目设计人或提供咨询服务的机构存在附属关系的；</w:t>
      </w:r>
    </w:p>
    <w:p w14:paraId="2E720A91">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（3）为本项目监理人或者与本项目监理人存在隶属关系或者其他利害关系；</w:t>
      </w:r>
    </w:p>
    <w:p w14:paraId="035C7A13">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（4）为本标段的代建人；</w:t>
      </w:r>
    </w:p>
    <w:p w14:paraId="394D7BB8">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（5）为本标段提供招标代理服务的；</w:t>
      </w:r>
    </w:p>
    <w:p w14:paraId="4C49939D">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（6）与本标段的监理人或代建人或招标代理机构同为一个法定代表人的；</w:t>
      </w:r>
    </w:p>
    <w:p w14:paraId="27210362">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（7）与本标段的监理人或代建人或招标代理机构互相控股或参股的；</w:t>
      </w:r>
    </w:p>
    <w:p w14:paraId="53E525AC">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（8）与本标段的监理人或代建人或招标代理机构相互任职或工作的；</w:t>
      </w:r>
    </w:p>
    <w:p w14:paraId="4BF7BEB7">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（9）与本标段的检测机构、建设、监理单位以及建筑材料、建筑构配件和设备供应商有隶属关系或者其他利害关系有隶属关系或者其他利害关系；</w:t>
      </w:r>
    </w:p>
    <w:p w14:paraId="460552B3">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（10）与招标人存在利害关系且可能影响招标公正性；</w:t>
      </w:r>
    </w:p>
    <w:p w14:paraId="5DA76F86">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11）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747A88B7">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（12）被责令停产停业、暂扣或者吊销许可证、暂扣或者吊销执照的（本项事实应当以根据《中华人民共和国行政处罚法》依法作出并已经生效的行政处罚决定为认定依据。）；</w:t>
      </w:r>
    </w:p>
    <w:p w14:paraId="2F0B1839">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（13）进入清算程序，或被宣布破产，或其他丧失履约能力的情形；</w:t>
      </w:r>
    </w:p>
    <w:p w14:paraId="5F7D30EC">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14）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75F09575">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（15）法律法规规定的其他情形。</w:t>
      </w:r>
    </w:p>
    <w:p w14:paraId="091953FD">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四、本公司保证：本项目拟派的项目负责人没有在其他在建项目中任施工单位项目负责人，本项目拟派的专职安全员没有在其他在建项目中任职。</w:t>
      </w:r>
    </w:p>
    <w:p w14:paraId="748D98F9">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五、本公司已经对投标时拟投入本项目的管理团队和专业技术人员进行了自查，保证拟投入的所有人员都是本单位正式人员，都在本单位缴纳社保，不存在持证人注册单位与实际工作单位不符、买卖租借（专业）资格（注册）证书等“挂证”违法违规行为。</w:t>
      </w:r>
    </w:p>
    <w:p w14:paraId="0B055341">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六、本公司承诺，中标后不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14:paraId="588D10ED">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七、本公司承诺，切实落实《住房和城乡建设部人力资源社会保障部关于修改&lt;建筑工人实名制管理办法（试行）&gt;的通知》建市〔2022〕59号、《住房城乡建设部 人力资源社会保障部关于印发建筑工人实名管理办法（试行）的通知》（建市〔2019〕18号）、《广东省建设工程领域工人工资支付专用账户管理办法》（粤人社规〔2018〕14号）、《广州市住房和城乡建设局关于印发&lt;广州市建筑施工实名制管理办法&gt;的通知》（穗建规字〔2020〕18号）、《广州市建设领域工人工资支付分账管理实施细则》（穗建规字〔2020〕37号）、《关于印发广州市房屋建筑及市政工程实名制和工资支付分账平台化管理工作方案的通知》（穗建筑〔2018〕183号）、《广州市住房和城乡建设委员会关于转发&lt;广东省住房和城乡建设厅关于房屋建筑和市政基础设施工程用工实名管理暂行办法&gt;的通知》（穗建筑〔2018〕981号）等关于用工实名制和工人工资支付分账管理的各项规定。中标后将利用信息技术手段，采用人脸、指纹、虹膜等生物识别技术进行电子打卡，实施考勤管理，对施工现场人员建立基本信息档案、实行实名制管理的制度并按照工程进度将建筑工人工资通过本企业在银行开设的工资专用账户按时足额支付。我公司对实名制管理负总责。若本项目在经招标人认可后，部分专业工程依法分包或实行劳务分包的，我公司对专业分包企业和劳务分包企业实施统一管理，监督其用工企业按时足额支付作业工人工资，督促落实实名制管理制度。本公司接受招标人及水行政主管部门的监督、检查。</w:t>
      </w:r>
    </w:p>
    <w:p w14:paraId="7C5B1C90">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八、与本公司单位负责人为同一人或者与本公司存在控股、管理关系的其他单位包括：</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。（注：本条由投标人如实填写，如有，应列出全部满足招标公告资质要求的相关单位的名称；如无，则填写“无”。）</w:t>
      </w:r>
    </w:p>
    <w:p w14:paraId="4EE08A35">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九、本公司拟委派专职安全员兼任本工程的工地余泥渣土运输与排放管理员，严格遵守建设工程余泥渣土运输与排放管理制度，执行“一不准进、三不准出”规定，选择合法的余泥渣土运输单位及排放点。</w:t>
      </w:r>
    </w:p>
    <w:p w14:paraId="48228A06">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十、如果本公司使用采用告知承诺制方式取得的资质参与本项目投标，该资质经资质审批部门核查被依法注销的，本公司承诺自动放弃投标及中标资格。如经查实该资质为以欺骗等不正当手段取得的，将依法接受监督部门的行政处罚。</w:t>
      </w:r>
    </w:p>
    <w:p w14:paraId="215889F6">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十一、本公司违反上述保证，或本声明陈述与事实不符，一经查实将按相关规定进行信用记录。本公司对失信行为产生的一切后果已知悉。其中，本声明陈述与事实不符的，属于弄虚作假骗取中标，将依法接受监管部门的处罚。</w:t>
      </w:r>
    </w:p>
    <w:p w14:paraId="66C6E09E">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十二、本公司积极响应广州市关于投身“百千万工程”的号召，主动参与政府投资类建设工程施工项目的建筑业结对帮扶等活动（市属国有企业投资项目参照执行），具体事项由双方协商确定。</w:t>
      </w:r>
    </w:p>
    <w:p w14:paraId="4F099C2A">
      <w:pPr>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特此声明。</w:t>
      </w:r>
    </w:p>
    <w:p w14:paraId="0F8C3F0B">
      <w:pPr>
        <w:pStyle w:val="114"/>
        <w:ind w:left="629" w:right="144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声明企业：</w:t>
      </w:r>
    </w:p>
    <w:p w14:paraId="5B723C31">
      <w:pPr>
        <w:pStyle w:val="115"/>
        <w:ind w:right="1179"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法定代表人签字：</w:t>
      </w:r>
    </w:p>
    <w:p w14:paraId="4A4B3F13">
      <w:pPr>
        <w:pStyle w:val="115"/>
        <w:ind w:right="1179"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项目负责人签字:</w:t>
      </w:r>
    </w:p>
    <w:p w14:paraId="2CE69623">
      <w:pPr>
        <w:pStyle w:val="115"/>
        <w:ind w:right="879" w:firstLine="2160" w:firstLineChars="9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技术负责人签字：</w:t>
      </w:r>
    </w:p>
    <w:p w14:paraId="16D2579E">
      <w:pPr>
        <w:pStyle w:val="115"/>
        <w:ind w:right="879" w:firstLine="2160" w:firstLineChars="9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24668DCE">
      <w:pPr>
        <w:spacing w:line="360" w:lineRule="auto"/>
        <w:ind w:firstLine="480" w:firstLineChars="200"/>
        <w:rPr>
          <w:rFonts w:ascii="宋体" w:hAnsi="宋体"/>
          <w:color w:val="auto"/>
          <w:sz w:val="24"/>
          <w:highlight w:val="none"/>
        </w:rPr>
      </w:pPr>
      <w:r>
        <w:rPr>
          <w:rFonts w:hint="eastAsia" w:ascii="宋体" w:hAnsi="宋体" w:cs="宋体"/>
          <w:color w:val="auto"/>
          <w:sz w:val="24"/>
          <w:szCs w:val="24"/>
          <w:highlight w:val="none"/>
        </w:rPr>
        <w:t xml:space="preserve">                                              </w:t>
      </w:r>
      <w:r>
        <w:rPr>
          <w:rFonts w:hint="eastAsia" w:ascii="宋体" w:hAnsi="宋体" w:cs="宋体"/>
          <w:color w:val="auto"/>
          <w:kern w:val="0"/>
          <w:sz w:val="24"/>
          <w:szCs w:val="24"/>
          <w:highlight w:val="none"/>
        </w:rPr>
        <w:t>（企业公章）</w:t>
      </w:r>
    </w:p>
    <w:p w14:paraId="146D0178">
      <w:pPr>
        <w:spacing w:line="360" w:lineRule="auto"/>
        <w:jc w:val="left"/>
        <w:rPr>
          <w:rFonts w:hint="eastAsia" w:ascii="宋体" w:hAnsi="宋体" w:cs="宋体"/>
          <w:b/>
          <w:color w:val="auto"/>
          <w:szCs w:val="21"/>
          <w:highlight w:val="none"/>
        </w:rPr>
      </w:pPr>
      <w:r>
        <w:rPr>
          <w:rFonts w:ascii="宋体" w:hAnsi="宋体"/>
          <w:b/>
          <w:color w:val="auto"/>
          <w:sz w:val="24"/>
          <w:highlight w:val="none"/>
        </w:rPr>
        <w:br w:type="page"/>
      </w:r>
      <w:r>
        <w:rPr>
          <w:rFonts w:hint="eastAsia" w:ascii="宋体" w:hAnsi="宋体" w:cs="宋体"/>
          <w:color w:val="auto"/>
          <w:kern w:val="0"/>
          <w:szCs w:val="21"/>
          <w:highlight w:val="none"/>
        </w:rPr>
        <w:t>附件二</w:t>
      </w:r>
    </w:p>
    <w:p w14:paraId="4CE2CDD4">
      <w:pPr>
        <w:spacing w:line="360" w:lineRule="auto"/>
        <w:ind w:firstLine="723" w:firstLineChars="200"/>
        <w:jc w:val="center"/>
        <w:rPr>
          <w:rFonts w:ascii="宋体" w:hAnsi="宋体"/>
          <w:b/>
          <w:color w:val="auto"/>
          <w:sz w:val="36"/>
          <w:szCs w:val="36"/>
          <w:highlight w:val="none"/>
        </w:rPr>
      </w:pPr>
      <w:r>
        <w:rPr>
          <w:rFonts w:hint="eastAsia" w:ascii="宋体" w:hAnsi="宋体"/>
          <w:b/>
          <w:color w:val="auto"/>
          <w:sz w:val="36"/>
          <w:szCs w:val="36"/>
          <w:highlight w:val="none"/>
        </w:rPr>
        <w:t>投标人廉洁承诺书</w:t>
      </w:r>
    </w:p>
    <w:p w14:paraId="2A262F1F">
      <w:pPr>
        <w:rPr>
          <w:color w:val="auto"/>
          <w:highlight w:val="none"/>
        </w:rPr>
      </w:pPr>
    </w:p>
    <w:p w14:paraId="2C51E22B">
      <w:pPr>
        <w:spacing w:line="360" w:lineRule="auto"/>
        <w:rPr>
          <w:rFonts w:ascii="宋体" w:hAnsi="宋体"/>
          <w:color w:val="auto"/>
          <w:sz w:val="24"/>
          <w:highlight w:val="none"/>
        </w:rPr>
      </w:pPr>
      <w:r>
        <w:rPr>
          <w:rFonts w:hint="eastAsia" w:ascii="宋体" w:hAnsi="宋体"/>
          <w:color w:val="auto"/>
          <w:sz w:val="24"/>
          <w:highlight w:val="none"/>
        </w:rPr>
        <w:t>广州市水务局、本招标项目招标人及招标监管机构：</w:t>
      </w:r>
    </w:p>
    <w:p w14:paraId="14383D1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本公司参加了</w:t>
      </w:r>
      <w:r>
        <w:rPr>
          <w:rFonts w:hint="eastAsia" w:ascii="宋体" w:hAnsi="宋体"/>
          <w:color w:val="auto"/>
          <w:sz w:val="24"/>
          <w:highlight w:val="none"/>
          <w:u w:val="single"/>
        </w:rPr>
        <w:t xml:space="preserve">   （项目名称/标段名称）    </w:t>
      </w:r>
      <w:r>
        <w:rPr>
          <w:rFonts w:hint="eastAsia" w:ascii="宋体" w:hAnsi="宋体"/>
          <w:color w:val="auto"/>
          <w:sz w:val="24"/>
          <w:highlight w:val="none"/>
        </w:rPr>
        <w:t>投标， 为确保招标工作的公平、公正、公开、有序进行，我们保证遵守《中华人民共和国招标投标法》、《中华人民共和国招标投标法实施条例》、《广东省实施&lt;中华人民共和国招标投标法&gt;办法》等法律法规，特承诺如下</w:t>
      </w:r>
      <w:bookmarkStart w:id="1271" w:name="_Toc229474023"/>
      <w:r>
        <w:rPr>
          <w:rFonts w:hint="eastAsia" w:ascii="宋体" w:hAnsi="宋体"/>
          <w:color w:val="auto"/>
          <w:sz w:val="24"/>
          <w:highlight w:val="none"/>
        </w:rPr>
        <w:t>事项：</w:t>
      </w:r>
    </w:p>
    <w:p w14:paraId="78B2F33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w:t>
      </w:r>
      <w:bookmarkEnd w:id="1271"/>
      <w:bookmarkStart w:id="1272" w:name="_Toc229474024"/>
      <w:r>
        <w:rPr>
          <w:rFonts w:hint="eastAsia" w:ascii="宋体" w:hAnsi="宋体"/>
          <w:color w:val="auto"/>
          <w:sz w:val="24"/>
          <w:highlight w:val="none"/>
        </w:rPr>
        <w:t>自</w:t>
      </w:r>
      <w:bookmarkStart w:id="1273" w:name="_Toc359263290"/>
      <w:r>
        <w:rPr>
          <w:rFonts w:hint="eastAsia" w:ascii="宋体" w:hAnsi="宋体"/>
          <w:color w:val="auto"/>
          <w:sz w:val="24"/>
          <w:highlight w:val="none"/>
        </w:rPr>
        <w:t>觉遵</w:t>
      </w:r>
      <w:bookmarkEnd w:id="1266"/>
      <w:bookmarkEnd w:id="1267"/>
      <w:bookmarkEnd w:id="1268"/>
      <w:bookmarkEnd w:id="1269"/>
      <w:bookmarkEnd w:id="1270"/>
      <w:bookmarkEnd w:id="1272"/>
      <w:r>
        <w:rPr>
          <w:rFonts w:hint="eastAsia" w:ascii="宋体" w:hAnsi="宋体"/>
          <w:color w:val="auto"/>
          <w:sz w:val="24"/>
          <w:highlight w:val="none"/>
        </w:rPr>
        <w:t>守国家有关法律法规及廉洁规定。</w:t>
      </w:r>
      <w:bookmarkEnd w:id="1273"/>
    </w:p>
    <w:p w14:paraId="67F92DD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二、不与招标单位工作人员串通投标，损害国家利益、企业利益以及他人的合法利益；</w:t>
      </w:r>
    </w:p>
    <w:p w14:paraId="4846FA3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三、不与其他单位围标、串标，不出让投标资格，不向招标人或评标委员会成员行贿。</w:t>
      </w:r>
    </w:p>
    <w:p w14:paraId="09C0E98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四、不以任何名义向参与招标、评标工作的有关人员提供高消费宴请及娱乐活动和赠送回扣、红包、礼金、购物卡、有价证券、贵重物品和好处费、感谢费等； </w:t>
      </w:r>
    </w:p>
    <w:p w14:paraId="51CE5BB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五、不以任何名义为参与招标、评标工作的有关人员装修住房、婚丧</w:t>
      </w:r>
      <w:r>
        <w:rPr>
          <w:rFonts w:hint="eastAsia" w:ascii="宋体" w:hAnsi="宋体"/>
          <w:color w:val="auto"/>
          <w:sz w:val="24"/>
          <w:highlight w:val="none"/>
          <w:lang w:val="en-US" w:eastAsia="zh-CN"/>
        </w:rPr>
        <w:t>嫁娶</w:t>
      </w:r>
      <w:r>
        <w:rPr>
          <w:rFonts w:hint="eastAsia" w:ascii="宋体" w:hAnsi="宋体"/>
          <w:color w:val="auto"/>
          <w:sz w:val="24"/>
          <w:highlight w:val="none"/>
        </w:rPr>
        <w:t>、配偶子女的工作安排以及境内外旅游等提供方便；</w:t>
      </w:r>
    </w:p>
    <w:p w14:paraId="56E3F33D">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六、不以谋取非正当利益为目的，擅自与参与招标、评标工作的有关人员就业务问题进行私下商谈或者达成利益默契。</w:t>
      </w:r>
    </w:p>
    <w:p w14:paraId="4423EA3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本公司违反上述承诺，或本承诺陈述与事实不符，经查实，本公司愿意接受公开通报，承担由此带来的法律后果。</w:t>
      </w:r>
    </w:p>
    <w:p w14:paraId="1CB5AB0A">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特此承诺。</w:t>
      </w:r>
    </w:p>
    <w:p w14:paraId="266C47D7">
      <w:pPr>
        <w:rPr>
          <w:color w:val="auto"/>
          <w:highlight w:val="none"/>
        </w:rPr>
      </w:pPr>
    </w:p>
    <w:p w14:paraId="7C199597">
      <w:pPr>
        <w:pStyle w:val="36"/>
        <w:shd w:val="clear" w:color="auto" w:fill="FFFFFF"/>
        <w:spacing w:before="0" w:beforeAutospacing="0" w:after="0" w:afterAutospacing="0" w:line="360" w:lineRule="auto"/>
        <w:ind w:right="1455" w:firstLine="2880"/>
        <w:jc w:val="right"/>
        <w:rPr>
          <w:rFonts w:hint="eastAsia" w:ascii="宋体" w:hAnsi="宋体" w:cs="宋体"/>
          <w:color w:val="auto"/>
          <w:highlight w:val="none"/>
        </w:rPr>
      </w:pPr>
      <w:r>
        <w:rPr>
          <w:rFonts w:hint="eastAsia" w:ascii="宋体" w:hAnsi="宋体" w:cs="宋体"/>
          <w:color w:val="auto"/>
          <w:highlight w:val="none"/>
        </w:rPr>
        <w:t>承诺企业（盖单位章）：      </w:t>
      </w:r>
    </w:p>
    <w:p w14:paraId="5946066F">
      <w:pPr>
        <w:pStyle w:val="36"/>
        <w:shd w:val="clear" w:color="auto" w:fill="FFFFFF"/>
        <w:spacing w:before="0" w:beforeAutospacing="0" w:after="0" w:afterAutospacing="0" w:line="360" w:lineRule="auto"/>
        <w:ind w:firstLine="3160"/>
        <w:rPr>
          <w:rFonts w:hint="eastAsia" w:ascii="宋体" w:hAnsi="宋体" w:cs="宋体"/>
          <w:color w:val="auto"/>
          <w:highlight w:val="none"/>
        </w:rPr>
      </w:pPr>
      <w:r>
        <w:rPr>
          <w:rFonts w:hint="eastAsia" w:ascii="宋体" w:hAnsi="宋体" w:cs="宋体"/>
          <w:color w:val="auto"/>
          <w:highlight w:val="none"/>
        </w:rPr>
        <w:t xml:space="preserve">法定代表人签字：           </w:t>
      </w:r>
    </w:p>
    <w:p w14:paraId="02FC7C0F">
      <w:pPr>
        <w:pStyle w:val="36"/>
        <w:shd w:val="clear" w:color="auto" w:fill="FFFFFF"/>
        <w:spacing w:before="0" w:beforeAutospacing="0" w:after="0" w:afterAutospacing="0" w:line="360" w:lineRule="auto"/>
        <w:ind w:firstLine="480"/>
        <w:jc w:val="right"/>
        <w:rPr>
          <w:rFonts w:hint="eastAsia" w:ascii="宋体" w:hAnsi="宋体" w:cs="宋体"/>
          <w:color w:val="auto"/>
          <w:highlight w:val="none"/>
        </w:rPr>
      </w:pPr>
      <w:r>
        <w:rPr>
          <w:rFonts w:hint="eastAsia" w:ascii="宋体" w:hAnsi="宋体" w:cs="宋体"/>
          <w:color w:val="auto"/>
          <w:highlight w:val="none"/>
        </w:rPr>
        <w:t>年   月   日</w:t>
      </w:r>
    </w:p>
    <w:p w14:paraId="58F2A059">
      <w:pPr>
        <w:pStyle w:val="36"/>
        <w:shd w:val="clear" w:color="auto" w:fill="FFFFFF"/>
        <w:spacing w:before="0" w:beforeAutospacing="0" w:after="0" w:afterAutospacing="0" w:line="360" w:lineRule="auto"/>
        <w:ind w:firstLine="480"/>
        <w:jc w:val="right"/>
        <w:rPr>
          <w:rFonts w:hint="eastAsia" w:ascii="宋体" w:hAnsi="宋体" w:cs="宋体"/>
          <w:color w:val="auto"/>
          <w:highlight w:val="none"/>
        </w:rPr>
      </w:pPr>
    </w:p>
    <w:p w14:paraId="79BEF864">
      <w:pPr>
        <w:pStyle w:val="36"/>
        <w:shd w:val="clear" w:color="auto" w:fill="FFFFFF"/>
        <w:spacing w:before="0" w:beforeAutospacing="0" w:after="0" w:afterAutospacing="0" w:line="360" w:lineRule="auto"/>
        <w:ind w:firstLine="480"/>
        <w:jc w:val="right"/>
        <w:rPr>
          <w:rFonts w:hint="eastAsia" w:ascii="宋体" w:hAnsi="宋体" w:cs="宋体"/>
          <w:color w:val="auto"/>
          <w:highlight w:val="none"/>
        </w:rPr>
      </w:pPr>
    </w:p>
    <w:p w14:paraId="530A1EF3">
      <w:pPr>
        <w:pStyle w:val="36"/>
        <w:shd w:val="clear" w:color="auto" w:fill="FFFFFF"/>
        <w:spacing w:before="0" w:beforeAutospacing="0" w:after="0" w:afterAutospacing="0" w:line="360" w:lineRule="auto"/>
        <w:ind w:firstLine="480"/>
        <w:jc w:val="right"/>
        <w:rPr>
          <w:rFonts w:hint="eastAsia" w:ascii="宋体" w:hAnsi="宋体" w:cs="宋体"/>
          <w:color w:val="auto"/>
          <w:highlight w:val="none"/>
        </w:rPr>
      </w:pPr>
    </w:p>
    <w:p w14:paraId="2515D1DE">
      <w:pPr>
        <w:autoSpaceDE w:val="0"/>
        <w:autoSpaceDN w:val="0"/>
        <w:adjustRightInd w:val="0"/>
        <w:rPr>
          <w:rFonts w:hint="eastAsia"/>
          <w:color w:val="auto"/>
          <w:szCs w:val="21"/>
          <w:highlight w:val="none"/>
        </w:rPr>
      </w:pPr>
      <w:r>
        <w:rPr>
          <w:rFonts w:hint="eastAsia"/>
          <w:color w:val="auto"/>
          <w:szCs w:val="21"/>
          <w:highlight w:val="none"/>
        </w:rPr>
        <w:t>附件三</w:t>
      </w:r>
    </w:p>
    <w:p w14:paraId="56553AD4">
      <w:pPr>
        <w:tabs>
          <w:tab w:val="left" w:pos="720"/>
        </w:tabs>
        <w:snapToGrid w:val="0"/>
        <w:spacing w:line="360" w:lineRule="auto"/>
        <w:jc w:val="center"/>
        <w:rPr>
          <w:rFonts w:hint="eastAsia" w:ascii="Times New Roman" w:hAnsi="Times New Roman"/>
          <w:b/>
          <w:color w:val="auto"/>
          <w:sz w:val="32"/>
          <w:szCs w:val="32"/>
          <w:highlight w:val="none"/>
        </w:rPr>
      </w:pPr>
      <w:r>
        <w:rPr>
          <w:rFonts w:hint="eastAsia" w:ascii="Times New Roman" w:hAnsi="Times New Roman"/>
          <w:b/>
          <w:color w:val="auto"/>
          <w:sz w:val="32"/>
          <w:szCs w:val="32"/>
          <w:highlight w:val="none"/>
        </w:rPr>
        <w:t>关于建筑垃圾源头控制、建筑垃圾综合利用</w:t>
      </w:r>
    </w:p>
    <w:p w14:paraId="5DAF618D">
      <w:pPr>
        <w:tabs>
          <w:tab w:val="left" w:pos="720"/>
        </w:tabs>
        <w:snapToGrid w:val="0"/>
        <w:spacing w:line="360" w:lineRule="auto"/>
        <w:jc w:val="center"/>
        <w:rPr>
          <w:rFonts w:hint="eastAsia" w:ascii="宋体" w:hAnsi="宋体" w:cs="宋体"/>
          <w:color w:val="auto"/>
          <w:sz w:val="24"/>
          <w:szCs w:val="24"/>
          <w:highlight w:val="none"/>
        </w:rPr>
      </w:pPr>
      <w:r>
        <w:rPr>
          <w:rFonts w:hint="eastAsia" w:ascii="Times New Roman" w:hAnsi="Times New Roman"/>
          <w:b/>
          <w:color w:val="auto"/>
          <w:sz w:val="32"/>
          <w:szCs w:val="32"/>
          <w:highlight w:val="none"/>
        </w:rPr>
        <w:t>产品的使用和运输措施承诺书</w:t>
      </w:r>
    </w:p>
    <w:p w14:paraId="1D7CBE5A">
      <w:pPr>
        <w:rPr>
          <w:rFonts w:hint="eastAsia"/>
          <w:color w:val="auto"/>
          <w:highlight w:val="none"/>
        </w:rPr>
      </w:pPr>
    </w:p>
    <w:p w14:paraId="454903E2">
      <w:pPr>
        <w:pStyle w:val="40"/>
        <w:spacing w:after="0" w:line="360" w:lineRule="auto"/>
        <w:ind w:firstLine="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     （招标人）：</w:t>
      </w:r>
    </w:p>
    <w:p w14:paraId="4997911A">
      <w:pPr>
        <w:pStyle w:val="4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我方承诺，如中标承建</w:t>
      </w:r>
      <w:r>
        <w:rPr>
          <w:rFonts w:hint="eastAsia" w:ascii="宋体" w:hAnsi="宋体" w:eastAsia="宋体" w:cs="宋体"/>
          <w:color w:val="auto"/>
          <w:sz w:val="24"/>
          <w:szCs w:val="24"/>
          <w:highlight w:val="none"/>
          <w:u w:val="single"/>
        </w:rPr>
        <w:t>         (项目名称)</w:t>
      </w:r>
      <w:r>
        <w:rPr>
          <w:rFonts w:hint="eastAsia" w:ascii="宋体" w:hAnsi="宋体" w:eastAsia="宋体" w:cs="宋体"/>
          <w:color w:val="auto"/>
          <w:sz w:val="24"/>
          <w:szCs w:val="24"/>
          <w:highlight w:val="none"/>
        </w:rPr>
        <w:t>，将按招标文件所附的本工程</w:t>
      </w:r>
      <w:r>
        <w:rPr>
          <w:rFonts w:hint="eastAsia" w:ascii="宋体" w:hAnsi="宋体" w:eastAsia="宋体" w:cs="宋体"/>
          <w:color w:val="auto"/>
          <w:sz w:val="24"/>
          <w:szCs w:val="24"/>
          <w:highlight w:val="none"/>
          <w:u w:val="single"/>
        </w:rPr>
        <w:t>（施工组织设计要点或施工方案）        </w:t>
      </w:r>
      <w:r>
        <w:rPr>
          <w:rFonts w:hint="eastAsia" w:ascii="宋体" w:hAnsi="宋体" w:eastAsia="宋体" w:cs="宋体"/>
          <w:color w:val="auto"/>
          <w:sz w:val="24"/>
          <w:szCs w:val="24"/>
          <w:highlight w:val="none"/>
        </w:rPr>
        <w:t>进行响应的基础上自行组织施工。并承诺在中标后按招标文件所附的</w:t>
      </w:r>
      <w:r>
        <w:rPr>
          <w:rFonts w:hint="eastAsia" w:ascii="宋体" w:hAnsi="宋体" w:eastAsia="宋体" w:cs="宋体"/>
          <w:color w:val="auto"/>
          <w:sz w:val="24"/>
          <w:szCs w:val="24"/>
          <w:highlight w:val="none"/>
          <w:u w:val="single"/>
        </w:rPr>
        <w:t>（施工组织设计要点或施工方案）        </w:t>
      </w:r>
      <w:r>
        <w:rPr>
          <w:rFonts w:hint="eastAsia" w:ascii="宋体" w:hAnsi="宋体" w:eastAsia="宋体" w:cs="宋体"/>
          <w:color w:val="auto"/>
          <w:sz w:val="24"/>
          <w:szCs w:val="24"/>
          <w:highlight w:val="none"/>
        </w:rPr>
        <w:t>基础上编制详细的施工组织设计，按照招标人提出的施工现场建筑垃圾源头减量的具体要求以及建筑垃圾综合利用产品的使用要求提供相应措施，并报经监理单位和建设单位审批后实施，具体内容如下：</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一、建筑垃圾源头控制措施</w:t>
      </w:r>
    </w:p>
    <w:p w14:paraId="5F05281A">
      <w:pPr>
        <w:pStyle w:val="4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360870BD">
      <w:pPr>
        <w:pStyle w:val="4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二、建筑垃圾综合利用产品的使用</w:t>
      </w:r>
    </w:p>
    <w:p w14:paraId="18B42062">
      <w:pPr>
        <w:pStyle w:val="4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5BAA38EB">
      <w:pPr>
        <w:pStyle w:val="4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三、建筑垃圾运输措施</w:t>
      </w:r>
    </w:p>
    <w:p w14:paraId="2EE2D888">
      <w:pPr>
        <w:pStyle w:val="4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6C9732A2">
      <w:pPr>
        <w:spacing w:line="360" w:lineRule="auto"/>
        <w:ind w:right="90" w:firstLine="3240" w:firstLineChars="135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14:paraId="1E2C98DD">
      <w:pPr>
        <w:spacing w:line="360" w:lineRule="auto"/>
        <w:ind w:right="90" w:firstLine="3240" w:firstLineChars="135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投标人名称（盖法人公章）：</w:t>
      </w:r>
      <w:r>
        <w:rPr>
          <w:rFonts w:hint="eastAsia" w:ascii="宋体" w:hAnsi="宋体" w:cs="宋体"/>
          <w:color w:val="auto"/>
          <w:sz w:val="24"/>
          <w:szCs w:val="24"/>
          <w:highlight w:val="none"/>
          <w:u w:val="single"/>
        </w:rPr>
        <w:t xml:space="preserve">                  </w:t>
      </w:r>
    </w:p>
    <w:p w14:paraId="6A121879">
      <w:pPr>
        <w:spacing w:line="360" w:lineRule="auto"/>
        <w:ind w:firstLine="2880" w:firstLineChars="1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法定代表人或被授权人（签字或盖章）：</w:t>
      </w:r>
      <w:r>
        <w:rPr>
          <w:rFonts w:hint="eastAsia" w:ascii="宋体" w:hAnsi="宋体" w:cs="宋体"/>
          <w:color w:val="auto"/>
          <w:sz w:val="24"/>
          <w:szCs w:val="24"/>
          <w:highlight w:val="none"/>
          <w:u w:val="single"/>
        </w:rPr>
        <w:t xml:space="preserve">                  </w:t>
      </w:r>
    </w:p>
    <w:p w14:paraId="36C3A098">
      <w:pPr>
        <w:spacing w:line="600" w:lineRule="exact"/>
        <w:ind w:firstLine="480"/>
        <w:jc w:val="right"/>
        <w:rPr>
          <w:rFonts w:hint="eastAsia" w:ascii="宋体" w:hAnsi="宋体" w:cs="宋体"/>
          <w:color w:val="auto"/>
          <w:sz w:val="24"/>
          <w:szCs w:val="24"/>
          <w:highlight w:val="none"/>
        </w:rPr>
        <w:sectPr>
          <w:pgSz w:w="11906" w:h="16838"/>
          <w:pgMar w:top="1440" w:right="1797" w:bottom="1440" w:left="1797" w:header="851" w:footer="992" w:gutter="0"/>
          <w:cols w:space="720" w:num="1"/>
          <w:docGrid w:linePitch="312" w:charSpace="0"/>
        </w:sectPr>
      </w:pPr>
      <w:r>
        <w:rPr>
          <w:rFonts w:hint="eastAsia" w:ascii="宋体" w:hAnsi="宋体" w:cs="宋体"/>
          <w:color w:val="auto"/>
          <w:sz w:val="24"/>
          <w:szCs w:val="24"/>
          <w:highlight w:val="none"/>
        </w:rPr>
        <w:t xml:space="preserve"> 日期：      年   月   日</w:t>
      </w:r>
    </w:p>
    <w:p w14:paraId="5E883CD4">
      <w:pPr>
        <w:autoSpaceDE w:val="0"/>
        <w:autoSpaceDN w:val="0"/>
        <w:adjustRightInd w:val="0"/>
        <w:rPr>
          <w:rFonts w:hint="eastAsia"/>
          <w:color w:val="auto"/>
          <w:szCs w:val="21"/>
          <w:highlight w:val="none"/>
        </w:rPr>
      </w:pPr>
      <w:r>
        <w:rPr>
          <w:rFonts w:hint="eastAsia"/>
          <w:color w:val="auto"/>
          <w:szCs w:val="21"/>
          <w:highlight w:val="none"/>
        </w:rPr>
        <w:t>附件四</w:t>
      </w:r>
    </w:p>
    <w:p w14:paraId="2F5D81B3">
      <w:pPr>
        <w:tabs>
          <w:tab w:val="left" w:pos="720"/>
        </w:tabs>
        <w:snapToGrid w:val="0"/>
        <w:spacing w:line="360" w:lineRule="auto"/>
        <w:jc w:val="center"/>
        <w:rPr>
          <w:b/>
          <w:color w:val="auto"/>
          <w:sz w:val="32"/>
          <w:szCs w:val="32"/>
          <w:highlight w:val="none"/>
        </w:rPr>
      </w:pPr>
      <w:r>
        <w:rPr>
          <w:rFonts w:hint="eastAsia"/>
          <w:b/>
          <w:color w:val="auto"/>
          <w:sz w:val="32"/>
          <w:szCs w:val="32"/>
          <w:highlight w:val="none"/>
        </w:rPr>
        <w:t>投标文件编制人员名单</w:t>
      </w:r>
    </w:p>
    <w:p w14:paraId="1085048A">
      <w:pPr>
        <w:tabs>
          <w:tab w:val="left" w:pos="720"/>
        </w:tabs>
        <w:snapToGrid w:val="0"/>
        <w:spacing w:line="360" w:lineRule="auto"/>
        <w:rPr>
          <w:color w:val="auto"/>
          <w:sz w:val="24"/>
          <w:szCs w:val="24"/>
          <w:highlight w:val="none"/>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381"/>
        <w:gridCol w:w="2342"/>
        <w:gridCol w:w="2246"/>
        <w:gridCol w:w="1361"/>
      </w:tblGrid>
      <w:tr w14:paraId="38CD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58088B30">
            <w:pPr>
              <w:tabs>
                <w:tab w:val="left" w:pos="720"/>
              </w:tabs>
              <w:snapToGrid w:val="0"/>
              <w:spacing w:line="360" w:lineRule="auto"/>
              <w:rPr>
                <w:rFonts w:ascii="宋体" w:hAnsi="宋体"/>
                <w:color w:val="auto"/>
                <w:szCs w:val="21"/>
                <w:highlight w:val="none"/>
              </w:rPr>
            </w:pPr>
            <w:r>
              <w:rPr>
                <w:rFonts w:hint="eastAsia" w:ascii="宋体" w:hAnsi="宋体"/>
                <w:color w:val="auto"/>
                <w:szCs w:val="21"/>
                <w:highlight w:val="none"/>
              </w:rPr>
              <w:t>投标人名称：</w:t>
            </w:r>
          </w:p>
        </w:tc>
      </w:tr>
      <w:tr w14:paraId="6376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532BF25B">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姓名</w:t>
            </w:r>
          </w:p>
        </w:tc>
        <w:tc>
          <w:tcPr>
            <w:tcW w:w="1381" w:type="dxa"/>
            <w:tcBorders>
              <w:top w:val="single" w:color="auto" w:sz="4" w:space="0"/>
              <w:left w:val="single" w:color="auto" w:sz="4" w:space="0"/>
              <w:bottom w:val="single" w:color="auto" w:sz="4" w:space="0"/>
              <w:right w:val="single" w:color="auto" w:sz="4" w:space="0"/>
            </w:tcBorders>
            <w:noWrap w:val="0"/>
            <w:vAlign w:val="center"/>
          </w:tcPr>
          <w:p w14:paraId="6B0B461D">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职务</w:t>
            </w:r>
          </w:p>
        </w:tc>
        <w:tc>
          <w:tcPr>
            <w:tcW w:w="2342" w:type="dxa"/>
            <w:tcBorders>
              <w:top w:val="single" w:color="auto" w:sz="4" w:space="0"/>
              <w:left w:val="single" w:color="auto" w:sz="4" w:space="0"/>
              <w:bottom w:val="single" w:color="auto" w:sz="4" w:space="0"/>
              <w:right w:val="single" w:color="auto" w:sz="4" w:space="0"/>
            </w:tcBorders>
            <w:noWrap w:val="0"/>
            <w:vAlign w:val="center"/>
          </w:tcPr>
          <w:p w14:paraId="5E98D04D">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所承担工作</w:t>
            </w:r>
          </w:p>
        </w:tc>
        <w:tc>
          <w:tcPr>
            <w:tcW w:w="2246" w:type="dxa"/>
            <w:tcBorders>
              <w:top w:val="single" w:color="auto" w:sz="4" w:space="0"/>
              <w:left w:val="single" w:color="auto" w:sz="4" w:space="0"/>
              <w:bottom w:val="single" w:color="auto" w:sz="4" w:space="0"/>
              <w:right w:val="single" w:color="auto" w:sz="4" w:space="0"/>
            </w:tcBorders>
            <w:noWrap w:val="0"/>
            <w:vAlign w:val="center"/>
          </w:tcPr>
          <w:p w14:paraId="0F02A228">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身份证号码</w:t>
            </w:r>
          </w:p>
        </w:tc>
        <w:tc>
          <w:tcPr>
            <w:tcW w:w="1361" w:type="dxa"/>
            <w:tcBorders>
              <w:top w:val="single" w:color="auto" w:sz="4" w:space="0"/>
              <w:left w:val="single" w:color="auto" w:sz="4" w:space="0"/>
              <w:bottom w:val="single" w:color="auto" w:sz="4" w:space="0"/>
              <w:right w:val="single" w:color="auto" w:sz="4" w:space="0"/>
            </w:tcBorders>
            <w:noWrap w:val="0"/>
            <w:vAlign w:val="center"/>
          </w:tcPr>
          <w:p w14:paraId="06FD1BA4">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本人签名栏</w:t>
            </w:r>
          </w:p>
        </w:tc>
      </w:tr>
      <w:tr w14:paraId="42EF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4E8439CC">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48012D61">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50744DB2">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7EE8E74E">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1824F47E">
            <w:pPr>
              <w:tabs>
                <w:tab w:val="left" w:pos="720"/>
              </w:tabs>
              <w:snapToGrid w:val="0"/>
              <w:spacing w:line="360" w:lineRule="auto"/>
              <w:jc w:val="center"/>
              <w:rPr>
                <w:rFonts w:ascii="宋体" w:hAnsi="宋体"/>
                <w:color w:val="auto"/>
                <w:szCs w:val="21"/>
                <w:highlight w:val="none"/>
              </w:rPr>
            </w:pPr>
          </w:p>
        </w:tc>
      </w:tr>
      <w:tr w14:paraId="47E6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38418B58">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0FBE94D6">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6ED33BC0">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21D6CABA">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3F352FA4">
            <w:pPr>
              <w:tabs>
                <w:tab w:val="left" w:pos="720"/>
              </w:tabs>
              <w:snapToGrid w:val="0"/>
              <w:spacing w:line="360" w:lineRule="auto"/>
              <w:jc w:val="center"/>
              <w:rPr>
                <w:rFonts w:ascii="宋体" w:hAnsi="宋体"/>
                <w:color w:val="auto"/>
                <w:szCs w:val="21"/>
                <w:highlight w:val="none"/>
              </w:rPr>
            </w:pPr>
          </w:p>
        </w:tc>
      </w:tr>
      <w:tr w14:paraId="1C5B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32D8EDDA">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41A3D665">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6CC66CBC">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67BFA29A">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1F028B7D">
            <w:pPr>
              <w:tabs>
                <w:tab w:val="left" w:pos="720"/>
              </w:tabs>
              <w:snapToGrid w:val="0"/>
              <w:spacing w:line="360" w:lineRule="auto"/>
              <w:jc w:val="center"/>
              <w:rPr>
                <w:rFonts w:ascii="宋体" w:hAnsi="宋体"/>
                <w:color w:val="auto"/>
                <w:szCs w:val="21"/>
                <w:highlight w:val="none"/>
              </w:rPr>
            </w:pPr>
          </w:p>
        </w:tc>
      </w:tr>
      <w:tr w14:paraId="6B4B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74A1186F">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105EF852">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43DA657F">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0A5C655D">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6865EB68">
            <w:pPr>
              <w:tabs>
                <w:tab w:val="left" w:pos="720"/>
              </w:tabs>
              <w:snapToGrid w:val="0"/>
              <w:spacing w:line="360" w:lineRule="auto"/>
              <w:jc w:val="center"/>
              <w:rPr>
                <w:rFonts w:ascii="宋体" w:hAnsi="宋体"/>
                <w:color w:val="auto"/>
                <w:szCs w:val="21"/>
                <w:highlight w:val="none"/>
              </w:rPr>
            </w:pPr>
          </w:p>
        </w:tc>
      </w:tr>
      <w:tr w14:paraId="7EA9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737FB202">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AA7FB5B">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11F5E774">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27E2481C">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788F287E">
            <w:pPr>
              <w:tabs>
                <w:tab w:val="left" w:pos="720"/>
              </w:tabs>
              <w:snapToGrid w:val="0"/>
              <w:spacing w:line="360" w:lineRule="auto"/>
              <w:jc w:val="center"/>
              <w:rPr>
                <w:rFonts w:ascii="宋体" w:hAnsi="宋体"/>
                <w:color w:val="auto"/>
                <w:szCs w:val="21"/>
                <w:highlight w:val="none"/>
              </w:rPr>
            </w:pPr>
          </w:p>
        </w:tc>
      </w:tr>
      <w:tr w14:paraId="71CE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7CC81AF8">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682EDA5">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0C159379">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13B37342">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23633D3B">
            <w:pPr>
              <w:tabs>
                <w:tab w:val="left" w:pos="720"/>
              </w:tabs>
              <w:snapToGrid w:val="0"/>
              <w:spacing w:line="360" w:lineRule="auto"/>
              <w:jc w:val="center"/>
              <w:rPr>
                <w:rFonts w:ascii="宋体" w:hAnsi="宋体"/>
                <w:color w:val="auto"/>
                <w:szCs w:val="21"/>
                <w:highlight w:val="none"/>
              </w:rPr>
            </w:pPr>
          </w:p>
        </w:tc>
      </w:tr>
      <w:tr w14:paraId="1970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3EF55495">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065ACFF">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3BC6FD60">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4230D635">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0E90602B">
            <w:pPr>
              <w:tabs>
                <w:tab w:val="left" w:pos="720"/>
              </w:tabs>
              <w:snapToGrid w:val="0"/>
              <w:spacing w:line="360" w:lineRule="auto"/>
              <w:jc w:val="center"/>
              <w:rPr>
                <w:rFonts w:ascii="宋体" w:hAnsi="宋体"/>
                <w:color w:val="auto"/>
                <w:szCs w:val="21"/>
                <w:highlight w:val="none"/>
              </w:rPr>
            </w:pPr>
          </w:p>
        </w:tc>
      </w:tr>
      <w:tr w14:paraId="48C6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1E9C73C9">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5D3BDC2A">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0D149F33">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5D8BE2B9">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678430D0">
            <w:pPr>
              <w:tabs>
                <w:tab w:val="left" w:pos="720"/>
              </w:tabs>
              <w:snapToGrid w:val="0"/>
              <w:spacing w:line="360" w:lineRule="auto"/>
              <w:jc w:val="center"/>
              <w:rPr>
                <w:rFonts w:ascii="宋体" w:hAnsi="宋体"/>
                <w:color w:val="auto"/>
                <w:szCs w:val="21"/>
                <w:highlight w:val="none"/>
              </w:rPr>
            </w:pPr>
          </w:p>
        </w:tc>
      </w:tr>
    </w:tbl>
    <w:p w14:paraId="28C29141">
      <w:pPr>
        <w:tabs>
          <w:tab w:val="left" w:pos="720"/>
        </w:tabs>
        <w:snapToGrid w:val="0"/>
        <w:spacing w:line="360" w:lineRule="auto"/>
        <w:rPr>
          <w:color w:val="auto"/>
          <w:sz w:val="24"/>
          <w:szCs w:val="24"/>
          <w:highlight w:val="none"/>
        </w:rPr>
      </w:pPr>
    </w:p>
    <w:p w14:paraId="2ADE318D">
      <w:pPr>
        <w:pStyle w:val="40"/>
        <w:spacing w:after="0" w:line="360" w:lineRule="auto"/>
        <w:ind w:left="-2" w:leftChars="-1" w:firstLine="350" w:firstLineChars="175"/>
        <w:jc w:val="left"/>
        <w:rPr>
          <w:color w:val="auto"/>
          <w:szCs w:val="21"/>
          <w:highlight w:val="none"/>
        </w:rPr>
      </w:pPr>
      <w:r>
        <w:rPr>
          <w:rFonts w:hint="eastAsia"/>
          <w:color w:val="auto"/>
          <w:szCs w:val="21"/>
          <w:highlight w:val="none"/>
        </w:rPr>
        <w:t>注：参与编制投标文件所有人员名单应包括如编制技术投标方案、编制各种专业工程量清单投标报价、负责清样校对、负责打印及复印等所有人员在内的人员名单。</w:t>
      </w:r>
    </w:p>
    <w:p w14:paraId="6B21FF89">
      <w:pPr>
        <w:pStyle w:val="40"/>
        <w:spacing w:after="0" w:line="360" w:lineRule="auto"/>
        <w:ind w:left="-2" w:leftChars="-1" w:firstLineChars="175"/>
        <w:jc w:val="center"/>
        <w:rPr>
          <w:color w:val="auto"/>
          <w:sz w:val="24"/>
          <w:szCs w:val="24"/>
          <w:highlight w:val="none"/>
        </w:rPr>
      </w:pPr>
    </w:p>
    <w:p w14:paraId="5CDB723E">
      <w:pPr>
        <w:autoSpaceDE w:val="0"/>
        <w:autoSpaceDN w:val="0"/>
        <w:adjustRightInd w:val="0"/>
        <w:rPr>
          <w:rFonts w:hint="eastAsia"/>
          <w:color w:val="auto"/>
          <w:szCs w:val="21"/>
          <w:highlight w:val="none"/>
        </w:rPr>
      </w:pPr>
      <w:r>
        <w:rPr>
          <w:color w:val="auto"/>
          <w:sz w:val="24"/>
          <w:szCs w:val="24"/>
          <w:highlight w:val="none"/>
        </w:rPr>
        <w:br w:type="page"/>
      </w:r>
      <w:r>
        <w:rPr>
          <w:rFonts w:hint="eastAsia"/>
          <w:color w:val="auto"/>
          <w:szCs w:val="21"/>
          <w:highlight w:val="none"/>
        </w:rPr>
        <w:t>附件五</w:t>
      </w:r>
    </w:p>
    <w:p w14:paraId="3D107EDA">
      <w:pPr>
        <w:pStyle w:val="40"/>
        <w:spacing w:after="0" w:line="360" w:lineRule="auto"/>
        <w:ind w:firstLine="0"/>
        <w:jc w:val="center"/>
        <w:rPr>
          <w:b/>
          <w:color w:val="auto"/>
          <w:sz w:val="32"/>
          <w:szCs w:val="32"/>
          <w:highlight w:val="none"/>
        </w:rPr>
      </w:pPr>
    </w:p>
    <w:p w14:paraId="563E66B6">
      <w:pPr>
        <w:pStyle w:val="40"/>
        <w:spacing w:after="156" w:afterLines="50" w:line="360" w:lineRule="auto"/>
        <w:ind w:firstLine="0"/>
        <w:jc w:val="center"/>
        <w:rPr>
          <w:rFonts w:hint="eastAsia" w:ascii="宋体" w:hAnsi="宋体" w:eastAsia="宋体" w:cs="宋体"/>
          <w:color w:val="auto"/>
          <w:sz w:val="32"/>
          <w:szCs w:val="32"/>
          <w:highlight w:val="none"/>
        </w:rPr>
      </w:pPr>
      <w:r>
        <w:rPr>
          <w:rFonts w:hint="eastAsia" w:ascii="宋体" w:hAnsi="宋体" w:eastAsia="宋体" w:cs="宋体"/>
          <w:b/>
          <w:color w:val="auto"/>
          <w:sz w:val="32"/>
          <w:szCs w:val="32"/>
          <w:highlight w:val="none"/>
        </w:rPr>
        <w:t>对投标文件编制的承诺</w:t>
      </w:r>
    </w:p>
    <w:p w14:paraId="26A96C52">
      <w:pPr>
        <w:pStyle w:val="40"/>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本公司授权</w:t>
      </w:r>
      <w:r>
        <w:rPr>
          <w:rFonts w:hint="eastAsia" w:ascii="宋体" w:hAnsi="宋体" w:eastAsia="宋体" w:cs="宋体"/>
          <w:color w:val="auto"/>
          <w:sz w:val="24"/>
          <w:szCs w:val="24"/>
          <w:highlight w:val="none"/>
          <w:u w:val="single"/>
        </w:rPr>
        <w:t xml:space="preserve">           （身份证号：      ）</w:t>
      </w:r>
      <w:r>
        <w:rPr>
          <w:rFonts w:hint="eastAsia" w:ascii="宋体" w:hAnsi="宋体" w:eastAsia="宋体" w:cs="宋体"/>
          <w:color w:val="auto"/>
          <w:sz w:val="24"/>
          <w:szCs w:val="24"/>
          <w:highlight w:val="none"/>
        </w:rPr>
        <w:t>负责对投标文件的编制及内容进行解释、说明，并承诺以下事项：</w:t>
      </w:r>
    </w:p>
    <w:p w14:paraId="3A982BFD">
      <w:pPr>
        <w:pStyle w:val="40"/>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1.被授权人清楚投标文件编制的具体情况，包括技术方案文件、工程量清单、以及投标文件的加密打包的理解；</w:t>
      </w:r>
    </w:p>
    <w:p w14:paraId="724021A8">
      <w:pPr>
        <w:pStyle w:val="40"/>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2.在本项目开标至评标结束前，努力确保被授权人在项目评标所在地附近；</w:t>
      </w:r>
    </w:p>
    <w:p w14:paraId="442F6DA3">
      <w:pPr>
        <w:pStyle w:val="40"/>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3.从评标委员会要求澄清起二小时内，被授权人应如实地书面澄清。</w:t>
      </w:r>
    </w:p>
    <w:p w14:paraId="65A101C8">
      <w:pPr>
        <w:pStyle w:val="40"/>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如由于未遵守上述承诺内容之一导致无法进行澄清的，我公司认可和接受评标委员会作出的评审结论。</w:t>
      </w:r>
    </w:p>
    <w:p w14:paraId="001B039A">
      <w:pPr>
        <w:pStyle w:val="40"/>
        <w:spacing w:after="0" w:line="360" w:lineRule="auto"/>
        <w:ind w:firstLine="360" w:firstLineChars="150"/>
        <w:rPr>
          <w:rFonts w:hint="eastAsia" w:ascii="宋体" w:hAnsi="宋体" w:eastAsia="宋体" w:cs="宋体"/>
          <w:color w:val="auto"/>
          <w:sz w:val="24"/>
          <w:szCs w:val="24"/>
          <w:highlight w:val="none"/>
        </w:rPr>
      </w:pPr>
    </w:p>
    <w:p w14:paraId="7FBA6876">
      <w:pPr>
        <w:pStyle w:val="4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附件：《投标文件编制情况》</w:t>
      </w:r>
    </w:p>
    <w:p w14:paraId="6822D9FA">
      <w:pPr>
        <w:pStyle w:val="40"/>
        <w:spacing w:after="0" w:line="360" w:lineRule="auto"/>
        <w:ind w:firstLine="480" w:firstLineChars="200"/>
        <w:rPr>
          <w:rFonts w:hint="eastAsia" w:ascii="宋体" w:hAnsi="宋体" w:eastAsia="宋体" w:cs="宋体"/>
          <w:color w:val="auto"/>
          <w:sz w:val="24"/>
          <w:szCs w:val="24"/>
          <w:highlight w:val="none"/>
        </w:rPr>
      </w:pPr>
    </w:p>
    <w:p w14:paraId="50AB2E9C">
      <w:pPr>
        <w:spacing w:line="360" w:lineRule="auto"/>
        <w:ind w:right="90" w:firstLine="3240" w:firstLineChars="1350"/>
        <w:rPr>
          <w:rFonts w:ascii="宋体" w:hAnsi="宋体"/>
          <w:color w:val="auto"/>
          <w:sz w:val="24"/>
          <w:szCs w:val="24"/>
          <w:highlight w:val="none"/>
          <w:u w:val="single"/>
        </w:rPr>
      </w:pPr>
      <w:r>
        <w:rPr>
          <w:rFonts w:hint="eastAsia" w:ascii="宋体" w:hAnsi="宋体"/>
          <w:color w:val="auto"/>
          <w:sz w:val="24"/>
          <w:szCs w:val="24"/>
          <w:highlight w:val="none"/>
        </w:rPr>
        <w:t xml:space="preserve"> 投标人名称（盖法人公章）：</w:t>
      </w:r>
    </w:p>
    <w:p w14:paraId="3BFC7253">
      <w:pPr>
        <w:spacing w:line="360" w:lineRule="auto"/>
        <w:ind w:firstLine="2160" w:firstLineChars="900"/>
        <w:rPr>
          <w:rFonts w:ascii="宋体" w:hAnsi="宋体"/>
          <w:color w:val="auto"/>
          <w:sz w:val="24"/>
          <w:szCs w:val="24"/>
          <w:highlight w:val="none"/>
          <w:u w:val="single"/>
        </w:rPr>
      </w:pPr>
      <w:r>
        <w:rPr>
          <w:rFonts w:hint="eastAsia" w:ascii="宋体" w:hAnsi="宋体"/>
          <w:color w:val="auto"/>
          <w:sz w:val="24"/>
          <w:szCs w:val="24"/>
          <w:highlight w:val="none"/>
        </w:rPr>
        <w:t>法定代表人或被授权人（签字或盖章）：</w:t>
      </w:r>
    </w:p>
    <w:p w14:paraId="57F2603F">
      <w:pPr>
        <w:spacing w:line="360" w:lineRule="auto"/>
        <w:ind w:firstLine="4440" w:firstLineChars="1850"/>
        <w:jc w:val="center"/>
        <w:rPr>
          <w:color w:val="auto"/>
          <w:sz w:val="24"/>
          <w:szCs w:val="24"/>
          <w:highlight w:val="none"/>
        </w:rPr>
      </w:pPr>
      <w:r>
        <w:rPr>
          <w:rFonts w:hint="eastAsia"/>
          <w:color w:val="auto"/>
          <w:sz w:val="24"/>
          <w:szCs w:val="24"/>
          <w:highlight w:val="none"/>
        </w:rPr>
        <w:t>日期：  年  月  日</w:t>
      </w:r>
    </w:p>
    <w:p w14:paraId="496A92DD">
      <w:pPr>
        <w:spacing w:line="360" w:lineRule="auto"/>
        <w:rPr>
          <w:rFonts w:hint="eastAsia"/>
          <w:color w:val="auto"/>
          <w:szCs w:val="21"/>
          <w:highlight w:val="none"/>
        </w:rPr>
      </w:pPr>
      <w:r>
        <w:rPr>
          <w:color w:val="auto"/>
          <w:sz w:val="24"/>
          <w:szCs w:val="24"/>
          <w:highlight w:val="none"/>
        </w:rPr>
        <w:br w:type="page"/>
      </w:r>
      <w:r>
        <w:rPr>
          <w:rFonts w:hint="eastAsia"/>
          <w:color w:val="auto"/>
          <w:szCs w:val="21"/>
          <w:highlight w:val="none"/>
        </w:rPr>
        <w:t>附件六</w:t>
      </w:r>
    </w:p>
    <w:p w14:paraId="575EF414">
      <w:pPr>
        <w:pStyle w:val="40"/>
        <w:spacing w:after="0" w:line="360" w:lineRule="auto"/>
        <w:ind w:firstLine="643" w:firstLineChars="200"/>
        <w:jc w:val="center"/>
        <w:rPr>
          <w:b/>
          <w:color w:val="auto"/>
          <w:sz w:val="32"/>
          <w:szCs w:val="32"/>
          <w:highlight w:val="none"/>
        </w:rPr>
      </w:pPr>
    </w:p>
    <w:p w14:paraId="6A04EE9C">
      <w:pPr>
        <w:pStyle w:val="40"/>
        <w:spacing w:after="156" w:afterLines="50" w:line="360" w:lineRule="auto"/>
        <w:ind w:firstLine="643" w:firstLineChars="200"/>
        <w:jc w:val="center"/>
        <w:rPr>
          <w:rFonts w:hint="eastAsia" w:ascii="宋体" w:hAnsi="宋体" w:eastAsia="宋体" w:cs="宋体"/>
          <w:color w:val="auto"/>
          <w:sz w:val="18"/>
          <w:szCs w:val="18"/>
          <w:highlight w:val="none"/>
        </w:rPr>
      </w:pPr>
      <w:r>
        <w:rPr>
          <w:rFonts w:hint="eastAsia" w:ascii="宋体" w:hAnsi="宋体" w:eastAsia="宋体" w:cs="宋体"/>
          <w:b/>
          <w:color w:val="auto"/>
          <w:sz w:val="32"/>
          <w:szCs w:val="32"/>
          <w:highlight w:val="none"/>
        </w:rPr>
        <w:t>投标文件编制情况</w:t>
      </w:r>
    </w:p>
    <w:p w14:paraId="04DEDEAB">
      <w:pPr>
        <w:pStyle w:val="40"/>
        <w:spacing w:after="0"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1.投标文件报价编制方式: □自行编制的，编制的负责人：</w:t>
      </w:r>
      <w:r>
        <w:rPr>
          <w:rFonts w:hint="eastAsia" w:ascii="宋体" w:hAnsi="宋体" w:eastAsia="宋体" w:cs="宋体"/>
          <w:color w:val="auto"/>
          <w:sz w:val="24"/>
          <w:szCs w:val="24"/>
          <w:highlight w:val="none"/>
          <w:u w:val="single"/>
        </w:rPr>
        <w:t>（盖造价工程师执业专用章或全国建设工程造价员章，执业单位应与投标人一致）</w:t>
      </w:r>
      <w:r>
        <w:rPr>
          <w:rFonts w:hint="eastAsia" w:ascii="宋体" w:hAnsi="宋体" w:eastAsia="宋体" w:cs="宋体"/>
          <w:color w:val="auto"/>
          <w:sz w:val="24"/>
          <w:szCs w:val="24"/>
          <w:highlight w:val="none"/>
        </w:rPr>
        <w:t>。□委托编制的，受委托单位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，编制的负责人：</w:t>
      </w:r>
      <w:r>
        <w:rPr>
          <w:rFonts w:hint="eastAsia" w:ascii="宋体" w:hAnsi="宋体" w:eastAsia="宋体" w:cs="宋体"/>
          <w:color w:val="auto"/>
          <w:sz w:val="24"/>
          <w:szCs w:val="24"/>
          <w:highlight w:val="none"/>
          <w:u w:val="single"/>
        </w:rPr>
        <w:t>（盖造价工程师执业专用章或全国建设工程造价员章，执业单位应与受委托单位一致）</w:t>
      </w:r>
      <w:r>
        <w:rPr>
          <w:rFonts w:hint="eastAsia" w:ascii="宋体" w:hAnsi="宋体" w:eastAsia="宋体" w:cs="宋体"/>
          <w:color w:val="auto"/>
          <w:sz w:val="24"/>
          <w:szCs w:val="24"/>
          <w:highlight w:val="none"/>
        </w:rPr>
        <w:t>。</w:t>
      </w:r>
    </w:p>
    <w:p w14:paraId="121B5504">
      <w:pPr>
        <w:pStyle w:val="4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2.投标文件加密打包的电脑情况</w:t>
      </w:r>
    </w:p>
    <w:tbl>
      <w:tblPr>
        <w:tblStyle w:val="42"/>
        <w:tblW w:w="0" w:type="auto"/>
        <w:tblInd w:w="0" w:type="dxa"/>
        <w:tblLayout w:type="fixed"/>
        <w:tblCellMar>
          <w:top w:w="0" w:type="dxa"/>
          <w:left w:w="108" w:type="dxa"/>
          <w:bottom w:w="0" w:type="dxa"/>
          <w:right w:w="108" w:type="dxa"/>
        </w:tblCellMar>
      </w:tblPr>
      <w:tblGrid>
        <w:gridCol w:w="8522"/>
      </w:tblGrid>
      <w:tr w14:paraId="07DD7816">
        <w:tblPrEx>
          <w:tblCellMar>
            <w:top w:w="0" w:type="dxa"/>
            <w:left w:w="108" w:type="dxa"/>
            <w:bottom w:w="0" w:type="dxa"/>
            <w:right w:w="108" w:type="dxa"/>
          </w:tblCellMar>
        </w:tblPrEx>
        <w:trPr>
          <w:trHeight w:val="2819" w:hRule="atLeast"/>
        </w:trPr>
        <w:tc>
          <w:tcPr>
            <w:tcW w:w="8522" w:type="dxa"/>
            <w:noWrap w:val="0"/>
            <w:vAlign w:val="top"/>
          </w:tcPr>
          <w:p w14:paraId="0C5FE9F9">
            <w:pPr>
              <w:pStyle w:val="40"/>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投标文件加密打包的电脑   自有    □      外包    □     其他    □</w:t>
            </w:r>
          </w:p>
          <w:p w14:paraId="66A1E0A6">
            <w:pPr>
              <w:pStyle w:val="40"/>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电脑类型</w:t>
            </w:r>
          </w:p>
          <w:p w14:paraId="77DCDEE7">
            <w:pPr>
              <w:pStyle w:val="40"/>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电脑所属单位</w:t>
            </w:r>
          </w:p>
          <w:p w14:paraId="2AAD4284">
            <w:pPr>
              <w:pStyle w:val="40"/>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电脑所在地址（如××市××区(县) ××街（路）××号××大厦××房）</w:t>
            </w:r>
          </w:p>
        </w:tc>
      </w:tr>
    </w:tbl>
    <w:p w14:paraId="386AC04F">
      <w:pPr>
        <w:autoSpaceDE w:val="0"/>
        <w:autoSpaceDN w:val="0"/>
        <w:adjustRightInd w:val="0"/>
        <w:ind w:firstLine="420"/>
        <w:rPr>
          <w:color w:val="auto"/>
          <w:szCs w:val="21"/>
          <w:highlight w:val="none"/>
        </w:rPr>
      </w:pPr>
    </w:p>
    <w:p w14:paraId="4AD089C4">
      <w:pPr>
        <w:autoSpaceDE w:val="0"/>
        <w:autoSpaceDN w:val="0"/>
        <w:adjustRightInd w:val="0"/>
        <w:ind w:firstLine="420"/>
        <w:rPr>
          <w:color w:val="auto"/>
          <w:szCs w:val="21"/>
          <w:highlight w:val="none"/>
        </w:rPr>
      </w:pPr>
    </w:p>
    <w:p w14:paraId="26CDB9F3">
      <w:pPr>
        <w:autoSpaceDE w:val="0"/>
        <w:autoSpaceDN w:val="0"/>
        <w:adjustRightInd w:val="0"/>
        <w:ind w:firstLine="420"/>
        <w:rPr>
          <w:color w:val="auto"/>
          <w:szCs w:val="21"/>
          <w:highlight w:val="none"/>
        </w:rPr>
      </w:pPr>
    </w:p>
    <w:p w14:paraId="285FD0FC">
      <w:pPr>
        <w:autoSpaceDE w:val="0"/>
        <w:autoSpaceDN w:val="0"/>
        <w:adjustRightInd w:val="0"/>
        <w:ind w:firstLine="420"/>
        <w:rPr>
          <w:color w:val="auto"/>
          <w:szCs w:val="21"/>
          <w:highlight w:val="none"/>
        </w:rPr>
      </w:pPr>
    </w:p>
    <w:p w14:paraId="6065E984">
      <w:pPr>
        <w:autoSpaceDE w:val="0"/>
        <w:autoSpaceDN w:val="0"/>
        <w:adjustRightInd w:val="0"/>
        <w:ind w:firstLine="420"/>
        <w:rPr>
          <w:color w:val="auto"/>
          <w:szCs w:val="21"/>
          <w:highlight w:val="none"/>
        </w:rPr>
      </w:pPr>
    </w:p>
    <w:p w14:paraId="11553A7F">
      <w:pPr>
        <w:autoSpaceDE w:val="0"/>
        <w:autoSpaceDN w:val="0"/>
        <w:adjustRightInd w:val="0"/>
        <w:ind w:firstLine="420"/>
        <w:rPr>
          <w:color w:val="auto"/>
          <w:szCs w:val="21"/>
          <w:highlight w:val="none"/>
        </w:rPr>
      </w:pPr>
    </w:p>
    <w:p w14:paraId="0FBF0F4D">
      <w:pPr>
        <w:autoSpaceDE w:val="0"/>
        <w:autoSpaceDN w:val="0"/>
        <w:adjustRightInd w:val="0"/>
        <w:ind w:firstLine="420"/>
        <w:rPr>
          <w:color w:val="auto"/>
          <w:szCs w:val="21"/>
          <w:highlight w:val="none"/>
        </w:rPr>
      </w:pPr>
    </w:p>
    <w:p w14:paraId="1C24F505">
      <w:pPr>
        <w:autoSpaceDE w:val="0"/>
        <w:autoSpaceDN w:val="0"/>
        <w:adjustRightInd w:val="0"/>
        <w:ind w:firstLine="420"/>
        <w:rPr>
          <w:color w:val="auto"/>
          <w:szCs w:val="21"/>
          <w:highlight w:val="none"/>
        </w:rPr>
      </w:pPr>
    </w:p>
    <w:p w14:paraId="424E3E98">
      <w:pPr>
        <w:autoSpaceDE w:val="0"/>
        <w:autoSpaceDN w:val="0"/>
        <w:adjustRightInd w:val="0"/>
        <w:ind w:firstLine="420"/>
        <w:rPr>
          <w:color w:val="auto"/>
          <w:szCs w:val="21"/>
          <w:highlight w:val="none"/>
        </w:rPr>
      </w:pPr>
    </w:p>
    <w:p w14:paraId="7BCB21AE">
      <w:pPr>
        <w:autoSpaceDE w:val="0"/>
        <w:autoSpaceDN w:val="0"/>
        <w:adjustRightInd w:val="0"/>
        <w:ind w:firstLine="420"/>
        <w:rPr>
          <w:color w:val="auto"/>
          <w:szCs w:val="21"/>
          <w:highlight w:val="none"/>
        </w:rPr>
      </w:pPr>
    </w:p>
    <w:p w14:paraId="43C36401">
      <w:pPr>
        <w:autoSpaceDE w:val="0"/>
        <w:autoSpaceDN w:val="0"/>
        <w:adjustRightInd w:val="0"/>
        <w:ind w:firstLine="420"/>
        <w:rPr>
          <w:color w:val="auto"/>
          <w:szCs w:val="21"/>
          <w:highlight w:val="none"/>
        </w:rPr>
      </w:pPr>
    </w:p>
    <w:p w14:paraId="4ED16ACF">
      <w:pPr>
        <w:autoSpaceDE w:val="0"/>
        <w:autoSpaceDN w:val="0"/>
        <w:adjustRightInd w:val="0"/>
        <w:ind w:firstLine="420"/>
        <w:rPr>
          <w:color w:val="auto"/>
          <w:szCs w:val="21"/>
          <w:highlight w:val="none"/>
        </w:rPr>
      </w:pPr>
    </w:p>
    <w:p w14:paraId="0FB4B625">
      <w:pPr>
        <w:autoSpaceDE w:val="0"/>
        <w:autoSpaceDN w:val="0"/>
        <w:adjustRightInd w:val="0"/>
        <w:ind w:firstLine="420"/>
        <w:rPr>
          <w:color w:val="auto"/>
          <w:szCs w:val="21"/>
          <w:highlight w:val="none"/>
        </w:rPr>
      </w:pPr>
    </w:p>
    <w:p w14:paraId="6F6D156D">
      <w:pPr>
        <w:autoSpaceDE w:val="0"/>
        <w:autoSpaceDN w:val="0"/>
        <w:adjustRightInd w:val="0"/>
        <w:ind w:firstLine="420"/>
        <w:rPr>
          <w:color w:val="auto"/>
          <w:szCs w:val="21"/>
          <w:highlight w:val="none"/>
        </w:rPr>
      </w:pPr>
    </w:p>
    <w:p w14:paraId="09DBCB99">
      <w:pPr>
        <w:autoSpaceDE w:val="0"/>
        <w:autoSpaceDN w:val="0"/>
        <w:adjustRightInd w:val="0"/>
        <w:ind w:firstLine="420"/>
        <w:rPr>
          <w:color w:val="auto"/>
          <w:szCs w:val="21"/>
          <w:highlight w:val="none"/>
        </w:rPr>
      </w:pPr>
    </w:p>
    <w:p w14:paraId="700FE43C">
      <w:pPr>
        <w:autoSpaceDE w:val="0"/>
        <w:autoSpaceDN w:val="0"/>
        <w:adjustRightInd w:val="0"/>
        <w:ind w:firstLine="420"/>
        <w:rPr>
          <w:color w:val="auto"/>
          <w:szCs w:val="21"/>
          <w:highlight w:val="none"/>
        </w:rPr>
      </w:pPr>
    </w:p>
    <w:p w14:paraId="1029B5D5">
      <w:pPr>
        <w:autoSpaceDE w:val="0"/>
        <w:autoSpaceDN w:val="0"/>
        <w:adjustRightInd w:val="0"/>
        <w:ind w:firstLine="420"/>
        <w:rPr>
          <w:color w:val="auto"/>
          <w:szCs w:val="21"/>
          <w:highlight w:val="none"/>
        </w:rPr>
      </w:pPr>
    </w:p>
    <w:p w14:paraId="6D98A44E">
      <w:pPr>
        <w:autoSpaceDE w:val="0"/>
        <w:autoSpaceDN w:val="0"/>
        <w:adjustRightInd w:val="0"/>
        <w:ind w:firstLine="420"/>
        <w:rPr>
          <w:color w:val="auto"/>
          <w:szCs w:val="21"/>
          <w:highlight w:val="none"/>
        </w:rPr>
      </w:pPr>
    </w:p>
    <w:p w14:paraId="7A0572F0">
      <w:pPr>
        <w:autoSpaceDE w:val="0"/>
        <w:autoSpaceDN w:val="0"/>
        <w:adjustRightInd w:val="0"/>
        <w:ind w:firstLine="420"/>
        <w:rPr>
          <w:color w:val="auto"/>
          <w:szCs w:val="21"/>
          <w:highlight w:val="none"/>
        </w:rPr>
      </w:pPr>
    </w:p>
    <w:p w14:paraId="13BF1E79">
      <w:pPr>
        <w:autoSpaceDE w:val="0"/>
        <w:autoSpaceDN w:val="0"/>
        <w:adjustRightInd w:val="0"/>
        <w:ind w:firstLine="420"/>
        <w:rPr>
          <w:color w:val="auto"/>
          <w:szCs w:val="21"/>
          <w:highlight w:val="none"/>
        </w:rPr>
      </w:pPr>
    </w:p>
    <w:p w14:paraId="2EFF3573">
      <w:pPr>
        <w:autoSpaceDE w:val="0"/>
        <w:autoSpaceDN w:val="0"/>
        <w:adjustRightInd w:val="0"/>
        <w:rPr>
          <w:rFonts w:hint="eastAsia"/>
          <w:color w:val="auto"/>
          <w:szCs w:val="21"/>
          <w:highlight w:val="none"/>
        </w:rPr>
        <w:sectPr>
          <w:pgSz w:w="11906" w:h="16838"/>
          <w:pgMar w:top="1440" w:right="1800" w:bottom="1440" w:left="1800" w:header="851" w:footer="992" w:gutter="0"/>
          <w:cols w:space="720" w:num="1"/>
          <w:docGrid w:type="lines" w:linePitch="312" w:charSpace="0"/>
        </w:sectPr>
      </w:pPr>
    </w:p>
    <w:p w14:paraId="38BB185F">
      <w:pPr>
        <w:autoSpaceDE w:val="0"/>
        <w:autoSpaceDN w:val="0"/>
        <w:adjustRightInd w:val="0"/>
        <w:rPr>
          <w:color w:val="auto"/>
          <w:szCs w:val="21"/>
          <w:highlight w:val="none"/>
        </w:rPr>
      </w:pPr>
      <w:r>
        <w:rPr>
          <w:rFonts w:hint="eastAsia"/>
          <w:color w:val="auto"/>
          <w:szCs w:val="21"/>
          <w:highlight w:val="none"/>
        </w:rPr>
        <w:t xml:space="preserve">附件七  </w:t>
      </w:r>
    </w:p>
    <w:p w14:paraId="42F5E8FD">
      <w:pPr>
        <w:autoSpaceDE w:val="0"/>
        <w:autoSpaceDN w:val="0"/>
        <w:adjustRightInd w:val="0"/>
        <w:ind w:firstLine="420"/>
        <w:rPr>
          <w:color w:val="auto"/>
          <w:szCs w:val="21"/>
          <w:highlight w:val="none"/>
        </w:rPr>
      </w:pPr>
    </w:p>
    <w:p w14:paraId="2294D218">
      <w:pPr>
        <w:pStyle w:val="40"/>
        <w:spacing w:after="0" w:line="360" w:lineRule="auto"/>
        <w:ind w:firstLine="643" w:firstLineChars="20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如投标报价低于警示价的，提供投标报价不低于成本价的证明材料</w:t>
      </w:r>
    </w:p>
    <w:p w14:paraId="4AF9740E">
      <w:pPr>
        <w:spacing w:line="360" w:lineRule="auto"/>
        <w:ind w:right="480"/>
        <w:rPr>
          <w:rFonts w:ascii="宋体" w:hAnsi="宋体"/>
          <w:color w:val="auto"/>
          <w:sz w:val="24"/>
          <w:highlight w:val="none"/>
        </w:rPr>
      </w:pPr>
      <w:r>
        <w:rPr>
          <w:rFonts w:ascii="宋体" w:hAnsi="宋体"/>
          <w:color w:val="auto"/>
          <w:sz w:val="24"/>
          <w:highlight w:val="none"/>
        </w:rPr>
        <w:br w:type="page"/>
      </w:r>
    </w:p>
    <w:p w14:paraId="6F12A87B">
      <w:pPr>
        <w:pStyle w:val="2"/>
        <w:spacing w:before="0" w:after="0" w:line="240" w:lineRule="auto"/>
        <w:jc w:val="center"/>
        <w:rPr>
          <w:rFonts w:ascii="宋体" w:hAnsi="宋体"/>
          <w:color w:val="auto"/>
          <w:sz w:val="24"/>
          <w:highlight w:val="none"/>
        </w:rPr>
      </w:pPr>
      <w:bookmarkStart w:id="1274" w:name="_Toc180758607"/>
      <w:bookmarkStart w:id="1275" w:name="_Toc21787770"/>
      <w:r>
        <w:rPr>
          <w:rFonts w:hint="eastAsia"/>
          <w:color w:val="auto"/>
          <w:highlight w:val="none"/>
        </w:rPr>
        <w:t>第九章 否决性条款汇总</w:t>
      </w:r>
      <w:bookmarkEnd w:id="1274"/>
      <w:bookmarkEnd w:id="1275"/>
    </w:p>
    <w:p w14:paraId="022323DE">
      <w:pPr>
        <w:widowControl/>
        <w:ind w:firstLine="482"/>
        <w:jc w:val="center"/>
        <w:rPr>
          <w:rFonts w:hint="eastAsia" w:ascii="宋体" w:hAnsi="宋体" w:cs="宋体"/>
          <w:color w:val="auto"/>
          <w:kern w:val="0"/>
          <w:sz w:val="24"/>
          <w:szCs w:val="24"/>
          <w:highlight w:val="none"/>
        </w:rPr>
      </w:pPr>
      <w:r>
        <w:rPr>
          <w:rFonts w:hint="eastAsia" w:ascii="宋体" w:hAnsi="宋体" w:cs="宋体"/>
          <w:b/>
          <w:bCs/>
          <w:color w:val="auto"/>
          <w:kern w:val="0"/>
          <w:sz w:val="24"/>
          <w:szCs w:val="24"/>
          <w:highlight w:val="none"/>
        </w:rPr>
        <w:t>否决性条款单列参考格式</w:t>
      </w:r>
    </w:p>
    <w:p w14:paraId="1DBD6C0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招标文件的其他条款与该单列的否决性条款不一致的，以单列的否决性条款为准。</w:t>
      </w:r>
    </w:p>
    <w:p w14:paraId="7A14F8B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（一）拒绝受理投标文件的情形</w:t>
      </w:r>
    </w:p>
    <w:p w14:paraId="57DECDA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1. </w:t>
      </w:r>
      <w:r>
        <w:rPr>
          <w:rFonts w:hint="eastAsia" w:ascii="宋体" w:hAnsi="宋体"/>
          <w:color w:val="auto"/>
          <w:sz w:val="24"/>
          <w:szCs w:val="21"/>
          <w:highlight w:val="none"/>
        </w:rPr>
        <w:t>未按要求加密的投标文件，</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olor w:val="auto"/>
          <w:sz w:val="24"/>
          <w:szCs w:val="21"/>
          <w:highlight w:val="none"/>
        </w:rPr>
        <w:t>交易平台将予以拒收。</w:t>
      </w:r>
    </w:p>
    <w:p w14:paraId="05F53B99">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2. </w:t>
      </w:r>
      <w:r>
        <w:rPr>
          <w:rFonts w:hint="eastAsia" w:ascii="宋体" w:hAnsi="宋体"/>
          <w:color w:val="auto"/>
          <w:sz w:val="24"/>
          <w:highlight w:val="none"/>
        </w:rPr>
        <w:t>逾期送达的电子投标文件，广州公共资源交易平台将予以拒收。</w:t>
      </w:r>
    </w:p>
    <w:p w14:paraId="23E5C05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 因投标人原因造成投标文件未解密或未在规定的时间内解密的，视为撤销其投标文件。</w:t>
      </w:r>
    </w:p>
    <w:p w14:paraId="045E4BC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（二）作无效投标的情形</w:t>
      </w:r>
    </w:p>
    <w:p w14:paraId="4D9A069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 投标文件不符合招标文件评标办法中形式评审标准、资格评审标准、响应性评审标准的要求。</w:t>
      </w:r>
    </w:p>
    <w:p w14:paraId="47B9F58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（三）作不合格标处理的情形</w:t>
      </w:r>
    </w:p>
    <w:p w14:paraId="140677D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 投标人有以下情形之一的，评标委员会应当否决其投标：</w:t>
      </w:r>
    </w:p>
    <w:p w14:paraId="4870365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（1）第二章“投标人须知”第1.4.3项规定的任何一种情形的；</w:t>
      </w:r>
    </w:p>
    <w:p w14:paraId="73FB9EA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（2）串通投标或弄虚作假或有其他违法行为的；</w:t>
      </w:r>
    </w:p>
    <w:p w14:paraId="7BE5E65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（3）不按评标委员会要求澄清、说明或补正的。</w:t>
      </w:r>
    </w:p>
    <w:p w14:paraId="293DF2D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 投标人不接受修正价格的，其投标作废标处理。</w:t>
      </w:r>
    </w:p>
    <w:p w14:paraId="645A3B8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 在评标过程中，评标委员会发现投标人的报价明显低于其他投标报价或者低于成本警戒价，应当要求该投标人作出书面说明并提供相关证明材料。投标人不能合理说明或者不能提供相关证明材料的，由评标委员会认定该投标人以低于成本报价竞标，应当否决其投标。</w:t>
      </w:r>
    </w:p>
    <w:p w14:paraId="31BC375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 非竞争性费用需与招标人发布的金额一致，不一致的投标报价无效。</w:t>
      </w:r>
    </w:p>
    <w:p w14:paraId="69DDA09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（四）其他否定投标文件效力情形</w:t>
      </w:r>
    </w:p>
    <w:p w14:paraId="2178930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1.开标时，出现下列情形之一的，投标文件由招标人作否决投标处理，不参与评标：</w:t>
      </w:r>
    </w:p>
    <w:p w14:paraId="6D60B6C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（1）未成功递交投标文件的；</w:t>
      </w:r>
    </w:p>
    <w:p w14:paraId="3E263C7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（2）因投标人原因造成投标文件未解密的；</w:t>
      </w:r>
    </w:p>
    <w:p w14:paraId="7A244AD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（3）未按规定时间对投标文件进行解密的；</w:t>
      </w:r>
    </w:p>
    <w:p w14:paraId="27131FF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（4）两个（含两个）以上的投标人加密打包投标文件电脑机器码一致的；</w:t>
      </w:r>
    </w:p>
    <w:p w14:paraId="5DFECF9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（5）项目负责人和安全员为同一人的；</w:t>
      </w:r>
    </w:p>
    <w:p w14:paraId="3D0512D6">
      <w:pPr>
        <w:widowControl/>
        <w:spacing w:after="135" w:line="360" w:lineRule="auto"/>
        <w:ind w:firstLine="480" w:firstLineChars="200"/>
        <w:jc w:val="left"/>
        <w:rPr>
          <w:rFonts w:hint="eastAsia" w:ascii="宋体" w:hAnsi="宋体" w:cs="宋体"/>
          <w:color w:val="auto"/>
          <w:kern w:val="0"/>
          <w:sz w:val="24"/>
          <w:szCs w:val="24"/>
          <w:highlight w:val="none"/>
        </w:rPr>
      </w:pPr>
      <w:r>
        <w:rPr>
          <w:rFonts w:hint="eastAsia" w:ascii="宋体" w:hAnsi="宋体"/>
          <w:color w:val="auto"/>
          <w:sz w:val="24"/>
          <w:highlight w:val="none"/>
        </w:rPr>
        <w:t>（6）投标文件中的投标人企业名称、项目负责人、专职安全员与投标登记时的信息不一致的。</w:t>
      </w:r>
    </w:p>
    <w:p w14:paraId="74662CC8">
      <w:pPr>
        <w:widowControl/>
        <w:spacing w:after="135" w:line="360" w:lineRule="auto"/>
        <w:ind w:firstLine="645"/>
        <w:jc w:val="left"/>
        <w:rPr>
          <w:rFonts w:hint="eastAsia" w:ascii="宋体" w:hAnsi="宋体" w:cs="宋体"/>
          <w:color w:val="auto"/>
          <w:kern w:val="0"/>
          <w:sz w:val="24"/>
          <w:szCs w:val="24"/>
          <w:highlight w:val="none"/>
        </w:rPr>
      </w:pPr>
    </w:p>
    <w:p w14:paraId="02E2A06B">
      <w:pPr>
        <w:widowControl/>
        <w:spacing w:after="135" w:line="360" w:lineRule="auto"/>
        <w:ind w:firstLine="645"/>
        <w:jc w:val="left"/>
        <w:rPr>
          <w:rFonts w:hint="eastAsia" w:ascii="宋体" w:hAnsi="宋体" w:cs="宋体"/>
          <w:color w:val="auto"/>
          <w:kern w:val="0"/>
          <w:sz w:val="24"/>
          <w:szCs w:val="24"/>
          <w:highlight w:val="none"/>
        </w:rPr>
        <w:sectPr>
          <w:pgSz w:w="11906" w:h="16838"/>
          <w:pgMar w:top="1440" w:right="1800" w:bottom="1440" w:left="1800" w:header="851" w:footer="992" w:gutter="0"/>
          <w:cols w:space="720" w:num="1"/>
          <w:docGrid w:type="lines" w:linePitch="312" w:charSpace="0"/>
        </w:sectPr>
      </w:pPr>
      <w:bookmarkStart w:id="1276" w:name="_Toc21787771"/>
    </w:p>
    <w:p w14:paraId="3803A935">
      <w:pPr>
        <w:pStyle w:val="2"/>
        <w:jc w:val="center"/>
        <w:rPr>
          <w:rFonts w:ascii="宋体" w:hAnsi="宋体"/>
          <w:color w:val="auto"/>
          <w:sz w:val="24"/>
          <w:highlight w:val="none"/>
        </w:rPr>
      </w:pPr>
      <w:bookmarkStart w:id="1277" w:name="_Toc180758608"/>
      <w:r>
        <w:rPr>
          <w:rFonts w:hint="eastAsia"/>
          <w:color w:val="auto"/>
          <w:highlight w:val="none"/>
        </w:rPr>
        <w:t>第十章 最高投标限价（招标控制价）</w:t>
      </w:r>
      <w:bookmarkEnd w:id="1276"/>
      <w:bookmarkEnd w:id="1277"/>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4"/>
      </w:tblGrid>
      <w:tr w14:paraId="4760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2" w:hRule="atLeast"/>
        </w:trPr>
        <w:tc>
          <w:tcPr>
            <w:tcW w:w="8724" w:type="dxa"/>
            <w:noWrap w:val="0"/>
            <w:vAlign w:val="top"/>
          </w:tcPr>
          <w:p w14:paraId="35144070">
            <w:pPr>
              <w:spacing w:line="600" w:lineRule="exact"/>
              <w:jc w:val="center"/>
              <w:rPr>
                <w:rFonts w:ascii="宋体" w:hAnsi="宋体"/>
                <w:b/>
                <w:color w:val="auto"/>
                <w:spacing w:val="60"/>
                <w:sz w:val="44"/>
                <w:szCs w:val="44"/>
                <w:highlight w:val="none"/>
              </w:rPr>
            </w:pPr>
            <w:r>
              <w:rPr>
                <w:rFonts w:hint="eastAsia" w:ascii="宋体" w:hAnsi="宋体"/>
                <w:b/>
                <w:color w:val="auto"/>
                <w:spacing w:val="60"/>
                <w:sz w:val="44"/>
                <w:szCs w:val="44"/>
                <w:highlight w:val="none"/>
              </w:rPr>
              <w:t>最高投标限价公布函</w:t>
            </w:r>
          </w:p>
          <w:p w14:paraId="7E0DFCD3">
            <w:pPr>
              <w:spacing w:line="600" w:lineRule="exact"/>
              <w:jc w:val="center"/>
              <w:rPr>
                <w:rFonts w:ascii="宋体" w:hAnsi="宋体"/>
                <w:b/>
                <w:color w:val="auto"/>
                <w:spacing w:val="60"/>
                <w:sz w:val="44"/>
                <w:szCs w:val="44"/>
                <w:highlight w:val="none"/>
              </w:rPr>
            </w:pPr>
          </w:p>
          <w:p w14:paraId="439220D7">
            <w:pPr>
              <w:spacing w:line="360" w:lineRule="auto"/>
              <w:rPr>
                <w:rFonts w:hint="default" w:ascii="楷体" w:hAnsi="楷体" w:eastAsia="楷体" w:cs="楷体"/>
                <w:i w:val="0"/>
                <w:iCs w:val="0"/>
                <w:sz w:val="24"/>
                <w:szCs w:val="32"/>
                <w:u w:val="single"/>
                <w:lang w:val="en-US" w:eastAsia="zh-CN"/>
              </w:rPr>
            </w:pPr>
            <w:r>
              <w:rPr>
                <w:rFonts w:hint="eastAsia" w:ascii="楷体" w:hAnsi="楷体" w:eastAsia="楷体" w:cs="楷体"/>
                <w:sz w:val="24"/>
                <w:szCs w:val="32"/>
              </w:rPr>
              <w:t>工程名称:</w:t>
            </w:r>
            <w:r>
              <w:rPr>
                <w:rFonts w:hint="eastAsia" w:ascii="楷体" w:hAnsi="楷体" w:eastAsia="楷体" w:cs="楷体"/>
                <w:i w:val="0"/>
                <w:iCs w:val="0"/>
                <w:sz w:val="24"/>
                <w:szCs w:val="32"/>
                <w:u w:val="single"/>
                <w:lang w:eastAsia="zh-CN"/>
              </w:rPr>
              <w:t>广州市增城区大封门水库扩容工程输变电线路迁改工程</w:t>
            </w:r>
            <w:r>
              <w:rPr>
                <w:rFonts w:hint="eastAsia" w:ascii="楷体" w:hAnsi="楷体" w:eastAsia="楷体" w:cs="楷体"/>
                <w:i w:val="0"/>
                <w:iCs w:val="0"/>
                <w:sz w:val="24"/>
                <w:szCs w:val="32"/>
                <w:u w:val="single"/>
                <w:lang w:val="en-US" w:eastAsia="zh-CN"/>
              </w:rPr>
              <w:t xml:space="preserve">                                     </w:t>
            </w:r>
          </w:p>
          <w:p w14:paraId="663A9B26">
            <w:pPr>
              <w:spacing w:line="360" w:lineRule="auto"/>
              <w:rPr>
                <w:rFonts w:hint="default" w:ascii="楷体" w:hAnsi="楷体" w:eastAsia="楷体" w:cs="楷体"/>
                <w:sz w:val="24"/>
                <w:szCs w:val="32"/>
                <w:u w:val="single"/>
                <w:lang w:val="en-US" w:eastAsia="zh-CN"/>
              </w:rPr>
            </w:pPr>
            <w:r>
              <w:rPr>
                <w:rFonts w:hint="eastAsia" w:ascii="楷体" w:hAnsi="楷体" w:eastAsia="楷体" w:cs="楷体"/>
                <w:sz w:val="24"/>
                <w:szCs w:val="32"/>
              </w:rPr>
              <w:t xml:space="preserve">最高投标限价(元): </w:t>
            </w:r>
            <w:r>
              <w:rPr>
                <w:rFonts w:hint="eastAsia" w:ascii="楷体" w:hAnsi="楷体" w:eastAsia="楷体" w:cs="楷体"/>
                <w:sz w:val="24"/>
                <w:szCs w:val="32"/>
                <w:u w:val="single"/>
                <w:lang w:val="en-US" w:eastAsia="zh-CN"/>
              </w:rPr>
              <w:t xml:space="preserve"> 6,631,691.11                                             </w:t>
            </w:r>
          </w:p>
          <w:p w14:paraId="688AA0BA">
            <w:pPr>
              <w:spacing w:line="360" w:lineRule="auto"/>
              <w:rPr>
                <w:rFonts w:hint="default" w:ascii="楷体" w:hAnsi="楷体" w:eastAsia="楷体" w:cs="楷体"/>
                <w:sz w:val="24"/>
                <w:szCs w:val="32"/>
                <w:u w:val="single"/>
                <w:lang w:val="en-US" w:eastAsia="zh-CN"/>
              </w:rPr>
            </w:pPr>
            <w:r>
              <w:rPr>
                <w:rFonts w:hint="eastAsia" w:ascii="楷体" w:hAnsi="楷体" w:eastAsia="楷体" w:cs="楷体"/>
                <w:sz w:val="24"/>
                <w:szCs w:val="32"/>
              </w:rPr>
              <w:t>分部分项工程费(元):</w:t>
            </w:r>
            <w:r>
              <w:rPr>
                <w:rFonts w:hint="eastAsia" w:ascii="楷体" w:hAnsi="楷体" w:eastAsia="楷体" w:cs="楷体"/>
                <w:sz w:val="24"/>
                <w:szCs w:val="32"/>
                <w:u w:val="single"/>
                <w:lang w:val="en-US" w:eastAsia="zh-CN"/>
              </w:rPr>
              <w:t xml:space="preserve">       5,399,852.41                                    </w:t>
            </w:r>
          </w:p>
          <w:p w14:paraId="77B09098">
            <w:pPr>
              <w:spacing w:line="360" w:lineRule="auto"/>
              <w:rPr>
                <w:rFonts w:hint="default" w:ascii="楷体" w:hAnsi="楷体" w:eastAsia="楷体" w:cs="楷体"/>
                <w:sz w:val="24"/>
                <w:szCs w:val="32"/>
                <w:u w:val="single"/>
                <w:lang w:val="en-US" w:eastAsia="zh-CN"/>
              </w:rPr>
            </w:pPr>
            <w:r>
              <w:rPr>
                <w:rFonts w:hint="eastAsia" w:ascii="楷体" w:hAnsi="楷体" w:eastAsia="楷体" w:cs="楷体"/>
                <w:sz w:val="24"/>
                <w:szCs w:val="32"/>
              </w:rPr>
              <w:t xml:space="preserve">措施项目费 (元): </w:t>
            </w:r>
            <w:r>
              <w:rPr>
                <w:rFonts w:hint="eastAsia" w:ascii="楷体" w:hAnsi="楷体" w:eastAsia="楷体" w:cs="楷体"/>
                <w:sz w:val="24"/>
                <w:szCs w:val="32"/>
                <w:u w:val="single"/>
                <w:lang w:val="en-US" w:eastAsia="zh-CN"/>
              </w:rPr>
              <w:t xml:space="preserve">                 549,355.58                         </w:t>
            </w:r>
          </w:p>
          <w:p w14:paraId="039E0299">
            <w:pPr>
              <w:spacing w:line="360" w:lineRule="auto"/>
              <w:rPr>
                <w:rFonts w:hint="eastAsia" w:ascii="楷体" w:hAnsi="楷体" w:eastAsia="楷体" w:cs="楷体"/>
                <w:sz w:val="24"/>
                <w:szCs w:val="32"/>
                <w:u w:val="single"/>
                <w:lang w:val="en-US" w:eastAsia="zh-CN"/>
              </w:rPr>
            </w:pPr>
            <w:r>
              <w:rPr>
                <w:rFonts w:hint="eastAsia" w:ascii="楷体" w:hAnsi="楷体" w:eastAsia="楷体" w:cs="楷体"/>
                <w:sz w:val="24"/>
                <w:szCs w:val="32"/>
              </w:rPr>
              <w:t xml:space="preserve">其中绿色施工安全防护措施费 (元): </w:t>
            </w:r>
            <w:r>
              <w:rPr>
                <w:rFonts w:hint="eastAsia" w:ascii="楷体" w:hAnsi="楷体" w:eastAsia="楷体" w:cs="楷体"/>
                <w:sz w:val="24"/>
                <w:szCs w:val="32"/>
                <w:u w:val="single"/>
                <w:lang w:val="en-US" w:eastAsia="zh-CN"/>
              </w:rPr>
              <w:t xml:space="preserve">          522,564.46                 </w:t>
            </w:r>
          </w:p>
          <w:p w14:paraId="5EDEAFDD">
            <w:pPr>
              <w:spacing w:line="360" w:lineRule="auto"/>
              <w:rPr>
                <w:rFonts w:hint="eastAsia" w:ascii="楷体" w:hAnsi="楷体" w:eastAsia="楷体" w:cs="楷体"/>
                <w:sz w:val="24"/>
                <w:szCs w:val="32"/>
                <w:u w:val="single"/>
                <w:lang w:val="en-US" w:eastAsia="zh-CN"/>
              </w:rPr>
            </w:pPr>
            <w:r>
              <w:rPr>
                <w:rFonts w:hint="eastAsia" w:ascii="楷体" w:hAnsi="楷体" w:eastAsia="楷体" w:cs="楷体"/>
                <w:sz w:val="24"/>
                <w:szCs w:val="32"/>
                <w:u w:val="none"/>
                <w:lang w:val="en-US" w:eastAsia="zh-CN"/>
              </w:rPr>
              <w:t xml:space="preserve">     市政土建部分 </w:t>
            </w:r>
            <w:r>
              <w:rPr>
                <w:rFonts w:hint="eastAsia" w:ascii="楷体" w:hAnsi="楷体" w:eastAsia="楷体" w:cs="楷体"/>
                <w:sz w:val="24"/>
                <w:szCs w:val="32"/>
              </w:rPr>
              <w:t xml:space="preserve">(元): </w:t>
            </w:r>
            <w:r>
              <w:rPr>
                <w:rFonts w:hint="eastAsia" w:ascii="楷体" w:hAnsi="楷体" w:eastAsia="楷体" w:cs="楷体"/>
                <w:sz w:val="24"/>
                <w:szCs w:val="32"/>
                <w:u w:val="single"/>
                <w:lang w:val="en-US" w:eastAsia="zh-CN"/>
              </w:rPr>
              <w:t xml:space="preserve">       163,439.20                             </w:t>
            </w:r>
          </w:p>
          <w:p w14:paraId="06E5F628">
            <w:pPr>
              <w:spacing w:line="360" w:lineRule="auto"/>
              <w:rPr>
                <w:rFonts w:hint="eastAsia" w:ascii="楷体" w:hAnsi="楷体" w:eastAsia="楷体" w:cs="楷体"/>
                <w:sz w:val="24"/>
                <w:szCs w:val="32"/>
                <w:u w:val="single"/>
                <w:lang w:val="en-US" w:eastAsia="zh-CN"/>
              </w:rPr>
            </w:pPr>
            <w:r>
              <w:rPr>
                <w:rFonts w:hint="eastAsia" w:ascii="楷体" w:hAnsi="楷体" w:eastAsia="楷体" w:cs="楷体"/>
                <w:sz w:val="24"/>
                <w:szCs w:val="32"/>
                <w:u w:val="none"/>
                <w:lang w:val="en-US" w:eastAsia="zh-CN"/>
              </w:rPr>
              <w:t xml:space="preserve">     铁塔基础（安装工程）土建部分</w:t>
            </w:r>
            <w:r>
              <w:rPr>
                <w:rFonts w:hint="eastAsia" w:ascii="楷体" w:hAnsi="楷体" w:eastAsia="楷体" w:cs="楷体"/>
                <w:sz w:val="24"/>
                <w:szCs w:val="32"/>
                <w:u w:val="none"/>
              </w:rPr>
              <w:t>(元</w:t>
            </w:r>
            <w:r>
              <w:rPr>
                <w:rFonts w:hint="eastAsia" w:ascii="楷体" w:hAnsi="楷体" w:eastAsia="楷体" w:cs="楷体"/>
                <w:sz w:val="24"/>
                <w:szCs w:val="32"/>
              </w:rPr>
              <w:t xml:space="preserve">): </w:t>
            </w:r>
            <w:r>
              <w:rPr>
                <w:rFonts w:hint="eastAsia" w:ascii="楷体" w:hAnsi="楷体" w:eastAsia="楷体" w:cs="楷体"/>
                <w:sz w:val="24"/>
                <w:szCs w:val="32"/>
                <w:u w:val="single"/>
                <w:lang w:val="en-US" w:eastAsia="zh-CN"/>
              </w:rPr>
              <w:t xml:space="preserve">        245,921.68                        </w:t>
            </w:r>
          </w:p>
          <w:p w14:paraId="52AEB96C">
            <w:pPr>
              <w:spacing w:line="360" w:lineRule="auto"/>
              <w:rPr>
                <w:rFonts w:hint="eastAsia" w:ascii="楷体" w:hAnsi="楷体" w:eastAsia="楷体" w:cs="楷体"/>
                <w:sz w:val="24"/>
                <w:szCs w:val="32"/>
                <w:u w:val="single"/>
                <w:lang w:val="en-US" w:eastAsia="zh-CN"/>
              </w:rPr>
            </w:pPr>
            <w:r>
              <w:rPr>
                <w:rFonts w:hint="eastAsia" w:ascii="楷体" w:hAnsi="楷体" w:eastAsia="楷体" w:cs="楷体"/>
                <w:sz w:val="24"/>
                <w:szCs w:val="32"/>
                <w:u w:val="none"/>
                <w:lang w:val="en-US" w:eastAsia="zh-CN"/>
              </w:rPr>
              <w:t xml:space="preserve">     10KV西坑护林站分支线拆除</w:t>
            </w:r>
            <w:r>
              <w:rPr>
                <w:rFonts w:hint="eastAsia" w:ascii="楷体" w:hAnsi="楷体" w:eastAsia="楷体" w:cs="楷体"/>
                <w:sz w:val="24"/>
                <w:szCs w:val="32"/>
                <w:u w:val="none"/>
              </w:rPr>
              <w:t>(元</w:t>
            </w:r>
            <w:r>
              <w:rPr>
                <w:rFonts w:hint="eastAsia" w:ascii="楷体" w:hAnsi="楷体" w:eastAsia="楷体" w:cs="楷体"/>
                <w:sz w:val="24"/>
                <w:szCs w:val="32"/>
              </w:rPr>
              <w:t xml:space="preserve">): </w:t>
            </w:r>
            <w:r>
              <w:rPr>
                <w:rFonts w:hint="eastAsia" w:ascii="楷体" w:hAnsi="楷体" w:eastAsia="楷体" w:cs="楷体"/>
                <w:sz w:val="24"/>
                <w:szCs w:val="32"/>
                <w:u w:val="single"/>
                <w:lang w:val="en-US" w:eastAsia="zh-CN"/>
              </w:rPr>
              <w:t xml:space="preserve">          11,884.92                     </w:t>
            </w:r>
          </w:p>
          <w:p w14:paraId="3982E215">
            <w:pPr>
              <w:spacing w:line="360" w:lineRule="auto"/>
              <w:ind w:firstLine="480" w:firstLineChars="200"/>
              <w:rPr>
                <w:rFonts w:hint="eastAsia" w:ascii="楷体" w:hAnsi="楷体" w:eastAsia="楷体" w:cs="楷体"/>
                <w:sz w:val="24"/>
                <w:szCs w:val="32"/>
                <w:u w:val="single"/>
                <w:lang w:val="en-US" w:eastAsia="zh-CN"/>
              </w:rPr>
            </w:pPr>
            <w:r>
              <w:rPr>
                <w:rFonts w:hint="eastAsia" w:ascii="楷体" w:hAnsi="楷体" w:eastAsia="楷体" w:cs="楷体"/>
                <w:sz w:val="24"/>
                <w:szCs w:val="32"/>
                <w:u w:val="none"/>
                <w:lang w:val="en-US" w:eastAsia="zh-CN"/>
              </w:rPr>
              <w:t>0.4KV周边低压线路拆除</w:t>
            </w:r>
            <w:r>
              <w:rPr>
                <w:rFonts w:hint="eastAsia" w:ascii="楷体" w:hAnsi="楷体" w:eastAsia="楷体" w:cs="楷体"/>
                <w:sz w:val="24"/>
                <w:szCs w:val="32"/>
                <w:u w:val="none"/>
              </w:rPr>
              <w:t>(元</w:t>
            </w:r>
            <w:r>
              <w:rPr>
                <w:rFonts w:hint="eastAsia" w:ascii="楷体" w:hAnsi="楷体" w:eastAsia="楷体" w:cs="楷体"/>
                <w:sz w:val="24"/>
                <w:szCs w:val="32"/>
              </w:rPr>
              <w:t xml:space="preserve">): </w:t>
            </w:r>
            <w:r>
              <w:rPr>
                <w:rFonts w:hint="eastAsia" w:ascii="楷体" w:hAnsi="楷体" w:eastAsia="楷体" w:cs="楷体"/>
                <w:sz w:val="24"/>
                <w:szCs w:val="32"/>
                <w:u w:val="single"/>
                <w:lang w:val="en-US" w:eastAsia="zh-CN"/>
              </w:rPr>
              <w:t xml:space="preserve">        2,041.09                      </w:t>
            </w:r>
          </w:p>
          <w:p w14:paraId="2DCEA5C8">
            <w:pPr>
              <w:spacing w:line="360" w:lineRule="auto"/>
              <w:ind w:firstLine="480" w:firstLineChars="200"/>
              <w:rPr>
                <w:rFonts w:hint="eastAsia" w:ascii="楷体" w:hAnsi="楷体" w:eastAsia="楷体" w:cs="楷体"/>
                <w:sz w:val="24"/>
                <w:szCs w:val="32"/>
                <w:u w:val="single"/>
                <w:lang w:val="en-US" w:eastAsia="zh-CN"/>
              </w:rPr>
            </w:pPr>
            <w:r>
              <w:rPr>
                <w:rFonts w:hint="eastAsia" w:ascii="楷体" w:hAnsi="楷体" w:eastAsia="楷体" w:cs="楷体"/>
                <w:sz w:val="24"/>
                <w:szCs w:val="32"/>
                <w:u w:val="none"/>
                <w:lang w:val="en-US" w:eastAsia="zh-CN"/>
              </w:rPr>
              <w:t>10KV西坑护林站分支线安装</w:t>
            </w:r>
            <w:r>
              <w:rPr>
                <w:rFonts w:hint="eastAsia" w:ascii="楷体" w:hAnsi="楷体" w:eastAsia="楷体" w:cs="楷体"/>
                <w:sz w:val="24"/>
                <w:szCs w:val="32"/>
                <w:u w:val="none"/>
              </w:rPr>
              <w:t>(元</w:t>
            </w:r>
            <w:r>
              <w:rPr>
                <w:rFonts w:hint="eastAsia" w:ascii="楷体" w:hAnsi="楷体" w:eastAsia="楷体" w:cs="楷体"/>
                <w:sz w:val="24"/>
                <w:szCs w:val="32"/>
              </w:rPr>
              <w:t xml:space="preserve">): </w:t>
            </w:r>
            <w:r>
              <w:rPr>
                <w:rFonts w:hint="eastAsia" w:ascii="楷体" w:hAnsi="楷体" w:eastAsia="楷体" w:cs="楷体"/>
                <w:sz w:val="24"/>
                <w:szCs w:val="32"/>
                <w:u w:val="single"/>
                <w:lang w:val="en-US" w:eastAsia="zh-CN"/>
              </w:rPr>
              <w:t xml:space="preserve">          91,399.62                 </w:t>
            </w:r>
          </w:p>
          <w:p w14:paraId="68D48009">
            <w:pPr>
              <w:spacing w:line="360" w:lineRule="auto"/>
              <w:ind w:firstLine="480" w:firstLineChars="200"/>
              <w:rPr>
                <w:rFonts w:hint="eastAsia" w:ascii="楷体" w:hAnsi="楷体" w:eastAsia="楷体" w:cs="楷体"/>
                <w:sz w:val="24"/>
                <w:szCs w:val="32"/>
                <w:u w:val="single"/>
                <w:lang w:val="en-US" w:eastAsia="zh-CN"/>
              </w:rPr>
            </w:pPr>
            <w:r>
              <w:rPr>
                <w:rFonts w:hint="eastAsia" w:ascii="楷体" w:hAnsi="楷体" w:eastAsia="楷体" w:cs="楷体"/>
                <w:sz w:val="24"/>
                <w:szCs w:val="32"/>
                <w:u w:val="none"/>
                <w:lang w:val="en-US" w:eastAsia="zh-CN"/>
              </w:rPr>
              <w:t>0.4KV新安装工程</w:t>
            </w:r>
            <w:r>
              <w:rPr>
                <w:rFonts w:hint="eastAsia" w:ascii="楷体" w:hAnsi="楷体" w:eastAsia="楷体" w:cs="楷体"/>
                <w:sz w:val="24"/>
                <w:szCs w:val="32"/>
                <w:u w:val="none"/>
              </w:rPr>
              <w:t>(元</w:t>
            </w:r>
            <w:r>
              <w:rPr>
                <w:rFonts w:hint="eastAsia" w:ascii="楷体" w:hAnsi="楷体" w:eastAsia="楷体" w:cs="楷体"/>
                <w:sz w:val="24"/>
                <w:szCs w:val="32"/>
              </w:rPr>
              <w:t xml:space="preserve">): </w:t>
            </w:r>
            <w:r>
              <w:rPr>
                <w:rFonts w:hint="eastAsia" w:ascii="楷体" w:hAnsi="楷体" w:eastAsia="楷体" w:cs="楷体"/>
                <w:sz w:val="24"/>
                <w:szCs w:val="32"/>
                <w:u w:val="single"/>
                <w:lang w:val="en-US" w:eastAsia="zh-CN"/>
              </w:rPr>
              <w:t xml:space="preserve">          7,877.95                          </w:t>
            </w:r>
          </w:p>
          <w:p w14:paraId="138A4495">
            <w:pPr>
              <w:spacing w:line="360" w:lineRule="auto"/>
              <w:rPr>
                <w:rFonts w:hint="default" w:ascii="楷体" w:hAnsi="楷体" w:eastAsia="楷体" w:cs="楷体"/>
                <w:sz w:val="24"/>
                <w:szCs w:val="32"/>
                <w:u w:val="single"/>
                <w:lang w:val="en-US" w:eastAsia="zh-CN"/>
              </w:rPr>
            </w:pPr>
            <w:r>
              <w:rPr>
                <w:rFonts w:hint="eastAsia" w:ascii="楷体" w:hAnsi="楷体" w:eastAsia="楷体" w:cs="楷体"/>
                <w:sz w:val="24"/>
                <w:szCs w:val="32"/>
              </w:rPr>
              <w:t>其他项目费 (元):</w:t>
            </w:r>
            <w:r>
              <w:rPr>
                <w:rFonts w:hint="eastAsia" w:ascii="楷体" w:hAnsi="楷体" w:eastAsia="楷体" w:cs="楷体"/>
                <w:sz w:val="24"/>
                <w:szCs w:val="32"/>
                <w:u w:val="single"/>
              </w:rPr>
              <w:t xml:space="preserve"> </w:t>
            </w:r>
            <w:r>
              <w:rPr>
                <w:rFonts w:hint="eastAsia" w:ascii="楷体" w:hAnsi="楷体" w:eastAsia="楷体" w:cs="楷体"/>
                <w:sz w:val="24"/>
                <w:szCs w:val="32"/>
                <w:u w:val="single"/>
                <w:lang w:val="en-US" w:eastAsia="zh-CN"/>
              </w:rPr>
              <w:t xml:space="preserve">                134,912.28                           </w:t>
            </w:r>
          </w:p>
          <w:p w14:paraId="3C7FD55F">
            <w:pPr>
              <w:spacing w:line="360" w:lineRule="auto"/>
              <w:rPr>
                <w:rFonts w:hint="eastAsia" w:ascii="楷体" w:hAnsi="楷体" w:eastAsia="楷体" w:cs="楷体"/>
                <w:sz w:val="24"/>
                <w:szCs w:val="32"/>
                <w:u w:val="single"/>
                <w:lang w:val="en-US" w:eastAsia="zh-CN"/>
              </w:rPr>
            </w:pPr>
            <w:r>
              <w:rPr>
                <w:rFonts w:hint="eastAsia" w:ascii="楷体" w:hAnsi="楷体" w:eastAsia="楷体" w:cs="楷体"/>
                <w:sz w:val="24"/>
                <w:szCs w:val="32"/>
              </w:rPr>
              <w:t xml:space="preserve">其中暂列金额(元): </w:t>
            </w:r>
            <w:r>
              <w:rPr>
                <w:rFonts w:hint="eastAsia" w:ascii="楷体" w:hAnsi="楷体" w:eastAsia="楷体" w:cs="楷体"/>
                <w:sz w:val="24"/>
                <w:szCs w:val="32"/>
                <w:u w:val="single"/>
                <w:lang w:val="en-US" w:eastAsia="zh-CN"/>
              </w:rPr>
              <w:t xml:space="preserve">              0.00                                 </w:t>
            </w:r>
          </w:p>
          <w:p w14:paraId="1A9A5FD9">
            <w:pPr>
              <w:spacing w:line="360" w:lineRule="auto"/>
              <w:rPr>
                <w:rFonts w:hint="eastAsia" w:ascii="楷体" w:hAnsi="楷体" w:eastAsia="楷体" w:cs="楷体"/>
                <w:sz w:val="24"/>
                <w:szCs w:val="32"/>
                <w:u w:val="single"/>
                <w:lang w:val="en-US" w:eastAsia="zh-CN"/>
              </w:rPr>
            </w:pPr>
            <w:r>
              <w:rPr>
                <w:rFonts w:hint="eastAsia" w:ascii="楷体" w:hAnsi="楷体" w:eastAsia="楷体" w:cs="楷体"/>
                <w:sz w:val="24"/>
                <w:szCs w:val="32"/>
              </w:rPr>
              <w:t>其中</w:t>
            </w:r>
            <w:r>
              <w:rPr>
                <w:rFonts w:hint="eastAsia" w:ascii="楷体" w:hAnsi="楷体" w:eastAsia="楷体" w:cs="楷体"/>
                <w:sz w:val="24"/>
                <w:szCs w:val="32"/>
                <w:lang w:eastAsia="zh-CN"/>
              </w:rPr>
              <w:t>专业工程暂估价</w:t>
            </w:r>
            <w:r>
              <w:rPr>
                <w:rFonts w:hint="eastAsia" w:ascii="楷体" w:hAnsi="楷体" w:eastAsia="楷体" w:cs="楷体"/>
                <w:sz w:val="24"/>
                <w:szCs w:val="32"/>
              </w:rPr>
              <w:t xml:space="preserve">(元): </w:t>
            </w:r>
            <w:r>
              <w:rPr>
                <w:rFonts w:hint="eastAsia" w:ascii="楷体" w:hAnsi="楷体" w:eastAsia="楷体" w:cs="楷体"/>
                <w:sz w:val="24"/>
                <w:szCs w:val="32"/>
                <w:u w:val="single"/>
                <w:lang w:val="en-US" w:eastAsia="zh-CN"/>
              </w:rPr>
              <w:t xml:space="preserve">             0.00                                 </w:t>
            </w:r>
          </w:p>
          <w:p w14:paraId="0CB076E5">
            <w:pPr>
              <w:spacing w:line="360" w:lineRule="auto"/>
              <w:rPr>
                <w:rFonts w:hint="default" w:ascii="楷体" w:hAnsi="楷体" w:eastAsia="楷体" w:cs="楷体"/>
                <w:sz w:val="24"/>
                <w:szCs w:val="32"/>
                <w:u w:val="single"/>
                <w:lang w:val="en-US" w:eastAsia="zh-CN"/>
              </w:rPr>
            </w:pPr>
            <w:r>
              <w:rPr>
                <w:rFonts w:hint="eastAsia" w:ascii="楷体" w:hAnsi="楷体" w:eastAsia="楷体" w:cs="楷体"/>
                <w:sz w:val="24"/>
                <w:szCs w:val="32"/>
              </w:rPr>
              <w:t>规费 (元):</w:t>
            </w:r>
            <w:r>
              <w:rPr>
                <w:rFonts w:hint="eastAsia" w:ascii="楷体" w:hAnsi="楷体" w:eastAsia="楷体" w:cs="楷体"/>
                <w:sz w:val="24"/>
                <w:szCs w:val="32"/>
                <w:u w:val="single"/>
                <w:lang w:val="en-US" w:eastAsia="zh-CN"/>
              </w:rPr>
              <w:t xml:space="preserve">              0.00                                             </w:t>
            </w:r>
          </w:p>
          <w:p w14:paraId="0A8CAADA">
            <w:pPr>
              <w:spacing w:line="360" w:lineRule="auto"/>
              <w:rPr>
                <w:rFonts w:hint="default" w:ascii="楷体" w:hAnsi="楷体" w:eastAsia="楷体" w:cs="楷体"/>
                <w:sz w:val="24"/>
                <w:szCs w:val="32"/>
                <w:u w:val="single"/>
                <w:lang w:val="en-US" w:eastAsia="zh-CN"/>
              </w:rPr>
            </w:pPr>
            <w:r>
              <w:rPr>
                <w:rFonts w:hint="eastAsia" w:ascii="楷体" w:hAnsi="楷体" w:eastAsia="楷体" w:cs="楷体"/>
                <w:sz w:val="24"/>
                <w:szCs w:val="32"/>
              </w:rPr>
              <w:t xml:space="preserve">税金(元): </w:t>
            </w:r>
            <w:r>
              <w:rPr>
                <w:rFonts w:hint="eastAsia" w:ascii="楷体" w:hAnsi="楷体" w:eastAsia="楷体" w:cs="楷体"/>
                <w:sz w:val="24"/>
                <w:szCs w:val="32"/>
                <w:u w:val="single"/>
                <w:lang w:val="en-US" w:eastAsia="zh-CN"/>
              </w:rPr>
              <w:t xml:space="preserve">            547,570.84                                     </w:t>
            </w:r>
          </w:p>
          <w:p w14:paraId="3778AF17">
            <w:pPr>
              <w:spacing w:line="360" w:lineRule="auto"/>
              <w:rPr>
                <w:rFonts w:hint="eastAsia" w:ascii="楷体" w:hAnsi="楷体" w:eastAsia="楷体" w:cs="楷体"/>
                <w:sz w:val="24"/>
                <w:szCs w:val="32"/>
              </w:rPr>
            </w:pPr>
          </w:p>
          <w:p w14:paraId="6166587F">
            <w:pPr>
              <w:spacing w:line="360" w:lineRule="auto"/>
              <w:ind w:firstLine="480" w:firstLineChars="200"/>
              <w:rPr>
                <w:rFonts w:hint="eastAsia" w:ascii="楷体" w:hAnsi="楷体" w:eastAsia="楷体" w:cs="楷体"/>
                <w:sz w:val="24"/>
                <w:szCs w:val="32"/>
              </w:rPr>
            </w:pPr>
            <w:r>
              <w:rPr>
                <w:rFonts w:hint="eastAsia" w:ascii="楷体" w:hAnsi="楷体" w:eastAsia="楷体" w:cs="楷体"/>
                <w:sz w:val="24"/>
                <w:szCs w:val="32"/>
              </w:rPr>
              <w:t>对公开招标工程，投标人须按照公布的</w:t>
            </w:r>
            <w:r>
              <w:rPr>
                <w:rFonts w:hint="eastAsia" w:ascii="楷体" w:hAnsi="楷体" w:eastAsia="楷体" w:cs="楷体"/>
                <w:sz w:val="24"/>
                <w:szCs w:val="32"/>
                <w:lang w:val="en-US" w:eastAsia="zh-CN"/>
              </w:rPr>
              <w:t>绿色施工安全防</w:t>
            </w:r>
            <w:r>
              <w:rPr>
                <w:rFonts w:hint="eastAsia" w:ascii="楷体" w:hAnsi="楷体" w:eastAsia="楷体" w:cs="楷体"/>
                <w:sz w:val="24"/>
                <w:szCs w:val="32"/>
              </w:rPr>
              <w:t>护措施费、暂列金额</w:t>
            </w:r>
            <w:r>
              <w:rPr>
                <w:rFonts w:hint="eastAsia" w:ascii="楷体" w:hAnsi="楷体" w:eastAsia="楷体" w:cs="楷体"/>
                <w:sz w:val="24"/>
                <w:szCs w:val="32"/>
                <w:lang w:eastAsia="zh-CN"/>
              </w:rPr>
              <w:t>、专业工程暂估价</w:t>
            </w:r>
            <w:r>
              <w:rPr>
                <w:rFonts w:hint="eastAsia" w:ascii="楷体" w:hAnsi="楷体" w:eastAsia="楷体" w:cs="楷体"/>
                <w:sz w:val="24"/>
                <w:szCs w:val="32"/>
              </w:rPr>
              <w:t>报价。</w:t>
            </w:r>
          </w:p>
          <w:p w14:paraId="2A695C5B">
            <w:pPr>
              <w:spacing w:line="360" w:lineRule="auto"/>
              <w:ind w:firstLine="480" w:firstLineChars="200"/>
              <w:jc w:val="right"/>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招标单位：（盖章）</w:t>
            </w:r>
          </w:p>
          <w:p w14:paraId="14759E0B">
            <w:pPr>
              <w:spacing w:line="360" w:lineRule="auto"/>
              <w:ind w:firstLine="480" w:firstLineChars="200"/>
              <w:jc w:val="right"/>
              <w:rPr>
                <w:rFonts w:hint="default" w:ascii="楷体" w:hAnsi="楷体" w:eastAsia="楷体" w:cs="楷体"/>
                <w:sz w:val="24"/>
                <w:szCs w:val="32"/>
                <w:lang w:val="en-US" w:eastAsia="zh-CN"/>
              </w:rPr>
            </w:pPr>
            <w:r>
              <w:rPr>
                <w:rFonts w:hint="eastAsia" w:ascii="楷体" w:hAnsi="楷体" w:eastAsia="楷体" w:cs="楷体"/>
                <w:sz w:val="24"/>
                <w:szCs w:val="32"/>
                <w:lang w:val="en-US" w:eastAsia="zh-CN"/>
              </w:rPr>
              <w:t>年  月  日</w:t>
            </w:r>
          </w:p>
          <w:p w14:paraId="3E51A784">
            <w:pPr>
              <w:widowControl/>
              <w:spacing w:before="75" w:after="75" w:line="360" w:lineRule="auto"/>
              <w:ind w:firstLine="13762" w:firstLineChars="2450"/>
              <w:jc w:val="left"/>
              <w:rPr>
                <w:rFonts w:ascii="宋体" w:hAnsi="宋体"/>
                <w:b/>
                <w:color w:val="auto"/>
                <w:spacing w:val="60"/>
                <w:sz w:val="44"/>
                <w:szCs w:val="44"/>
                <w:highlight w:val="none"/>
              </w:rPr>
            </w:pPr>
          </w:p>
        </w:tc>
      </w:tr>
    </w:tbl>
    <w:p w14:paraId="3C17D1DF">
      <w:pPr>
        <w:spacing w:line="360" w:lineRule="auto"/>
        <w:ind w:firstLine="0" w:firstLineChars="0"/>
        <w:rPr>
          <w:rFonts w:ascii="宋体" w:hAnsi="宋体"/>
          <w:color w:val="auto"/>
          <w:sz w:val="24"/>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E2CA27F-EE5A-4E80-93D5-CE90435895A1}"/>
  </w:font>
  <w:font w:name="黑体">
    <w:panose1 w:val="02010609060101010101"/>
    <w:charset w:val="86"/>
    <w:family w:val="auto"/>
    <w:pitch w:val="default"/>
    <w:sig w:usb0="800002BF" w:usb1="38CF7CFA" w:usb2="00000016" w:usb3="00000000" w:csb0="00040001" w:csb1="00000000"/>
    <w:embedRegular r:id="rId2" w:fontKey="{7CF86737-64A3-4297-972F-F0F50403B7F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00FF998-217B-41FA-8394-A6852488C204}"/>
  </w:font>
  <w:font w:name="楷体_GB2312">
    <w:panose1 w:val="02010609030101010101"/>
    <w:charset w:val="86"/>
    <w:family w:val="modern"/>
    <w:pitch w:val="default"/>
    <w:sig w:usb0="00000001" w:usb1="080E0000" w:usb2="00000000" w:usb3="00000000" w:csb0="00040000" w:csb1="00000000"/>
    <w:embedRegular r:id="rId4" w:fontKey="{F056E7AB-85CB-447F-A13F-18E63DF0778F}"/>
  </w:font>
  <w:font w:name="仿宋_GB2312">
    <w:panose1 w:val="02010609030101010101"/>
    <w:charset w:val="86"/>
    <w:family w:val="modern"/>
    <w:pitch w:val="default"/>
    <w:sig w:usb0="00000001" w:usb1="080E0000" w:usb2="00000000" w:usb3="00000000" w:csb0="00040000" w:csb1="00000000"/>
    <w:embedRegular r:id="rId5" w:fontKey="{BB703AA0-C43B-4AB4-A0A2-A86E7B8AD105}"/>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swiss"/>
    <w:pitch w:val="default"/>
    <w:sig w:usb0="00000000" w:usb1="00000000" w:usb2="0000003F" w:usb3="00000000" w:csb0="603F01FF" w:csb1="FFFF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6" w:fontKey="{496E9F2E-74F8-43AA-851E-B6EB63CEF96C}"/>
  </w:font>
  <w:font w:name="MS Gothic">
    <w:panose1 w:val="020B0609070205080204"/>
    <w:charset w:val="80"/>
    <w:family w:val="modern"/>
    <w:pitch w:val="default"/>
    <w:sig w:usb0="E00002FF" w:usb1="6AC7FDFB" w:usb2="08000012" w:usb3="00000000" w:csb0="4002009F" w:csb1="DFD70000"/>
    <w:embedRegular r:id="rId7" w:fontKey="{23FF6D44-8D27-4D9A-AE86-7295936B333F}"/>
  </w:font>
  <w:font w:name="华文宋体">
    <w:panose1 w:val="02010600040101010101"/>
    <w:charset w:val="86"/>
    <w:family w:val="auto"/>
    <w:pitch w:val="default"/>
    <w:sig w:usb0="00000287" w:usb1="080F0000" w:usb2="00000000" w:usb3="00000000" w:csb0="0004009F" w:csb1="DFD70000"/>
    <w:embedRegular r:id="rId8" w:fontKey="{2A87AD72-3B7D-47D8-92F3-76FA477F9E28}"/>
  </w:font>
  <w:font w:name="华文中宋">
    <w:panose1 w:val="02010600040101010101"/>
    <w:charset w:val="86"/>
    <w:family w:val="auto"/>
    <w:pitch w:val="default"/>
    <w:sig w:usb0="00000287" w:usb1="080F0000" w:usb2="00000000" w:usb3="00000000" w:csb0="0004009F" w:csb1="DFD70000"/>
    <w:embedRegular r:id="rId9" w:fontKey="{DDBEFBEC-95A0-4C05-9E9B-7594F95BA31A}"/>
  </w:font>
  <w:font w:name="楷体">
    <w:panose1 w:val="02010609060101010101"/>
    <w:charset w:val="86"/>
    <w:family w:val="auto"/>
    <w:pitch w:val="default"/>
    <w:sig w:usb0="800002BF" w:usb1="38CF7CFA" w:usb2="00000016" w:usb3="00000000" w:csb0="00040001" w:csb1="00000000"/>
    <w:embedRegular r:id="rId10" w:fontKey="{3574FC45-D76E-461F-BCBD-B2616B19B6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827CF">
    <w:pPr>
      <w:pStyle w:val="26"/>
      <w:jc w:val="center"/>
    </w:pPr>
    <w:r>
      <w:fldChar w:fldCharType="begin"/>
    </w:r>
    <w:r>
      <w:instrText xml:space="preserve">PAGE   \* MERGEFORMAT</w:instrText>
    </w:r>
    <w:r>
      <w:fldChar w:fldCharType="separate"/>
    </w:r>
    <w:r>
      <w:rPr>
        <w:lang w:val="zh-CN"/>
      </w:rPr>
      <w:t>160</w:t>
    </w:r>
    <w:r>
      <w:rPr>
        <w:lang w:val="zh-CN"/>
      </w:rPr>
      <w:fldChar w:fldCharType="end"/>
    </w:r>
  </w:p>
  <w:p w14:paraId="0B78B6D7">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lvl>
  </w:abstractNum>
  <w:abstractNum w:abstractNumId="1">
    <w:nsid w:val="0000000B"/>
    <w:multiLevelType w:val="multilevel"/>
    <w:tmpl w:val="0000000B"/>
    <w:lvl w:ilvl="0" w:tentative="0">
      <w:start w:val="1"/>
      <w:numFmt w:val="decimal"/>
      <w:lvlText w:val="(%1)"/>
      <w:lvlJc w:val="left"/>
      <w:pPr>
        <w:tabs>
          <w:tab w:val="left" w:pos="1260"/>
        </w:tabs>
        <w:ind w:left="1260" w:hanging="420"/>
      </w:pPr>
      <w:rPr>
        <w:rFonts w:hint="eastAsia"/>
      </w:r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C"/>
    <w:multiLevelType w:val="singleLevel"/>
    <w:tmpl w:val="0000000C"/>
    <w:lvl w:ilvl="0" w:tentative="0">
      <w:start w:val="5"/>
      <w:numFmt w:val="decimal"/>
      <w:suff w:val="space"/>
      <w:lvlText w:val="(%1)"/>
      <w:lvlJc w:val="left"/>
    </w:lvl>
  </w:abstractNum>
  <w:abstractNum w:abstractNumId="3">
    <w:nsid w:val="0000000D"/>
    <w:multiLevelType w:val="singleLevel"/>
    <w:tmpl w:val="0000000D"/>
    <w:lvl w:ilvl="0" w:tentative="0">
      <w:start w:val="1"/>
      <w:numFmt w:val="chineseCounting"/>
      <w:suff w:val="nothing"/>
      <w:lvlText w:val="（%1）"/>
      <w:lvlJc w:val="left"/>
    </w:lvl>
  </w:abstractNum>
  <w:abstractNum w:abstractNumId="4">
    <w:nsid w:val="0000000E"/>
    <w:multiLevelType w:val="multilevel"/>
    <w:tmpl w:val="0000000E"/>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5">
    <w:nsid w:val="0000000F"/>
    <w:multiLevelType w:val="multilevel"/>
    <w:tmpl w:val="0000000F"/>
    <w:lvl w:ilvl="0" w:tentative="0">
      <w:start w:val="1"/>
      <w:numFmt w:val="decimal"/>
      <w:lvlText w:val="%1"/>
      <w:lvlJc w:val="left"/>
      <w:pPr>
        <w:tabs>
          <w:tab w:val="left" w:pos="1029"/>
        </w:tabs>
        <w:ind w:left="1029" w:hanging="450"/>
      </w:pPr>
      <w:rPr>
        <w:rFonts w:hint="eastAsia"/>
      </w:rPr>
    </w:lvl>
    <w:lvl w:ilvl="1" w:tentative="0">
      <w:start w:val="1"/>
      <w:numFmt w:val="decimal"/>
      <w:lvlText w:val="（%2）"/>
      <w:lvlJc w:val="left"/>
      <w:pPr>
        <w:tabs>
          <w:tab w:val="left" w:pos="2079"/>
        </w:tabs>
        <w:ind w:left="2079" w:hanging="1080"/>
      </w:pPr>
      <w:rPr>
        <w:rFonts w:hint="eastAsia"/>
      </w:rPr>
    </w:lvl>
    <w:lvl w:ilvl="2" w:tentative="0">
      <w:start w:val="1"/>
      <w:numFmt w:val="lowerRoman"/>
      <w:lvlText w:val="%3."/>
      <w:lvlJc w:val="right"/>
      <w:pPr>
        <w:tabs>
          <w:tab w:val="left" w:pos="1839"/>
        </w:tabs>
        <w:ind w:left="1839" w:hanging="420"/>
      </w:pPr>
    </w:lvl>
    <w:lvl w:ilvl="3" w:tentative="0">
      <w:start w:val="1"/>
      <w:numFmt w:val="decimal"/>
      <w:lvlText w:val="%4."/>
      <w:lvlJc w:val="left"/>
      <w:pPr>
        <w:tabs>
          <w:tab w:val="left" w:pos="2259"/>
        </w:tabs>
        <w:ind w:left="2259" w:hanging="420"/>
      </w:pPr>
    </w:lvl>
    <w:lvl w:ilvl="4" w:tentative="0">
      <w:start w:val="1"/>
      <w:numFmt w:val="lowerLetter"/>
      <w:lvlText w:val="%5)"/>
      <w:lvlJc w:val="left"/>
      <w:pPr>
        <w:tabs>
          <w:tab w:val="left" w:pos="2679"/>
        </w:tabs>
        <w:ind w:left="2679" w:hanging="420"/>
      </w:pPr>
    </w:lvl>
    <w:lvl w:ilvl="5" w:tentative="0">
      <w:start w:val="1"/>
      <w:numFmt w:val="lowerRoman"/>
      <w:lvlText w:val="%6."/>
      <w:lvlJc w:val="right"/>
      <w:pPr>
        <w:tabs>
          <w:tab w:val="left" w:pos="3099"/>
        </w:tabs>
        <w:ind w:left="3099" w:hanging="420"/>
      </w:pPr>
    </w:lvl>
    <w:lvl w:ilvl="6" w:tentative="0">
      <w:start w:val="1"/>
      <w:numFmt w:val="decimal"/>
      <w:lvlText w:val="%7."/>
      <w:lvlJc w:val="left"/>
      <w:pPr>
        <w:tabs>
          <w:tab w:val="left" w:pos="3519"/>
        </w:tabs>
        <w:ind w:left="3519" w:hanging="420"/>
      </w:pPr>
    </w:lvl>
    <w:lvl w:ilvl="7" w:tentative="0">
      <w:start w:val="1"/>
      <w:numFmt w:val="lowerLetter"/>
      <w:lvlText w:val="%8)"/>
      <w:lvlJc w:val="left"/>
      <w:pPr>
        <w:tabs>
          <w:tab w:val="left" w:pos="3939"/>
        </w:tabs>
        <w:ind w:left="3939" w:hanging="420"/>
      </w:pPr>
    </w:lvl>
    <w:lvl w:ilvl="8" w:tentative="0">
      <w:start w:val="1"/>
      <w:numFmt w:val="lowerRoman"/>
      <w:lvlText w:val="%9."/>
      <w:lvlJc w:val="right"/>
      <w:pPr>
        <w:tabs>
          <w:tab w:val="left" w:pos="4359"/>
        </w:tabs>
        <w:ind w:left="4359" w:hanging="420"/>
      </w:pPr>
    </w:lvl>
  </w:abstractNum>
  <w:abstractNum w:abstractNumId="6">
    <w:nsid w:val="04585C45"/>
    <w:multiLevelType w:val="multilevel"/>
    <w:tmpl w:val="04585C45"/>
    <w:lvl w:ilvl="0" w:tentative="0">
      <w:start w:val="1"/>
      <w:numFmt w:val="decimal"/>
      <w:pStyle w:val="6"/>
      <w:lvlText w:val="1.1.%1"/>
      <w:lvlJc w:val="left"/>
      <w:pPr>
        <w:ind w:left="420" w:hanging="420"/>
      </w:pPr>
      <w:rPr>
        <w:rFonts w:hint="eastAsia"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98C4EF6"/>
    <w:multiLevelType w:val="multilevel"/>
    <w:tmpl w:val="198C4EF6"/>
    <w:lvl w:ilvl="0" w:tentative="0">
      <w:start w:val="1"/>
      <w:numFmt w:val="decimal"/>
      <w:lvlText w:val="5.%1"/>
      <w:lvlJc w:val="left"/>
      <w:pPr>
        <w:ind w:left="846" w:hanging="420"/>
      </w:pPr>
      <w:rPr>
        <w:rFonts w:hint="eastAsia"/>
      </w:rPr>
    </w:lvl>
    <w:lvl w:ilvl="1" w:tentative="0">
      <w:start w:val="1"/>
      <w:numFmt w:val="lowerLetter"/>
      <w:lvlText w:val="%2)"/>
      <w:lvlJc w:val="left"/>
      <w:pPr>
        <w:ind w:left="726" w:hanging="420"/>
      </w:pPr>
    </w:lvl>
    <w:lvl w:ilvl="2" w:tentative="0">
      <w:start w:val="1"/>
      <w:numFmt w:val="lowerRoman"/>
      <w:lvlText w:val="%3."/>
      <w:lvlJc w:val="right"/>
      <w:pPr>
        <w:ind w:left="1146" w:hanging="420"/>
      </w:pPr>
    </w:lvl>
    <w:lvl w:ilvl="3" w:tentative="0">
      <w:start w:val="1"/>
      <w:numFmt w:val="decimal"/>
      <w:lvlText w:val="%4."/>
      <w:lvlJc w:val="left"/>
      <w:pPr>
        <w:ind w:left="1566" w:hanging="420"/>
      </w:pPr>
    </w:lvl>
    <w:lvl w:ilvl="4" w:tentative="0">
      <w:start w:val="1"/>
      <w:numFmt w:val="lowerLetter"/>
      <w:lvlText w:val="%5)"/>
      <w:lvlJc w:val="left"/>
      <w:pPr>
        <w:ind w:left="1986" w:hanging="420"/>
      </w:pPr>
    </w:lvl>
    <w:lvl w:ilvl="5" w:tentative="0">
      <w:start w:val="1"/>
      <w:numFmt w:val="lowerRoman"/>
      <w:lvlText w:val="%6."/>
      <w:lvlJc w:val="right"/>
      <w:pPr>
        <w:ind w:left="2406" w:hanging="420"/>
      </w:pPr>
    </w:lvl>
    <w:lvl w:ilvl="6" w:tentative="0">
      <w:start w:val="1"/>
      <w:numFmt w:val="decimal"/>
      <w:lvlText w:val="%7."/>
      <w:lvlJc w:val="left"/>
      <w:pPr>
        <w:ind w:left="2826" w:hanging="420"/>
      </w:pPr>
    </w:lvl>
    <w:lvl w:ilvl="7" w:tentative="0">
      <w:start w:val="1"/>
      <w:numFmt w:val="lowerLetter"/>
      <w:lvlText w:val="%8)"/>
      <w:lvlJc w:val="left"/>
      <w:pPr>
        <w:ind w:left="3246" w:hanging="420"/>
      </w:pPr>
    </w:lvl>
    <w:lvl w:ilvl="8" w:tentative="0">
      <w:start w:val="1"/>
      <w:numFmt w:val="lowerRoman"/>
      <w:lvlText w:val="%9."/>
      <w:lvlJc w:val="right"/>
      <w:pPr>
        <w:ind w:left="3666" w:hanging="420"/>
      </w:pPr>
    </w:lvl>
  </w:abstractNum>
  <w:abstractNum w:abstractNumId="8">
    <w:nsid w:val="1A1E91FD"/>
    <w:multiLevelType w:val="singleLevel"/>
    <w:tmpl w:val="1A1E91FD"/>
    <w:lvl w:ilvl="0" w:tentative="0">
      <w:start w:val="9"/>
      <w:numFmt w:val="chineseCounting"/>
      <w:suff w:val="nothing"/>
      <w:lvlText w:val="%1、"/>
      <w:lvlJc w:val="left"/>
      <w:rPr>
        <w:rFonts w:hint="eastAsia"/>
      </w:rPr>
    </w:lvl>
  </w:abstractNum>
  <w:abstractNum w:abstractNumId="9">
    <w:nsid w:val="21F02FD1"/>
    <w:multiLevelType w:val="multilevel"/>
    <w:tmpl w:val="21F02FD1"/>
    <w:lvl w:ilvl="0" w:tentative="0">
      <w:start w:val="1"/>
      <w:numFmt w:val="decimal"/>
      <w:lvlText w:val="2.%1"/>
      <w:lvlJc w:val="left"/>
      <w:pPr>
        <w:ind w:left="900" w:hanging="420"/>
      </w:pPr>
      <w:rPr>
        <w:rFonts w:hint="eastAsia"/>
      </w:rPr>
    </w:lvl>
    <w:lvl w:ilvl="1" w:tentative="0">
      <w:start w:val="1"/>
      <w:numFmt w:val="decimal"/>
      <w:lvlText w:val="2.%2"/>
      <w:lvlJc w:val="left"/>
      <w:pPr>
        <w:ind w:left="132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2566F53"/>
    <w:multiLevelType w:val="multilevel"/>
    <w:tmpl w:val="22566F53"/>
    <w:lvl w:ilvl="0" w:tentative="0">
      <w:start w:val="1"/>
      <w:numFmt w:val="decimal"/>
      <w:lvlText w:val="1.1.%1"/>
      <w:lvlJc w:val="left"/>
      <w:pPr>
        <w:ind w:left="420" w:hanging="420"/>
      </w:pPr>
      <w:rPr>
        <w:rFonts w:hint="eastAsia"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50B600E"/>
    <w:multiLevelType w:val="multilevel"/>
    <w:tmpl w:val="250B600E"/>
    <w:lvl w:ilvl="0" w:tentative="0">
      <w:start w:val="1"/>
      <w:numFmt w:val="decimal"/>
      <w:lvlText w:val="3.%1"/>
      <w:lvlJc w:val="left"/>
      <w:pPr>
        <w:ind w:left="9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95448C5"/>
    <w:multiLevelType w:val="multilevel"/>
    <w:tmpl w:val="295448C5"/>
    <w:lvl w:ilvl="0" w:tentative="0">
      <w:start w:val="1"/>
      <w:numFmt w:val="decimal"/>
      <w:lvlText w:val="6.%1"/>
      <w:lvlJc w:val="left"/>
      <w:pPr>
        <w:ind w:left="900" w:hanging="420"/>
      </w:pPr>
      <w:rPr>
        <w:rFonts w:hint="eastAsia"/>
      </w:rPr>
    </w:lvl>
    <w:lvl w:ilvl="1" w:tentative="0">
      <w:start w:val="1"/>
      <w:numFmt w:val="decimal"/>
      <w:lvlText w:val="6.%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7934594"/>
    <w:multiLevelType w:val="multilevel"/>
    <w:tmpl w:val="37934594"/>
    <w:lvl w:ilvl="0" w:tentative="0">
      <w:start w:val="1"/>
      <w:numFmt w:val="bullet"/>
      <w:pStyle w:val="108"/>
      <w:lvlText w:val=""/>
      <w:lvlJc w:val="left"/>
      <w:pPr>
        <w:tabs>
          <w:tab w:val="left" w:pos="1500"/>
        </w:tabs>
        <w:ind w:left="1500" w:hanging="420"/>
      </w:pPr>
      <w:rPr>
        <w:rFonts w:hint="default" w:ascii="Wingdings" w:hAnsi="Wingdings"/>
      </w:rPr>
    </w:lvl>
    <w:lvl w:ilvl="1" w:tentative="0">
      <w:start w:val="1"/>
      <w:numFmt w:val="bullet"/>
      <w:lvlText w:val=""/>
      <w:lvlJc w:val="left"/>
      <w:pPr>
        <w:tabs>
          <w:tab w:val="left" w:pos="480"/>
        </w:tabs>
        <w:ind w:left="480" w:hanging="420"/>
      </w:pPr>
      <w:rPr>
        <w:rFonts w:hint="default" w:ascii="Wingdings" w:hAnsi="Wingdings"/>
      </w:rPr>
    </w:lvl>
    <w:lvl w:ilvl="2" w:tentative="0">
      <w:start w:val="1"/>
      <w:numFmt w:val="bullet"/>
      <w:lvlText w:val=""/>
      <w:lvlJc w:val="left"/>
      <w:pPr>
        <w:tabs>
          <w:tab w:val="left" w:pos="900"/>
        </w:tabs>
        <w:ind w:left="900" w:hanging="420"/>
      </w:pPr>
      <w:rPr>
        <w:rFonts w:hint="default" w:ascii="Wingdings" w:hAnsi="Wingdings"/>
      </w:rPr>
    </w:lvl>
    <w:lvl w:ilvl="3" w:tentative="0">
      <w:start w:val="1"/>
      <w:numFmt w:val="bullet"/>
      <w:lvlText w:val=""/>
      <w:lvlJc w:val="left"/>
      <w:pPr>
        <w:tabs>
          <w:tab w:val="left" w:pos="1320"/>
        </w:tabs>
        <w:ind w:left="1320" w:hanging="420"/>
      </w:pPr>
      <w:rPr>
        <w:rFonts w:hint="default" w:ascii="Wingdings" w:hAnsi="Wingdings"/>
      </w:rPr>
    </w:lvl>
    <w:lvl w:ilvl="4" w:tentative="0">
      <w:start w:val="1"/>
      <w:numFmt w:val="bullet"/>
      <w:lvlText w:val=""/>
      <w:lvlJc w:val="left"/>
      <w:pPr>
        <w:tabs>
          <w:tab w:val="left" w:pos="1740"/>
        </w:tabs>
        <w:ind w:left="1740" w:hanging="420"/>
      </w:pPr>
      <w:rPr>
        <w:rFonts w:hint="default" w:ascii="Wingdings" w:hAnsi="Wingdings"/>
      </w:rPr>
    </w:lvl>
    <w:lvl w:ilvl="5" w:tentative="0">
      <w:start w:val="1"/>
      <w:numFmt w:val="bullet"/>
      <w:lvlText w:val=""/>
      <w:lvlJc w:val="left"/>
      <w:pPr>
        <w:tabs>
          <w:tab w:val="left" w:pos="2160"/>
        </w:tabs>
        <w:ind w:left="2160" w:hanging="420"/>
      </w:pPr>
      <w:rPr>
        <w:rFonts w:hint="default" w:ascii="Wingdings" w:hAnsi="Wingdings"/>
      </w:rPr>
    </w:lvl>
    <w:lvl w:ilvl="6" w:tentative="0">
      <w:start w:val="1"/>
      <w:numFmt w:val="bullet"/>
      <w:lvlText w:val=""/>
      <w:lvlJc w:val="left"/>
      <w:pPr>
        <w:tabs>
          <w:tab w:val="left" w:pos="2580"/>
        </w:tabs>
        <w:ind w:left="2580" w:hanging="420"/>
      </w:pPr>
      <w:rPr>
        <w:rFonts w:hint="default" w:ascii="Wingdings" w:hAnsi="Wingdings"/>
      </w:rPr>
    </w:lvl>
    <w:lvl w:ilvl="7" w:tentative="0">
      <w:start w:val="1"/>
      <w:numFmt w:val="bullet"/>
      <w:lvlText w:val=""/>
      <w:lvlJc w:val="left"/>
      <w:pPr>
        <w:tabs>
          <w:tab w:val="left" w:pos="3000"/>
        </w:tabs>
        <w:ind w:left="3000" w:hanging="420"/>
      </w:pPr>
      <w:rPr>
        <w:rFonts w:hint="default" w:ascii="Wingdings" w:hAnsi="Wingdings"/>
      </w:rPr>
    </w:lvl>
    <w:lvl w:ilvl="8" w:tentative="0">
      <w:start w:val="1"/>
      <w:numFmt w:val="bullet"/>
      <w:lvlText w:val=""/>
      <w:lvlJc w:val="left"/>
      <w:pPr>
        <w:tabs>
          <w:tab w:val="left" w:pos="3420"/>
        </w:tabs>
        <w:ind w:left="3420" w:hanging="420"/>
      </w:pPr>
      <w:rPr>
        <w:rFonts w:hint="default" w:ascii="Wingdings" w:hAnsi="Wingdings"/>
      </w:rPr>
    </w:lvl>
  </w:abstractNum>
  <w:abstractNum w:abstractNumId="14">
    <w:nsid w:val="3FB01419"/>
    <w:multiLevelType w:val="multilevel"/>
    <w:tmpl w:val="3FB01419"/>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7D578B5"/>
    <w:multiLevelType w:val="multilevel"/>
    <w:tmpl w:val="47D578B5"/>
    <w:lvl w:ilvl="0" w:tentative="0">
      <w:start w:val="1"/>
      <w:numFmt w:val="lowerLetter"/>
      <w:lvlText w:val="%1)"/>
      <w:lvlJc w:val="left"/>
      <w:pPr>
        <w:ind w:left="840" w:hanging="420"/>
      </w:pPr>
      <w:rPr>
        <w:rFonts w:hint="eastAsia"/>
      </w:rPr>
    </w:lvl>
    <w:lvl w:ilvl="1" w:tentative="0">
      <w:start w:val="1"/>
      <w:numFmt w:val="decimal"/>
      <w:lvlText w:val="5.%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A0B24CB"/>
    <w:multiLevelType w:val="multilevel"/>
    <w:tmpl w:val="5A0B24CB"/>
    <w:lvl w:ilvl="0" w:tentative="0">
      <w:start w:val="1"/>
      <w:numFmt w:val="decimal"/>
      <w:pStyle w:val="5"/>
      <w:lvlText w:val="1.%1"/>
      <w:lvlJc w:val="left"/>
      <w:pPr>
        <w:ind w:left="0" w:firstLine="0"/>
      </w:pPr>
      <w:rPr>
        <w:rFonts w:hint="eastAsia"/>
      </w:rPr>
    </w:lvl>
    <w:lvl w:ilvl="1" w:tentative="0">
      <w:start w:val="1"/>
      <w:numFmt w:val="lowerLetter"/>
      <w:lvlText w:val="%2)"/>
      <w:lvlJc w:val="left"/>
      <w:pPr>
        <w:ind w:left="1660" w:hanging="420"/>
      </w:pPr>
    </w:lvl>
    <w:lvl w:ilvl="2" w:tentative="0">
      <w:start w:val="1"/>
      <w:numFmt w:val="lowerRoman"/>
      <w:lvlText w:val="%3."/>
      <w:lvlJc w:val="right"/>
      <w:pPr>
        <w:ind w:left="2080" w:hanging="420"/>
      </w:pPr>
    </w:lvl>
    <w:lvl w:ilvl="3" w:tentative="0">
      <w:start w:val="1"/>
      <w:numFmt w:val="decimal"/>
      <w:lvlText w:val="%4."/>
      <w:lvlJc w:val="left"/>
      <w:pPr>
        <w:ind w:left="2500" w:hanging="420"/>
      </w:pPr>
    </w:lvl>
    <w:lvl w:ilvl="4" w:tentative="0">
      <w:start w:val="1"/>
      <w:numFmt w:val="lowerLetter"/>
      <w:lvlText w:val="%5)"/>
      <w:lvlJc w:val="left"/>
      <w:pPr>
        <w:ind w:left="2920" w:hanging="420"/>
      </w:pPr>
    </w:lvl>
    <w:lvl w:ilvl="5" w:tentative="0">
      <w:start w:val="1"/>
      <w:numFmt w:val="lowerRoman"/>
      <w:lvlText w:val="%6."/>
      <w:lvlJc w:val="right"/>
      <w:pPr>
        <w:ind w:left="3340" w:hanging="420"/>
      </w:pPr>
    </w:lvl>
    <w:lvl w:ilvl="6" w:tentative="0">
      <w:start w:val="1"/>
      <w:numFmt w:val="decimal"/>
      <w:lvlText w:val="%7."/>
      <w:lvlJc w:val="left"/>
      <w:pPr>
        <w:ind w:left="3760" w:hanging="420"/>
      </w:pPr>
    </w:lvl>
    <w:lvl w:ilvl="7" w:tentative="0">
      <w:start w:val="1"/>
      <w:numFmt w:val="lowerLetter"/>
      <w:lvlText w:val="%8)"/>
      <w:lvlJc w:val="left"/>
      <w:pPr>
        <w:ind w:left="4180" w:hanging="420"/>
      </w:pPr>
    </w:lvl>
    <w:lvl w:ilvl="8" w:tentative="0">
      <w:start w:val="1"/>
      <w:numFmt w:val="lowerRoman"/>
      <w:lvlText w:val="%9."/>
      <w:lvlJc w:val="right"/>
      <w:pPr>
        <w:ind w:left="4600" w:hanging="420"/>
      </w:pPr>
    </w:lvl>
  </w:abstractNum>
  <w:abstractNum w:abstractNumId="17">
    <w:nsid w:val="5EA36FE3"/>
    <w:multiLevelType w:val="multilevel"/>
    <w:tmpl w:val="5EA36FE3"/>
    <w:lvl w:ilvl="0" w:tentative="0">
      <w:start w:val="1"/>
      <w:numFmt w:val="decimal"/>
      <w:lvlText w:val="3.%1"/>
      <w:lvlJc w:val="left"/>
      <w:pPr>
        <w:ind w:left="562" w:hanging="420"/>
      </w:pPr>
      <w:rPr>
        <w:rFonts w:hint="eastAsia"/>
      </w:rPr>
    </w:lvl>
    <w:lvl w:ilvl="1" w:tentative="0">
      <w:start w:val="1"/>
      <w:numFmt w:val="lowerLetter"/>
      <w:lvlText w:val="%2)"/>
      <w:lvlJc w:val="left"/>
      <w:pPr>
        <w:ind w:left="1380" w:hanging="420"/>
      </w:pPr>
    </w:lvl>
    <w:lvl w:ilvl="2" w:tentative="0">
      <w:start w:val="1"/>
      <w:numFmt w:val="lowerRoman"/>
      <w:lvlText w:val="%3."/>
      <w:lvlJc w:val="right"/>
      <w:pPr>
        <w:ind w:left="1800" w:hanging="420"/>
      </w:pPr>
    </w:lvl>
    <w:lvl w:ilvl="3" w:tentative="0">
      <w:start w:val="1"/>
      <w:numFmt w:val="decimal"/>
      <w:lvlText w:val="%4."/>
      <w:lvlJc w:val="left"/>
      <w:pPr>
        <w:ind w:left="2220" w:hanging="420"/>
      </w:pPr>
    </w:lvl>
    <w:lvl w:ilvl="4" w:tentative="0">
      <w:start w:val="1"/>
      <w:numFmt w:val="lowerLetter"/>
      <w:lvlText w:val="%5)"/>
      <w:lvlJc w:val="left"/>
      <w:pPr>
        <w:ind w:left="2640" w:hanging="420"/>
      </w:pPr>
    </w:lvl>
    <w:lvl w:ilvl="5" w:tentative="0">
      <w:start w:val="1"/>
      <w:numFmt w:val="lowerRoman"/>
      <w:lvlText w:val="%6."/>
      <w:lvlJc w:val="right"/>
      <w:pPr>
        <w:ind w:left="3060" w:hanging="420"/>
      </w:pPr>
    </w:lvl>
    <w:lvl w:ilvl="6" w:tentative="0">
      <w:start w:val="1"/>
      <w:numFmt w:val="decimal"/>
      <w:lvlText w:val="%7."/>
      <w:lvlJc w:val="left"/>
      <w:pPr>
        <w:ind w:left="3480" w:hanging="420"/>
      </w:pPr>
    </w:lvl>
    <w:lvl w:ilvl="7" w:tentative="0">
      <w:start w:val="1"/>
      <w:numFmt w:val="lowerLetter"/>
      <w:lvlText w:val="%8)"/>
      <w:lvlJc w:val="left"/>
      <w:pPr>
        <w:ind w:left="3900" w:hanging="420"/>
      </w:pPr>
    </w:lvl>
    <w:lvl w:ilvl="8" w:tentative="0">
      <w:start w:val="1"/>
      <w:numFmt w:val="lowerRoman"/>
      <w:lvlText w:val="%9."/>
      <w:lvlJc w:val="right"/>
      <w:pPr>
        <w:ind w:left="4320" w:hanging="420"/>
      </w:pPr>
    </w:lvl>
  </w:abstractNum>
  <w:abstractNum w:abstractNumId="18">
    <w:nsid w:val="61222004"/>
    <w:multiLevelType w:val="multilevel"/>
    <w:tmpl w:val="61222004"/>
    <w:lvl w:ilvl="0" w:tentative="0">
      <w:start w:val="1"/>
      <w:numFmt w:val="decimal"/>
      <w:lvlText w:val="8.%1"/>
      <w:lvlJc w:val="left"/>
      <w:pPr>
        <w:ind w:left="1320" w:hanging="420"/>
      </w:pPr>
      <w:rPr>
        <w:rFonts w:hint="eastAsia"/>
      </w:rPr>
    </w:lvl>
    <w:lvl w:ilvl="1" w:tentative="0">
      <w:start w:val="1"/>
      <w:numFmt w:val="decimal"/>
      <w:lvlText w:val="8.%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32290DF"/>
    <w:multiLevelType w:val="singleLevel"/>
    <w:tmpl w:val="632290DF"/>
    <w:lvl w:ilvl="0" w:tentative="0">
      <w:start w:val="8"/>
      <w:numFmt w:val="decimal"/>
      <w:suff w:val="nothing"/>
      <w:lvlText w:val="（%1）"/>
      <w:lvlJc w:val="left"/>
    </w:lvl>
  </w:abstractNum>
  <w:abstractNum w:abstractNumId="20">
    <w:nsid w:val="682F1995"/>
    <w:multiLevelType w:val="multilevel"/>
    <w:tmpl w:val="682F1995"/>
    <w:lvl w:ilvl="0" w:tentative="0">
      <w:start w:val="1"/>
      <w:numFmt w:val="decimal"/>
      <w:lvlText w:val="3.%1"/>
      <w:lvlJc w:val="left"/>
      <w:pPr>
        <w:ind w:left="1320" w:hanging="420"/>
      </w:pPr>
      <w:rPr>
        <w:rFonts w:hint="eastAsia"/>
      </w:rPr>
    </w:lvl>
    <w:lvl w:ilvl="1" w:tentative="0">
      <w:start w:val="1"/>
      <w:numFmt w:val="decimal"/>
      <w:lvlText w:val="3.%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EE34801"/>
    <w:multiLevelType w:val="multilevel"/>
    <w:tmpl w:val="6EE34801"/>
    <w:lvl w:ilvl="0" w:tentative="0">
      <w:start w:val="1"/>
      <w:numFmt w:val="decimal"/>
      <w:lvlText w:val="1.3.%1"/>
      <w:lvlJc w:val="left"/>
      <w:pPr>
        <w:ind w:left="900" w:hanging="420"/>
      </w:pPr>
      <w:rPr>
        <w:rFonts w:hint="eastAsia"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720F72D6"/>
    <w:multiLevelType w:val="multilevel"/>
    <w:tmpl w:val="720F72D6"/>
    <w:lvl w:ilvl="0" w:tentative="0">
      <w:start w:val="1"/>
      <w:numFmt w:val="decimal"/>
      <w:lvlText w:val="1.2.%1"/>
      <w:lvlJc w:val="left"/>
      <w:pPr>
        <w:ind w:left="900" w:hanging="420"/>
      </w:pPr>
      <w:rPr>
        <w:rFonts w:hint="eastAsia"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74AB13E1"/>
    <w:multiLevelType w:val="multilevel"/>
    <w:tmpl w:val="74AB13E1"/>
    <w:lvl w:ilvl="0" w:tentative="0">
      <w:start w:val="1"/>
      <w:numFmt w:val="decimal"/>
      <w:pStyle w:val="3"/>
      <w:lvlText w:val="%1."/>
      <w:lvlJc w:val="left"/>
      <w:pPr>
        <w:ind w:left="420" w:hanging="420"/>
      </w:pPr>
      <w:rPr>
        <w:rFonts w:hint="eastAsia"/>
        <w:sz w:val="30"/>
        <w:szCs w:val="30"/>
      </w:rPr>
    </w:lvl>
    <w:lvl w:ilvl="1" w:tentative="0">
      <w:start w:val="1"/>
      <w:numFmt w:val="decimal"/>
      <w:isLgl/>
      <w:lvlText w:val="%1.%2"/>
      <w:lvlJc w:val="left"/>
      <w:pPr>
        <w:ind w:left="567" w:hanging="567"/>
      </w:pPr>
      <w:rPr>
        <w:rFonts w:hint="default"/>
      </w:rPr>
    </w:lvl>
    <w:lvl w:ilvl="2" w:tentative="0">
      <w:start w:val="1"/>
      <w:numFmt w:val="decimal"/>
      <w:isLgl/>
      <w:lvlText w:val="%1.%2.%3"/>
      <w:lvlJc w:val="left"/>
      <w:pPr>
        <w:ind w:left="567" w:hanging="567"/>
      </w:pPr>
      <w:rPr>
        <w:rFonts w:hint="eastAsia" w:eastAsia="黑体"/>
        <w:b w:val="0"/>
        <w:i w:val="0"/>
      </w:rPr>
    </w:lvl>
    <w:lvl w:ilvl="3" w:tentative="0">
      <w:start w:val="1"/>
      <w:numFmt w:val="decimal"/>
      <w:isLgl/>
      <w:lvlText w:val="%1.%2.%3.%4"/>
      <w:lvlJc w:val="left"/>
      <w:pPr>
        <w:ind w:left="2526" w:hanging="1080"/>
      </w:pPr>
      <w:rPr>
        <w:rFonts w:hint="default"/>
      </w:rPr>
    </w:lvl>
    <w:lvl w:ilvl="4" w:tentative="0">
      <w:start w:val="1"/>
      <w:numFmt w:val="decimal"/>
      <w:isLgl/>
      <w:lvlText w:val="%1.%2.%3.%4.%5"/>
      <w:lvlJc w:val="left"/>
      <w:pPr>
        <w:ind w:left="3368" w:hanging="1440"/>
      </w:pPr>
      <w:rPr>
        <w:rFonts w:hint="default"/>
      </w:rPr>
    </w:lvl>
    <w:lvl w:ilvl="5" w:tentative="0">
      <w:start w:val="1"/>
      <w:numFmt w:val="decimal"/>
      <w:isLgl/>
      <w:lvlText w:val="%1.%2.%3.%4.%5.%6"/>
      <w:lvlJc w:val="left"/>
      <w:pPr>
        <w:ind w:left="3850" w:hanging="1440"/>
      </w:pPr>
      <w:rPr>
        <w:rFonts w:hint="default"/>
      </w:rPr>
    </w:lvl>
    <w:lvl w:ilvl="6" w:tentative="0">
      <w:start w:val="1"/>
      <w:numFmt w:val="decimal"/>
      <w:isLgl/>
      <w:lvlText w:val="%1.%2.%3.%4.%5.%6.%7"/>
      <w:lvlJc w:val="left"/>
      <w:pPr>
        <w:ind w:left="4692" w:hanging="1800"/>
      </w:pPr>
      <w:rPr>
        <w:rFonts w:hint="default"/>
      </w:rPr>
    </w:lvl>
    <w:lvl w:ilvl="7" w:tentative="0">
      <w:start w:val="1"/>
      <w:numFmt w:val="decimal"/>
      <w:isLgl/>
      <w:lvlText w:val="%1.%2.%3.%4.%5.%6.%7.%8"/>
      <w:lvlJc w:val="left"/>
      <w:pPr>
        <w:ind w:left="5534" w:hanging="2160"/>
      </w:pPr>
      <w:rPr>
        <w:rFonts w:hint="default"/>
      </w:rPr>
    </w:lvl>
    <w:lvl w:ilvl="8" w:tentative="0">
      <w:start w:val="1"/>
      <w:numFmt w:val="decimal"/>
      <w:isLgl/>
      <w:lvlText w:val="%1.%2.%3.%4.%5.%6.%7.%8.%9"/>
      <w:lvlJc w:val="left"/>
      <w:pPr>
        <w:ind w:left="6016" w:hanging="2160"/>
      </w:pPr>
      <w:rPr>
        <w:rFonts w:hint="default"/>
      </w:rPr>
    </w:lvl>
  </w:abstractNum>
  <w:abstractNum w:abstractNumId="24">
    <w:nsid w:val="77111487"/>
    <w:multiLevelType w:val="multilevel"/>
    <w:tmpl w:val="77111487"/>
    <w:lvl w:ilvl="0" w:tentative="0">
      <w:start w:val="1"/>
      <w:numFmt w:val="decimal"/>
      <w:lvlText w:val="3.%1"/>
      <w:lvlJc w:val="left"/>
      <w:pPr>
        <w:ind w:left="9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8A4110E"/>
    <w:multiLevelType w:val="multilevel"/>
    <w:tmpl w:val="78A4110E"/>
    <w:lvl w:ilvl="0" w:tentative="0">
      <w:start w:val="1"/>
      <w:numFmt w:val="decimal"/>
      <w:lvlText w:val="7.%1"/>
      <w:lvlJc w:val="left"/>
      <w:pPr>
        <w:ind w:left="900" w:hanging="420"/>
      </w:pPr>
      <w:rPr>
        <w:rFonts w:hint="eastAsia"/>
      </w:rPr>
    </w:lvl>
    <w:lvl w:ilvl="1" w:tentative="0">
      <w:start w:val="1"/>
      <w:numFmt w:val="decimal"/>
      <w:lvlText w:val="7.%2"/>
      <w:lvlJc w:val="left"/>
      <w:pPr>
        <w:ind w:left="132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3"/>
  </w:num>
  <w:num w:numId="2">
    <w:abstractNumId w:val="16"/>
  </w:num>
  <w:num w:numId="3">
    <w:abstractNumId w:val="6"/>
  </w:num>
  <w:num w:numId="4">
    <w:abstractNumId w:val="13"/>
  </w:num>
  <w:num w:numId="5">
    <w:abstractNumId w:val="17"/>
  </w:num>
  <w:num w:numId="6">
    <w:abstractNumId w:val="7"/>
  </w:num>
  <w:num w:numId="7">
    <w:abstractNumId w:val="11"/>
  </w:num>
  <w:num w:numId="8">
    <w:abstractNumId w:val="23"/>
    <w:lvlOverride w:ilvl="0">
      <w:startOverride w:val="1"/>
    </w:lvlOverride>
  </w:num>
  <w:num w:numId="9">
    <w:abstractNumId w:val="10"/>
  </w:num>
  <w:num w:numId="10">
    <w:abstractNumId w:val="22"/>
  </w:num>
  <w:num w:numId="11">
    <w:abstractNumId w:val="21"/>
  </w:num>
  <w:num w:numId="12">
    <w:abstractNumId w:val="14"/>
  </w:num>
  <w:num w:numId="13">
    <w:abstractNumId w:val="24"/>
  </w:num>
  <w:num w:numId="14">
    <w:abstractNumId w:val="15"/>
  </w:num>
  <w:num w:numId="15">
    <w:abstractNumId w:val="12"/>
  </w:num>
  <w:num w:numId="16">
    <w:abstractNumId w:val="25"/>
  </w:num>
  <w:num w:numId="17">
    <w:abstractNumId w:val="18"/>
  </w:num>
  <w:num w:numId="18">
    <w:abstractNumId w:val="23"/>
    <w:lvlOverride w:ilvl="0">
      <w:startOverride w:val="1"/>
    </w:lvlOverride>
  </w:num>
  <w:num w:numId="19">
    <w:abstractNumId w:val="9"/>
  </w:num>
  <w:num w:numId="20">
    <w:abstractNumId w:val="20"/>
  </w:num>
  <w:num w:numId="21">
    <w:abstractNumId w:val="5"/>
  </w:num>
  <w:num w:numId="22">
    <w:abstractNumId w:val="4"/>
  </w:num>
  <w:num w:numId="23">
    <w:abstractNumId w:val="3"/>
  </w:num>
  <w:num w:numId="24">
    <w:abstractNumId w:val="0"/>
  </w:num>
  <w:num w:numId="25">
    <w:abstractNumId w:val="2"/>
  </w:num>
  <w:num w:numId="26">
    <w:abstractNumId w:val="19"/>
  </w:num>
  <w:num w:numId="27">
    <w:abstractNumId w:val="1"/>
  </w:num>
  <w:num w:numId="28">
    <w:abstractNumId w:val="23"/>
    <w:lvlOverride w:ilvl="0">
      <w:startOverride w:val="1"/>
    </w:lvlOverride>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JhZDlmOWI0MzYzMWY0MzgwNDViOTJkZTYzNDk3NDMifQ=="/>
    <w:docVar w:name="KSO_WPS_MARK_KEY" w:val="61fae6fe-67e6-48b9-b890-85940ed28465"/>
  </w:docVars>
  <w:rsids>
    <w:rsidRoot w:val="00275063"/>
    <w:rsid w:val="00003247"/>
    <w:rsid w:val="00003368"/>
    <w:rsid w:val="00012571"/>
    <w:rsid w:val="0001346E"/>
    <w:rsid w:val="0002311B"/>
    <w:rsid w:val="0003644B"/>
    <w:rsid w:val="00036467"/>
    <w:rsid w:val="00041A12"/>
    <w:rsid w:val="00053E5C"/>
    <w:rsid w:val="0006034D"/>
    <w:rsid w:val="00062046"/>
    <w:rsid w:val="00073414"/>
    <w:rsid w:val="0007617E"/>
    <w:rsid w:val="0007681F"/>
    <w:rsid w:val="00081EDD"/>
    <w:rsid w:val="000857B6"/>
    <w:rsid w:val="00090609"/>
    <w:rsid w:val="000A2CAF"/>
    <w:rsid w:val="000A3AC3"/>
    <w:rsid w:val="000A44E1"/>
    <w:rsid w:val="000A6523"/>
    <w:rsid w:val="000B0630"/>
    <w:rsid w:val="000B7710"/>
    <w:rsid w:val="000C1ACE"/>
    <w:rsid w:val="000D0560"/>
    <w:rsid w:val="000D1DA6"/>
    <w:rsid w:val="000D2FD2"/>
    <w:rsid w:val="000D4D8A"/>
    <w:rsid w:val="000D7608"/>
    <w:rsid w:val="000E466B"/>
    <w:rsid w:val="000F28CC"/>
    <w:rsid w:val="000F3235"/>
    <w:rsid w:val="000F366F"/>
    <w:rsid w:val="000F3C3A"/>
    <w:rsid w:val="0010108D"/>
    <w:rsid w:val="00103E1E"/>
    <w:rsid w:val="001051FC"/>
    <w:rsid w:val="00107FE7"/>
    <w:rsid w:val="00111186"/>
    <w:rsid w:val="001139FE"/>
    <w:rsid w:val="00114AD8"/>
    <w:rsid w:val="0012246F"/>
    <w:rsid w:val="001237E8"/>
    <w:rsid w:val="001239C7"/>
    <w:rsid w:val="00131608"/>
    <w:rsid w:val="00132EB5"/>
    <w:rsid w:val="001401D5"/>
    <w:rsid w:val="001455BB"/>
    <w:rsid w:val="001466CA"/>
    <w:rsid w:val="001512EE"/>
    <w:rsid w:val="00152311"/>
    <w:rsid w:val="00153346"/>
    <w:rsid w:val="00153A72"/>
    <w:rsid w:val="00155516"/>
    <w:rsid w:val="00160570"/>
    <w:rsid w:val="001608DB"/>
    <w:rsid w:val="0016324E"/>
    <w:rsid w:val="00167FFB"/>
    <w:rsid w:val="001742B9"/>
    <w:rsid w:val="00177B6A"/>
    <w:rsid w:val="0018147C"/>
    <w:rsid w:val="0018350F"/>
    <w:rsid w:val="001950D4"/>
    <w:rsid w:val="001A26C8"/>
    <w:rsid w:val="001A7E8C"/>
    <w:rsid w:val="001B044B"/>
    <w:rsid w:val="001B16CF"/>
    <w:rsid w:val="001B34BB"/>
    <w:rsid w:val="001B4F4B"/>
    <w:rsid w:val="001B55B8"/>
    <w:rsid w:val="001C13B5"/>
    <w:rsid w:val="001C1B77"/>
    <w:rsid w:val="001C44B4"/>
    <w:rsid w:val="001C4E9D"/>
    <w:rsid w:val="001C5CD2"/>
    <w:rsid w:val="001C706B"/>
    <w:rsid w:val="001D1155"/>
    <w:rsid w:val="001D5BD2"/>
    <w:rsid w:val="001E69CB"/>
    <w:rsid w:val="001F0CF9"/>
    <w:rsid w:val="001F29E5"/>
    <w:rsid w:val="001F364C"/>
    <w:rsid w:val="002012DA"/>
    <w:rsid w:val="0020324F"/>
    <w:rsid w:val="00204ED2"/>
    <w:rsid w:val="00213AF7"/>
    <w:rsid w:val="002168D2"/>
    <w:rsid w:val="00223C83"/>
    <w:rsid w:val="00230FF9"/>
    <w:rsid w:val="00231C8A"/>
    <w:rsid w:val="002330B4"/>
    <w:rsid w:val="002344DC"/>
    <w:rsid w:val="00243888"/>
    <w:rsid w:val="00244149"/>
    <w:rsid w:val="002518F9"/>
    <w:rsid w:val="00253751"/>
    <w:rsid w:val="002577EC"/>
    <w:rsid w:val="00275063"/>
    <w:rsid w:val="0028204A"/>
    <w:rsid w:val="00283890"/>
    <w:rsid w:val="00284171"/>
    <w:rsid w:val="00287C15"/>
    <w:rsid w:val="00290DCB"/>
    <w:rsid w:val="00294A51"/>
    <w:rsid w:val="00294AED"/>
    <w:rsid w:val="002952FD"/>
    <w:rsid w:val="002A5126"/>
    <w:rsid w:val="002B176A"/>
    <w:rsid w:val="002B44FC"/>
    <w:rsid w:val="002C283B"/>
    <w:rsid w:val="002C2844"/>
    <w:rsid w:val="002D0D84"/>
    <w:rsid w:val="00303A1F"/>
    <w:rsid w:val="0032643D"/>
    <w:rsid w:val="00326F5B"/>
    <w:rsid w:val="003326EF"/>
    <w:rsid w:val="0033613D"/>
    <w:rsid w:val="00337AE6"/>
    <w:rsid w:val="00343D80"/>
    <w:rsid w:val="00346BA3"/>
    <w:rsid w:val="003604D9"/>
    <w:rsid w:val="00370567"/>
    <w:rsid w:val="0038191E"/>
    <w:rsid w:val="003A04EF"/>
    <w:rsid w:val="003A1BBC"/>
    <w:rsid w:val="003A22A0"/>
    <w:rsid w:val="003C6478"/>
    <w:rsid w:val="003D0978"/>
    <w:rsid w:val="003D35FC"/>
    <w:rsid w:val="003D4271"/>
    <w:rsid w:val="003E01B7"/>
    <w:rsid w:val="003E16BD"/>
    <w:rsid w:val="003E6A68"/>
    <w:rsid w:val="003E7F2B"/>
    <w:rsid w:val="003F2FD8"/>
    <w:rsid w:val="003F45B6"/>
    <w:rsid w:val="00400139"/>
    <w:rsid w:val="004029DC"/>
    <w:rsid w:val="0041010B"/>
    <w:rsid w:val="00410F1F"/>
    <w:rsid w:val="004144AB"/>
    <w:rsid w:val="00432244"/>
    <w:rsid w:val="00433D5C"/>
    <w:rsid w:val="0044156E"/>
    <w:rsid w:val="0045017A"/>
    <w:rsid w:val="00451309"/>
    <w:rsid w:val="00455F8F"/>
    <w:rsid w:val="00461773"/>
    <w:rsid w:val="00472214"/>
    <w:rsid w:val="0047782B"/>
    <w:rsid w:val="00482DAC"/>
    <w:rsid w:val="004838CA"/>
    <w:rsid w:val="004843DD"/>
    <w:rsid w:val="00484BD0"/>
    <w:rsid w:val="004860B7"/>
    <w:rsid w:val="00492B22"/>
    <w:rsid w:val="00495274"/>
    <w:rsid w:val="00496734"/>
    <w:rsid w:val="004A13EE"/>
    <w:rsid w:val="004A1E80"/>
    <w:rsid w:val="004B5497"/>
    <w:rsid w:val="004B5A5A"/>
    <w:rsid w:val="004B70D5"/>
    <w:rsid w:val="004B7B1D"/>
    <w:rsid w:val="004D04B3"/>
    <w:rsid w:val="004D251E"/>
    <w:rsid w:val="004D7AA3"/>
    <w:rsid w:val="004E6CD6"/>
    <w:rsid w:val="004F0B84"/>
    <w:rsid w:val="00507F71"/>
    <w:rsid w:val="00512BC7"/>
    <w:rsid w:val="00516E51"/>
    <w:rsid w:val="00517EAB"/>
    <w:rsid w:val="00521F11"/>
    <w:rsid w:val="00524CBB"/>
    <w:rsid w:val="00524F1E"/>
    <w:rsid w:val="005351E1"/>
    <w:rsid w:val="0053591B"/>
    <w:rsid w:val="00540E47"/>
    <w:rsid w:val="00542029"/>
    <w:rsid w:val="0054594C"/>
    <w:rsid w:val="00551BD1"/>
    <w:rsid w:val="005554DA"/>
    <w:rsid w:val="00557660"/>
    <w:rsid w:val="00562DCE"/>
    <w:rsid w:val="00566C06"/>
    <w:rsid w:val="00580EFB"/>
    <w:rsid w:val="00582DB3"/>
    <w:rsid w:val="00587F30"/>
    <w:rsid w:val="005900D5"/>
    <w:rsid w:val="005A22F2"/>
    <w:rsid w:val="005B0BF8"/>
    <w:rsid w:val="005B29E5"/>
    <w:rsid w:val="005B304E"/>
    <w:rsid w:val="005C1983"/>
    <w:rsid w:val="005C263D"/>
    <w:rsid w:val="005C5023"/>
    <w:rsid w:val="005C511D"/>
    <w:rsid w:val="005C5398"/>
    <w:rsid w:val="005C63C3"/>
    <w:rsid w:val="005D7BD9"/>
    <w:rsid w:val="005E0662"/>
    <w:rsid w:val="005E1F7C"/>
    <w:rsid w:val="005E672C"/>
    <w:rsid w:val="005F3002"/>
    <w:rsid w:val="005F549D"/>
    <w:rsid w:val="005F5867"/>
    <w:rsid w:val="005F6606"/>
    <w:rsid w:val="005F6B78"/>
    <w:rsid w:val="00600FB0"/>
    <w:rsid w:val="00610482"/>
    <w:rsid w:val="006126D0"/>
    <w:rsid w:val="006135ED"/>
    <w:rsid w:val="00613887"/>
    <w:rsid w:val="00622B8C"/>
    <w:rsid w:val="0062380B"/>
    <w:rsid w:val="0062749A"/>
    <w:rsid w:val="006301D5"/>
    <w:rsid w:val="00636D0E"/>
    <w:rsid w:val="006418CB"/>
    <w:rsid w:val="006420D1"/>
    <w:rsid w:val="00644C5C"/>
    <w:rsid w:val="00647F6B"/>
    <w:rsid w:val="006529BB"/>
    <w:rsid w:val="006553CC"/>
    <w:rsid w:val="00655768"/>
    <w:rsid w:val="00661DDE"/>
    <w:rsid w:val="00663095"/>
    <w:rsid w:val="0067133D"/>
    <w:rsid w:val="00673F69"/>
    <w:rsid w:val="00675847"/>
    <w:rsid w:val="0068064B"/>
    <w:rsid w:val="00680FD3"/>
    <w:rsid w:val="006826A3"/>
    <w:rsid w:val="006827D0"/>
    <w:rsid w:val="006855B5"/>
    <w:rsid w:val="006940C1"/>
    <w:rsid w:val="0069723A"/>
    <w:rsid w:val="006A0EE0"/>
    <w:rsid w:val="006A2301"/>
    <w:rsid w:val="006A7373"/>
    <w:rsid w:val="006B6397"/>
    <w:rsid w:val="006C3C33"/>
    <w:rsid w:val="006C4A3B"/>
    <w:rsid w:val="006C5F54"/>
    <w:rsid w:val="006D00D2"/>
    <w:rsid w:val="006D161F"/>
    <w:rsid w:val="006D3346"/>
    <w:rsid w:val="006D6F36"/>
    <w:rsid w:val="006E7455"/>
    <w:rsid w:val="006F164D"/>
    <w:rsid w:val="006F2AA9"/>
    <w:rsid w:val="006F590F"/>
    <w:rsid w:val="006F5A6E"/>
    <w:rsid w:val="00701935"/>
    <w:rsid w:val="00701AB8"/>
    <w:rsid w:val="00703392"/>
    <w:rsid w:val="00703DAA"/>
    <w:rsid w:val="007058EC"/>
    <w:rsid w:val="00712C1C"/>
    <w:rsid w:val="00715D44"/>
    <w:rsid w:val="00716FC5"/>
    <w:rsid w:val="00721BE1"/>
    <w:rsid w:val="00730DA0"/>
    <w:rsid w:val="00731775"/>
    <w:rsid w:val="00731C3E"/>
    <w:rsid w:val="00732C7D"/>
    <w:rsid w:val="007423E9"/>
    <w:rsid w:val="00742AC6"/>
    <w:rsid w:val="00742EBC"/>
    <w:rsid w:val="00744B42"/>
    <w:rsid w:val="00745193"/>
    <w:rsid w:val="00750405"/>
    <w:rsid w:val="0075248F"/>
    <w:rsid w:val="00753FA0"/>
    <w:rsid w:val="00754CF7"/>
    <w:rsid w:val="00755026"/>
    <w:rsid w:val="00757334"/>
    <w:rsid w:val="00760063"/>
    <w:rsid w:val="007611AB"/>
    <w:rsid w:val="00767457"/>
    <w:rsid w:val="00772549"/>
    <w:rsid w:val="00772624"/>
    <w:rsid w:val="007732C2"/>
    <w:rsid w:val="00773581"/>
    <w:rsid w:val="00784A06"/>
    <w:rsid w:val="00797378"/>
    <w:rsid w:val="007A0D98"/>
    <w:rsid w:val="007A5841"/>
    <w:rsid w:val="007B52CC"/>
    <w:rsid w:val="007B5479"/>
    <w:rsid w:val="007B7496"/>
    <w:rsid w:val="007D2884"/>
    <w:rsid w:val="007E2574"/>
    <w:rsid w:val="007E67F7"/>
    <w:rsid w:val="007E78F4"/>
    <w:rsid w:val="00802846"/>
    <w:rsid w:val="008138F4"/>
    <w:rsid w:val="00816E04"/>
    <w:rsid w:val="00823325"/>
    <w:rsid w:val="00823F18"/>
    <w:rsid w:val="00825B27"/>
    <w:rsid w:val="00830B23"/>
    <w:rsid w:val="008315D3"/>
    <w:rsid w:val="00831B17"/>
    <w:rsid w:val="00841824"/>
    <w:rsid w:val="00851768"/>
    <w:rsid w:val="00851C49"/>
    <w:rsid w:val="008530D9"/>
    <w:rsid w:val="008562B9"/>
    <w:rsid w:val="0086779C"/>
    <w:rsid w:val="00877442"/>
    <w:rsid w:val="00882AC1"/>
    <w:rsid w:val="0088460E"/>
    <w:rsid w:val="00884C00"/>
    <w:rsid w:val="008854C3"/>
    <w:rsid w:val="00893118"/>
    <w:rsid w:val="00894A5B"/>
    <w:rsid w:val="008A1D42"/>
    <w:rsid w:val="008A35B8"/>
    <w:rsid w:val="008B15C1"/>
    <w:rsid w:val="008B590F"/>
    <w:rsid w:val="008C202C"/>
    <w:rsid w:val="008C3C2C"/>
    <w:rsid w:val="008C64C1"/>
    <w:rsid w:val="008D0DE6"/>
    <w:rsid w:val="008D1EB3"/>
    <w:rsid w:val="008D6FB1"/>
    <w:rsid w:val="008E1986"/>
    <w:rsid w:val="008E3E21"/>
    <w:rsid w:val="008E61F3"/>
    <w:rsid w:val="008E6C1A"/>
    <w:rsid w:val="008F1452"/>
    <w:rsid w:val="008F5A0E"/>
    <w:rsid w:val="00901A11"/>
    <w:rsid w:val="00902026"/>
    <w:rsid w:val="0090241E"/>
    <w:rsid w:val="00904214"/>
    <w:rsid w:val="009053DC"/>
    <w:rsid w:val="00914F9A"/>
    <w:rsid w:val="009203D3"/>
    <w:rsid w:val="009252CD"/>
    <w:rsid w:val="00925FB2"/>
    <w:rsid w:val="009263E0"/>
    <w:rsid w:val="00926447"/>
    <w:rsid w:val="00930BD8"/>
    <w:rsid w:val="00932DCD"/>
    <w:rsid w:val="00933644"/>
    <w:rsid w:val="00936A66"/>
    <w:rsid w:val="00940732"/>
    <w:rsid w:val="00940A20"/>
    <w:rsid w:val="00944B31"/>
    <w:rsid w:val="00950273"/>
    <w:rsid w:val="00954231"/>
    <w:rsid w:val="00954FE8"/>
    <w:rsid w:val="009555AA"/>
    <w:rsid w:val="00956E15"/>
    <w:rsid w:val="0095780D"/>
    <w:rsid w:val="00963E9F"/>
    <w:rsid w:val="0096487A"/>
    <w:rsid w:val="00965B79"/>
    <w:rsid w:val="009877F0"/>
    <w:rsid w:val="009A17C8"/>
    <w:rsid w:val="009A4040"/>
    <w:rsid w:val="009B42DB"/>
    <w:rsid w:val="009B52F1"/>
    <w:rsid w:val="009B64C6"/>
    <w:rsid w:val="009B7C36"/>
    <w:rsid w:val="009C1238"/>
    <w:rsid w:val="009C1E44"/>
    <w:rsid w:val="009C5398"/>
    <w:rsid w:val="009C74EE"/>
    <w:rsid w:val="009C7696"/>
    <w:rsid w:val="009D0229"/>
    <w:rsid w:val="009D7A1D"/>
    <w:rsid w:val="009E384F"/>
    <w:rsid w:val="009E49DF"/>
    <w:rsid w:val="00A037A4"/>
    <w:rsid w:val="00A10439"/>
    <w:rsid w:val="00A1104E"/>
    <w:rsid w:val="00A16250"/>
    <w:rsid w:val="00A20DE0"/>
    <w:rsid w:val="00A216C8"/>
    <w:rsid w:val="00A21FC6"/>
    <w:rsid w:val="00A253F9"/>
    <w:rsid w:val="00A2625D"/>
    <w:rsid w:val="00A3401F"/>
    <w:rsid w:val="00A37626"/>
    <w:rsid w:val="00A44227"/>
    <w:rsid w:val="00A474D1"/>
    <w:rsid w:val="00A542EE"/>
    <w:rsid w:val="00A55610"/>
    <w:rsid w:val="00A5593F"/>
    <w:rsid w:val="00A60699"/>
    <w:rsid w:val="00A60833"/>
    <w:rsid w:val="00A629C7"/>
    <w:rsid w:val="00A63FE5"/>
    <w:rsid w:val="00A73FC4"/>
    <w:rsid w:val="00A75173"/>
    <w:rsid w:val="00A77622"/>
    <w:rsid w:val="00A8220A"/>
    <w:rsid w:val="00A87B7B"/>
    <w:rsid w:val="00A90B6F"/>
    <w:rsid w:val="00A94D1B"/>
    <w:rsid w:val="00AA33DA"/>
    <w:rsid w:val="00AA39B7"/>
    <w:rsid w:val="00AA4ADB"/>
    <w:rsid w:val="00AB31BE"/>
    <w:rsid w:val="00AB754D"/>
    <w:rsid w:val="00AC15F9"/>
    <w:rsid w:val="00AD02A5"/>
    <w:rsid w:val="00AD6B8D"/>
    <w:rsid w:val="00AE5197"/>
    <w:rsid w:val="00AE59F7"/>
    <w:rsid w:val="00AE68BB"/>
    <w:rsid w:val="00AF56F2"/>
    <w:rsid w:val="00AF7318"/>
    <w:rsid w:val="00B00AA8"/>
    <w:rsid w:val="00B04557"/>
    <w:rsid w:val="00B067D1"/>
    <w:rsid w:val="00B06D1C"/>
    <w:rsid w:val="00B12331"/>
    <w:rsid w:val="00B1394F"/>
    <w:rsid w:val="00B15ECE"/>
    <w:rsid w:val="00B26D65"/>
    <w:rsid w:val="00B31060"/>
    <w:rsid w:val="00B34747"/>
    <w:rsid w:val="00B367E6"/>
    <w:rsid w:val="00B40745"/>
    <w:rsid w:val="00B4291D"/>
    <w:rsid w:val="00B44B2A"/>
    <w:rsid w:val="00B47520"/>
    <w:rsid w:val="00B50ADE"/>
    <w:rsid w:val="00B519C9"/>
    <w:rsid w:val="00B61F9B"/>
    <w:rsid w:val="00B66100"/>
    <w:rsid w:val="00B66C36"/>
    <w:rsid w:val="00B675B8"/>
    <w:rsid w:val="00B6774B"/>
    <w:rsid w:val="00B70C69"/>
    <w:rsid w:val="00B71ED5"/>
    <w:rsid w:val="00B75666"/>
    <w:rsid w:val="00B82DC5"/>
    <w:rsid w:val="00B84885"/>
    <w:rsid w:val="00B85F3C"/>
    <w:rsid w:val="00B87A1A"/>
    <w:rsid w:val="00B91D81"/>
    <w:rsid w:val="00B93831"/>
    <w:rsid w:val="00BA420A"/>
    <w:rsid w:val="00BA54C4"/>
    <w:rsid w:val="00BA6535"/>
    <w:rsid w:val="00BB3CD5"/>
    <w:rsid w:val="00BB3EB7"/>
    <w:rsid w:val="00BB419D"/>
    <w:rsid w:val="00BB711D"/>
    <w:rsid w:val="00BC07D6"/>
    <w:rsid w:val="00BC578C"/>
    <w:rsid w:val="00BD0D3E"/>
    <w:rsid w:val="00BD6B0C"/>
    <w:rsid w:val="00BD76D6"/>
    <w:rsid w:val="00BF5E0D"/>
    <w:rsid w:val="00C067F0"/>
    <w:rsid w:val="00C11739"/>
    <w:rsid w:val="00C14BAF"/>
    <w:rsid w:val="00C170E9"/>
    <w:rsid w:val="00C175B3"/>
    <w:rsid w:val="00C40DDE"/>
    <w:rsid w:val="00C52BB8"/>
    <w:rsid w:val="00C5658A"/>
    <w:rsid w:val="00C575B0"/>
    <w:rsid w:val="00C61A97"/>
    <w:rsid w:val="00C71325"/>
    <w:rsid w:val="00C76D17"/>
    <w:rsid w:val="00C903CF"/>
    <w:rsid w:val="00C912BD"/>
    <w:rsid w:val="00C965AB"/>
    <w:rsid w:val="00C97D74"/>
    <w:rsid w:val="00CA0C33"/>
    <w:rsid w:val="00CA0FCC"/>
    <w:rsid w:val="00CA1B05"/>
    <w:rsid w:val="00CA3A96"/>
    <w:rsid w:val="00CA4BBF"/>
    <w:rsid w:val="00CB1090"/>
    <w:rsid w:val="00CB1804"/>
    <w:rsid w:val="00CB3A5C"/>
    <w:rsid w:val="00CC41D7"/>
    <w:rsid w:val="00CC7A09"/>
    <w:rsid w:val="00CC7A78"/>
    <w:rsid w:val="00CD1A62"/>
    <w:rsid w:val="00CD2B07"/>
    <w:rsid w:val="00CD675A"/>
    <w:rsid w:val="00CE0611"/>
    <w:rsid w:val="00CE0659"/>
    <w:rsid w:val="00CE1398"/>
    <w:rsid w:val="00CE5AAD"/>
    <w:rsid w:val="00CF1151"/>
    <w:rsid w:val="00CF34BF"/>
    <w:rsid w:val="00CF7E4E"/>
    <w:rsid w:val="00D00019"/>
    <w:rsid w:val="00D0198C"/>
    <w:rsid w:val="00D0207A"/>
    <w:rsid w:val="00D02CDA"/>
    <w:rsid w:val="00D05E16"/>
    <w:rsid w:val="00D06FC5"/>
    <w:rsid w:val="00D10FB1"/>
    <w:rsid w:val="00D111FD"/>
    <w:rsid w:val="00D12CD4"/>
    <w:rsid w:val="00D22787"/>
    <w:rsid w:val="00D24D44"/>
    <w:rsid w:val="00D261EA"/>
    <w:rsid w:val="00D31C0B"/>
    <w:rsid w:val="00D351D9"/>
    <w:rsid w:val="00D35252"/>
    <w:rsid w:val="00D4175B"/>
    <w:rsid w:val="00D42A0B"/>
    <w:rsid w:val="00D50CD8"/>
    <w:rsid w:val="00D51A8F"/>
    <w:rsid w:val="00D51DE1"/>
    <w:rsid w:val="00D55DED"/>
    <w:rsid w:val="00D5653B"/>
    <w:rsid w:val="00D6042E"/>
    <w:rsid w:val="00D61EC1"/>
    <w:rsid w:val="00D62AD1"/>
    <w:rsid w:val="00D64CC0"/>
    <w:rsid w:val="00D66034"/>
    <w:rsid w:val="00D71354"/>
    <w:rsid w:val="00D73AEA"/>
    <w:rsid w:val="00D848DE"/>
    <w:rsid w:val="00D858A9"/>
    <w:rsid w:val="00D85E61"/>
    <w:rsid w:val="00D95E7E"/>
    <w:rsid w:val="00DA1A41"/>
    <w:rsid w:val="00DA21CF"/>
    <w:rsid w:val="00DA3094"/>
    <w:rsid w:val="00DB14E9"/>
    <w:rsid w:val="00DB46CC"/>
    <w:rsid w:val="00DB6A88"/>
    <w:rsid w:val="00DB7E22"/>
    <w:rsid w:val="00DC6EAD"/>
    <w:rsid w:val="00DD2201"/>
    <w:rsid w:val="00DD2276"/>
    <w:rsid w:val="00DE1574"/>
    <w:rsid w:val="00DE174E"/>
    <w:rsid w:val="00DF061D"/>
    <w:rsid w:val="00DF22D5"/>
    <w:rsid w:val="00DF4123"/>
    <w:rsid w:val="00DF7D84"/>
    <w:rsid w:val="00E0256B"/>
    <w:rsid w:val="00E131C4"/>
    <w:rsid w:val="00E232C9"/>
    <w:rsid w:val="00E23F2A"/>
    <w:rsid w:val="00E247E2"/>
    <w:rsid w:val="00E2486C"/>
    <w:rsid w:val="00E25F05"/>
    <w:rsid w:val="00E31FC8"/>
    <w:rsid w:val="00E41B96"/>
    <w:rsid w:val="00E42523"/>
    <w:rsid w:val="00E45796"/>
    <w:rsid w:val="00E571B0"/>
    <w:rsid w:val="00E61143"/>
    <w:rsid w:val="00E63F39"/>
    <w:rsid w:val="00E644F3"/>
    <w:rsid w:val="00E64CDC"/>
    <w:rsid w:val="00E657E6"/>
    <w:rsid w:val="00E677CC"/>
    <w:rsid w:val="00E702FE"/>
    <w:rsid w:val="00E768A8"/>
    <w:rsid w:val="00E8428A"/>
    <w:rsid w:val="00E864E2"/>
    <w:rsid w:val="00E97E16"/>
    <w:rsid w:val="00EA0EA9"/>
    <w:rsid w:val="00EA1930"/>
    <w:rsid w:val="00EA6179"/>
    <w:rsid w:val="00EA69D7"/>
    <w:rsid w:val="00EA6E31"/>
    <w:rsid w:val="00EB0516"/>
    <w:rsid w:val="00EB4B86"/>
    <w:rsid w:val="00EC0020"/>
    <w:rsid w:val="00EC69C4"/>
    <w:rsid w:val="00ED428A"/>
    <w:rsid w:val="00EE0A9C"/>
    <w:rsid w:val="00EE1BF3"/>
    <w:rsid w:val="00EE5676"/>
    <w:rsid w:val="00EE5734"/>
    <w:rsid w:val="00EE614B"/>
    <w:rsid w:val="00EE6C0B"/>
    <w:rsid w:val="00EE76E6"/>
    <w:rsid w:val="00EF2FAF"/>
    <w:rsid w:val="00F0047E"/>
    <w:rsid w:val="00F036E1"/>
    <w:rsid w:val="00F05904"/>
    <w:rsid w:val="00F13C92"/>
    <w:rsid w:val="00F14645"/>
    <w:rsid w:val="00F27868"/>
    <w:rsid w:val="00F33BF9"/>
    <w:rsid w:val="00F355AF"/>
    <w:rsid w:val="00F3664B"/>
    <w:rsid w:val="00F41FCB"/>
    <w:rsid w:val="00F46F87"/>
    <w:rsid w:val="00F47992"/>
    <w:rsid w:val="00F520DC"/>
    <w:rsid w:val="00F52C13"/>
    <w:rsid w:val="00F56893"/>
    <w:rsid w:val="00F56F23"/>
    <w:rsid w:val="00F6179F"/>
    <w:rsid w:val="00F66829"/>
    <w:rsid w:val="00F73BB9"/>
    <w:rsid w:val="00F7682B"/>
    <w:rsid w:val="00F77F49"/>
    <w:rsid w:val="00F813B3"/>
    <w:rsid w:val="00F82D6E"/>
    <w:rsid w:val="00F91A0A"/>
    <w:rsid w:val="00F9251C"/>
    <w:rsid w:val="00F9779C"/>
    <w:rsid w:val="00FA09A4"/>
    <w:rsid w:val="00FB1056"/>
    <w:rsid w:val="00FB6C06"/>
    <w:rsid w:val="00FC1C24"/>
    <w:rsid w:val="00FD2B3F"/>
    <w:rsid w:val="00FE60F6"/>
    <w:rsid w:val="00FE6247"/>
    <w:rsid w:val="00FE7820"/>
    <w:rsid w:val="00FF7457"/>
    <w:rsid w:val="013B4944"/>
    <w:rsid w:val="01D246D6"/>
    <w:rsid w:val="01DD21DB"/>
    <w:rsid w:val="022C4336"/>
    <w:rsid w:val="04E46CB5"/>
    <w:rsid w:val="04E71D92"/>
    <w:rsid w:val="06645D24"/>
    <w:rsid w:val="06A47737"/>
    <w:rsid w:val="06E6438F"/>
    <w:rsid w:val="07215A16"/>
    <w:rsid w:val="07435FA6"/>
    <w:rsid w:val="07920F8D"/>
    <w:rsid w:val="07D72F62"/>
    <w:rsid w:val="085761AF"/>
    <w:rsid w:val="09861BDA"/>
    <w:rsid w:val="09A949AC"/>
    <w:rsid w:val="0AE27DDE"/>
    <w:rsid w:val="0AEB73DB"/>
    <w:rsid w:val="0B5920EA"/>
    <w:rsid w:val="0BC62891"/>
    <w:rsid w:val="0BED6E40"/>
    <w:rsid w:val="0BF66608"/>
    <w:rsid w:val="0C0A6E91"/>
    <w:rsid w:val="0C4A0131"/>
    <w:rsid w:val="0D39149A"/>
    <w:rsid w:val="0D7F205C"/>
    <w:rsid w:val="0F56503F"/>
    <w:rsid w:val="0FC16DA4"/>
    <w:rsid w:val="0FD92576"/>
    <w:rsid w:val="10903958"/>
    <w:rsid w:val="109F3221"/>
    <w:rsid w:val="10EC0B67"/>
    <w:rsid w:val="12487AEB"/>
    <w:rsid w:val="12E206A0"/>
    <w:rsid w:val="12E62123"/>
    <w:rsid w:val="130001DF"/>
    <w:rsid w:val="13037030"/>
    <w:rsid w:val="13685E73"/>
    <w:rsid w:val="13AF4337"/>
    <w:rsid w:val="13C609E5"/>
    <w:rsid w:val="13F76A0A"/>
    <w:rsid w:val="16005432"/>
    <w:rsid w:val="16166E51"/>
    <w:rsid w:val="16844A3F"/>
    <w:rsid w:val="16C17241"/>
    <w:rsid w:val="16C205A3"/>
    <w:rsid w:val="16C94348"/>
    <w:rsid w:val="17772EAC"/>
    <w:rsid w:val="185F6BE2"/>
    <w:rsid w:val="18663A4E"/>
    <w:rsid w:val="189B08F1"/>
    <w:rsid w:val="18B00D47"/>
    <w:rsid w:val="18E57BE0"/>
    <w:rsid w:val="1A75242F"/>
    <w:rsid w:val="1A79452C"/>
    <w:rsid w:val="1AB15B97"/>
    <w:rsid w:val="1ACE4623"/>
    <w:rsid w:val="1B2769AB"/>
    <w:rsid w:val="1B4A1EFB"/>
    <w:rsid w:val="1BBE2C55"/>
    <w:rsid w:val="1BCE7E62"/>
    <w:rsid w:val="1C542906"/>
    <w:rsid w:val="1CA1536D"/>
    <w:rsid w:val="1D1E2053"/>
    <w:rsid w:val="1D48292B"/>
    <w:rsid w:val="1E323118"/>
    <w:rsid w:val="1ECB18FE"/>
    <w:rsid w:val="1F1F5325"/>
    <w:rsid w:val="208717DB"/>
    <w:rsid w:val="20A35FDD"/>
    <w:rsid w:val="20C23F71"/>
    <w:rsid w:val="21B626C0"/>
    <w:rsid w:val="221C7193"/>
    <w:rsid w:val="22406448"/>
    <w:rsid w:val="23472B94"/>
    <w:rsid w:val="23615DD9"/>
    <w:rsid w:val="23D12596"/>
    <w:rsid w:val="23E427C1"/>
    <w:rsid w:val="254C2D14"/>
    <w:rsid w:val="258416DE"/>
    <w:rsid w:val="25D06034"/>
    <w:rsid w:val="262C78E7"/>
    <w:rsid w:val="26F06500"/>
    <w:rsid w:val="2718431F"/>
    <w:rsid w:val="27A56B2E"/>
    <w:rsid w:val="27B9020F"/>
    <w:rsid w:val="299B0380"/>
    <w:rsid w:val="2A383867"/>
    <w:rsid w:val="2A7E664D"/>
    <w:rsid w:val="2AFD3945"/>
    <w:rsid w:val="2B272C3C"/>
    <w:rsid w:val="2C7A09D6"/>
    <w:rsid w:val="2D915D02"/>
    <w:rsid w:val="2DC527B0"/>
    <w:rsid w:val="2E225CBF"/>
    <w:rsid w:val="2E250A15"/>
    <w:rsid w:val="2E975000"/>
    <w:rsid w:val="2EAB6B47"/>
    <w:rsid w:val="2F10749D"/>
    <w:rsid w:val="2F1A79DF"/>
    <w:rsid w:val="302E16E6"/>
    <w:rsid w:val="316D085C"/>
    <w:rsid w:val="31AA0529"/>
    <w:rsid w:val="322D5960"/>
    <w:rsid w:val="3304261F"/>
    <w:rsid w:val="332931F5"/>
    <w:rsid w:val="34A83360"/>
    <w:rsid w:val="35830848"/>
    <w:rsid w:val="35FA799E"/>
    <w:rsid w:val="36590F6A"/>
    <w:rsid w:val="365F6B0D"/>
    <w:rsid w:val="36851BE2"/>
    <w:rsid w:val="37052D23"/>
    <w:rsid w:val="375127D8"/>
    <w:rsid w:val="37874443"/>
    <w:rsid w:val="37B42551"/>
    <w:rsid w:val="3892500E"/>
    <w:rsid w:val="389B6289"/>
    <w:rsid w:val="38E2382D"/>
    <w:rsid w:val="38E31D68"/>
    <w:rsid w:val="3A0361E0"/>
    <w:rsid w:val="3B5B7C0A"/>
    <w:rsid w:val="3BC51C3C"/>
    <w:rsid w:val="3C145651"/>
    <w:rsid w:val="3CAF0272"/>
    <w:rsid w:val="3D1E2332"/>
    <w:rsid w:val="3E17004C"/>
    <w:rsid w:val="3E467DCB"/>
    <w:rsid w:val="3E473FA2"/>
    <w:rsid w:val="3E475C31"/>
    <w:rsid w:val="3EB45FDE"/>
    <w:rsid w:val="3F347611"/>
    <w:rsid w:val="3F890416"/>
    <w:rsid w:val="40214518"/>
    <w:rsid w:val="40801AEB"/>
    <w:rsid w:val="40DD01D1"/>
    <w:rsid w:val="40F92F26"/>
    <w:rsid w:val="41143FA3"/>
    <w:rsid w:val="419D6B2F"/>
    <w:rsid w:val="41C30EDD"/>
    <w:rsid w:val="427079C0"/>
    <w:rsid w:val="4435684F"/>
    <w:rsid w:val="44AD5DEC"/>
    <w:rsid w:val="44DA68EF"/>
    <w:rsid w:val="44E8629D"/>
    <w:rsid w:val="44EF2301"/>
    <w:rsid w:val="44F918B6"/>
    <w:rsid w:val="450677D7"/>
    <w:rsid w:val="46146ADE"/>
    <w:rsid w:val="46D016C6"/>
    <w:rsid w:val="47240BBD"/>
    <w:rsid w:val="47783135"/>
    <w:rsid w:val="49681ABE"/>
    <w:rsid w:val="49780F96"/>
    <w:rsid w:val="49D76F33"/>
    <w:rsid w:val="4AA7093A"/>
    <w:rsid w:val="4B152428"/>
    <w:rsid w:val="4B94781E"/>
    <w:rsid w:val="4C19130B"/>
    <w:rsid w:val="4C3025F1"/>
    <w:rsid w:val="4C612AB2"/>
    <w:rsid w:val="4C886075"/>
    <w:rsid w:val="4CDB0CF3"/>
    <w:rsid w:val="4D1C1162"/>
    <w:rsid w:val="4D2E248A"/>
    <w:rsid w:val="4E6B10BB"/>
    <w:rsid w:val="4E7F7BF0"/>
    <w:rsid w:val="4E9228A8"/>
    <w:rsid w:val="4EC64671"/>
    <w:rsid w:val="4FDB2E77"/>
    <w:rsid w:val="4FEE76C0"/>
    <w:rsid w:val="50245E15"/>
    <w:rsid w:val="502A0A20"/>
    <w:rsid w:val="503C4D46"/>
    <w:rsid w:val="50D17D78"/>
    <w:rsid w:val="50F93256"/>
    <w:rsid w:val="517D2BC0"/>
    <w:rsid w:val="51D61AB4"/>
    <w:rsid w:val="52403F03"/>
    <w:rsid w:val="52F91A80"/>
    <w:rsid w:val="53102B3F"/>
    <w:rsid w:val="533D363F"/>
    <w:rsid w:val="534C3293"/>
    <w:rsid w:val="53AE65D0"/>
    <w:rsid w:val="53EB4CBE"/>
    <w:rsid w:val="54222253"/>
    <w:rsid w:val="54486E8C"/>
    <w:rsid w:val="54C426B3"/>
    <w:rsid w:val="55512113"/>
    <w:rsid w:val="560501F2"/>
    <w:rsid w:val="57216B33"/>
    <w:rsid w:val="572E5C44"/>
    <w:rsid w:val="58627B7D"/>
    <w:rsid w:val="59465FF6"/>
    <w:rsid w:val="59472F4F"/>
    <w:rsid w:val="59986368"/>
    <w:rsid w:val="5BA16B9E"/>
    <w:rsid w:val="5BA82611"/>
    <w:rsid w:val="5BC136C9"/>
    <w:rsid w:val="5C3E512C"/>
    <w:rsid w:val="5C4236B1"/>
    <w:rsid w:val="5DC47303"/>
    <w:rsid w:val="5E9C0B7C"/>
    <w:rsid w:val="5FCD2E7D"/>
    <w:rsid w:val="5FE954A4"/>
    <w:rsid w:val="604D3234"/>
    <w:rsid w:val="61982194"/>
    <w:rsid w:val="62304FA8"/>
    <w:rsid w:val="6298299C"/>
    <w:rsid w:val="62DD4718"/>
    <w:rsid w:val="63FF44D2"/>
    <w:rsid w:val="64265F03"/>
    <w:rsid w:val="649D5FFA"/>
    <w:rsid w:val="64A05AAA"/>
    <w:rsid w:val="64D5AB48"/>
    <w:rsid w:val="65286129"/>
    <w:rsid w:val="659845AD"/>
    <w:rsid w:val="662C4386"/>
    <w:rsid w:val="667970D2"/>
    <w:rsid w:val="6795048A"/>
    <w:rsid w:val="67D3268C"/>
    <w:rsid w:val="67E237D3"/>
    <w:rsid w:val="68AE3600"/>
    <w:rsid w:val="68FC579D"/>
    <w:rsid w:val="6A060CA6"/>
    <w:rsid w:val="6A6E6D8F"/>
    <w:rsid w:val="6A753F97"/>
    <w:rsid w:val="6ACF437D"/>
    <w:rsid w:val="6AD013D3"/>
    <w:rsid w:val="6AEA0306"/>
    <w:rsid w:val="6B686E01"/>
    <w:rsid w:val="6B8575CB"/>
    <w:rsid w:val="6BAE4C9D"/>
    <w:rsid w:val="6BF55A9A"/>
    <w:rsid w:val="6DC20481"/>
    <w:rsid w:val="6DF04E6B"/>
    <w:rsid w:val="6E851695"/>
    <w:rsid w:val="6FA32D1F"/>
    <w:rsid w:val="6FB645A0"/>
    <w:rsid w:val="6FB95E7D"/>
    <w:rsid w:val="708C18BE"/>
    <w:rsid w:val="71340EED"/>
    <w:rsid w:val="71407872"/>
    <w:rsid w:val="715450B9"/>
    <w:rsid w:val="71AD37BF"/>
    <w:rsid w:val="71BE1208"/>
    <w:rsid w:val="71C04CC8"/>
    <w:rsid w:val="721A01B6"/>
    <w:rsid w:val="724163A5"/>
    <w:rsid w:val="725D6403"/>
    <w:rsid w:val="72924518"/>
    <w:rsid w:val="72C93534"/>
    <w:rsid w:val="72D04DD7"/>
    <w:rsid w:val="72D335A6"/>
    <w:rsid w:val="7339262C"/>
    <w:rsid w:val="739C767E"/>
    <w:rsid w:val="73AA43F4"/>
    <w:rsid w:val="74480773"/>
    <w:rsid w:val="74732A9E"/>
    <w:rsid w:val="753F1319"/>
    <w:rsid w:val="758564FE"/>
    <w:rsid w:val="76286F0E"/>
    <w:rsid w:val="76881BAE"/>
    <w:rsid w:val="769D573B"/>
    <w:rsid w:val="76A333E3"/>
    <w:rsid w:val="76BC74BB"/>
    <w:rsid w:val="76C33BAD"/>
    <w:rsid w:val="76E87877"/>
    <w:rsid w:val="78A57761"/>
    <w:rsid w:val="7A5015A6"/>
    <w:rsid w:val="7AF663E1"/>
    <w:rsid w:val="7B0C57EF"/>
    <w:rsid w:val="7B864C2E"/>
    <w:rsid w:val="7BC10593"/>
    <w:rsid w:val="7C072309"/>
    <w:rsid w:val="7D010776"/>
    <w:rsid w:val="7D092201"/>
    <w:rsid w:val="7DE93DD1"/>
    <w:rsid w:val="7E5F5C1E"/>
    <w:rsid w:val="7EB451D3"/>
    <w:rsid w:val="BA7B23C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qFormat="1" w:unhideWhenUsed="0" w:uiPriority="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qFormat="1" w:uiPriority="0" w:semiHidden="0"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8"/>
    <w:qFormat/>
    <w:uiPriority w:val="0"/>
    <w:pPr>
      <w:keepNext/>
      <w:keepLines/>
      <w:spacing w:before="340" w:after="330" w:line="578" w:lineRule="auto"/>
      <w:outlineLvl w:val="0"/>
    </w:pPr>
    <w:rPr>
      <w:rFonts w:eastAsia="黑体"/>
      <w:b/>
      <w:bCs/>
      <w:kern w:val="44"/>
      <w:sz w:val="32"/>
      <w:szCs w:val="44"/>
    </w:rPr>
  </w:style>
  <w:style w:type="paragraph" w:styleId="3">
    <w:name w:val="heading 2"/>
    <w:basedOn w:val="2"/>
    <w:next w:val="1"/>
    <w:link w:val="59"/>
    <w:qFormat/>
    <w:uiPriority w:val="0"/>
    <w:pPr>
      <w:numPr>
        <w:ilvl w:val="0"/>
        <w:numId w:val="1"/>
      </w:numPr>
      <w:spacing w:before="260" w:after="260" w:line="415" w:lineRule="auto"/>
      <w:outlineLvl w:val="1"/>
    </w:pPr>
    <w:rPr>
      <w:rFonts w:ascii="黑体" w:hAnsi="黑体"/>
      <w:sz w:val="30"/>
      <w:szCs w:val="30"/>
    </w:rPr>
  </w:style>
  <w:style w:type="paragraph" w:styleId="4">
    <w:name w:val="heading 3"/>
    <w:basedOn w:val="1"/>
    <w:next w:val="1"/>
    <w:link w:val="60"/>
    <w:qFormat/>
    <w:uiPriority w:val="9"/>
    <w:pPr>
      <w:keepNext/>
      <w:keepLines/>
      <w:spacing w:before="260" w:after="260" w:line="416" w:lineRule="auto"/>
      <w:outlineLvl w:val="2"/>
    </w:pPr>
    <w:rPr>
      <w:b/>
      <w:bCs/>
      <w:kern w:val="0"/>
      <w:sz w:val="32"/>
      <w:szCs w:val="32"/>
    </w:rPr>
  </w:style>
  <w:style w:type="paragraph" w:styleId="5">
    <w:name w:val="heading 4"/>
    <w:basedOn w:val="3"/>
    <w:next w:val="6"/>
    <w:link w:val="61"/>
    <w:qFormat/>
    <w:uiPriority w:val="0"/>
    <w:pPr>
      <w:numPr>
        <w:ilvl w:val="0"/>
        <w:numId w:val="2"/>
      </w:numPr>
      <w:outlineLvl w:val="3"/>
    </w:pPr>
    <w:rPr>
      <w:b w:val="0"/>
      <w:sz w:val="28"/>
    </w:rPr>
  </w:style>
  <w:style w:type="paragraph" w:styleId="6">
    <w:name w:val="heading 5"/>
    <w:basedOn w:val="5"/>
    <w:next w:val="7"/>
    <w:link w:val="62"/>
    <w:qFormat/>
    <w:uiPriority w:val="0"/>
    <w:pPr>
      <w:numPr>
        <w:ilvl w:val="0"/>
        <w:numId w:val="3"/>
      </w:numPr>
      <w:spacing w:line="360" w:lineRule="auto"/>
      <w:outlineLvl w:val="4"/>
    </w:pPr>
    <w:rPr>
      <w:rFonts w:eastAsia="宋体"/>
      <w:sz w:val="24"/>
    </w:rPr>
  </w:style>
  <w:style w:type="paragraph" w:styleId="8">
    <w:name w:val="heading 6"/>
    <w:basedOn w:val="1"/>
    <w:next w:val="1"/>
    <w:link w:val="63"/>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szCs w:val="24"/>
    </w:rPr>
  </w:style>
  <w:style w:type="paragraph" w:styleId="9">
    <w:name w:val="heading 7"/>
    <w:basedOn w:val="1"/>
    <w:next w:val="7"/>
    <w:link w:val="64"/>
    <w:qFormat/>
    <w:uiPriority w:val="0"/>
    <w:pPr>
      <w:keepNext/>
      <w:keepLines/>
      <w:spacing w:before="240" w:after="64" w:line="320" w:lineRule="auto"/>
      <w:outlineLvl w:val="6"/>
    </w:pPr>
    <w:rPr>
      <w:rFonts w:ascii="Times New Roman" w:hAnsi="Times New Roman"/>
      <w:b/>
      <w:kern w:val="0"/>
      <w:sz w:val="24"/>
      <w:szCs w:val="20"/>
    </w:rPr>
  </w:style>
  <w:style w:type="paragraph" w:styleId="10">
    <w:name w:val="heading 8"/>
    <w:basedOn w:val="1"/>
    <w:next w:val="7"/>
    <w:link w:val="65"/>
    <w:qFormat/>
    <w:uiPriority w:val="0"/>
    <w:pPr>
      <w:keepNext/>
      <w:keepLines/>
      <w:spacing w:before="240" w:after="64" w:line="320" w:lineRule="auto"/>
      <w:outlineLvl w:val="7"/>
    </w:pPr>
    <w:rPr>
      <w:rFonts w:ascii="Arial" w:hAnsi="Arial" w:eastAsia="黑体"/>
      <w:kern w:val="0"/>
      <w:sz w:val="24"/>
      <w:szCs w:val="20"/>
    </w:rPr>
  </w:style>
  <w:style w:type="paragraph" w:styleId="11">
    <w:name w:val="heading 9"/>
    <w:basedOn w:val="1"/>
    <w:next w:val="7"/>
    <w:link w:val="66"/>
    <w:qFormat/>
    <w:uiPriority w:val="0"/>
    <w:pPr>
      <w:keepNext/>
      <w:keepLines/>
      <w:spacing w:before="240" w:after="64" w:line="320" w:lineRule="auto"/>
      <w:outlineLvl w:val="8"/>
    </w:pPr>
    <w:rPr>
      <w:rFonts w:ascii="Arial" w:hAnsi="Arial" w:eastAsia="黑体"/>
      <w:kern w:val="0"/>
      <w:sz w:val="20"/>
      <w:szCs w:val="20"/>
    </w:rPr>
  </w:style>
  <w:style w:type="character" w:default="1" w:styleId="46">
    <w:name w:val="Default Paragraph Font"/>
    <w:unhideWhenUsed/>
    <w:qFormat/>
    <w:uiPriority w:val="1"/>
  </w:style>
  <w:style w:type="table" w:default="1" w:styleId="42">
    <w:name w:val="Normal Table"/>
    <w:unhideWhenUsed/>
    <w:qFormat/>
    <w:uiPriority w:val="99"/>
    <w:tblPr>
      <w:tblCellMar>
        <w:top w:w="0" w:type="dxa"/>
        <w:left w:w="108" w:type="dxa"/>
        <w:bottom w:w="0" w:type="dxa"/>
        <w:right w:w="108" w:type="dxa"/>
      </w:tblCellMar>
    </w:tblPr>
  </w:style>
  <w:style w:type="paragraph" w:styleId="7">
    <w:name w:val="Normal Indent"/>
    <w:basedOn w:val="1"/>
    <w:next w:val="1"/>
    <w:link w:val="57"/>
    <w:unhideWhenUsed/>
    <w:qFormat/>
    <w:uiPriority w:val="0"/>
    <w:pPr>
      <w:ind w:firstLine="420" w:firstLineChars="200"/>
    </w:pPr>
  </w:style>
  <w:style w:type="paragraph" w:styleId="12">
    <w:name w:val="toc 7"/>
    <w:basedOn w:val="1"/>
    <w:next w:val="1"/>
    <w:unhideWhenUsed/>
    <w:qFormat/>
    <w:uiPriority w:val="39"/>
    <w:pPr>
      <w:ind w:left="2520" w:leftChars="1200"/>
    </w:pPr>
  </w:style>
  <w:style w:type="paragraph" w:styleId="13">
    <w:name w:val="Document Map"/>
    <w:basedOn w:val="1"/>
    <w:link w:val="67"/>
    <w:semiHidden/>
    <w:qFormat/>
    <w:uiPriority w:val="0"/>
    <w:pPr>
      <w:shd w:val="clear" w:color="auto" w:fill="000080"/>
    </w:pPr>
    <w:rPr>
      <w:rFonts w:ascii="Times New Roman" w:hAnsi="Times New Roman"/>
      <w:kern w:val="0"/>
      <w:sz w:val="20"/>
      <w:szCs w:val="24"/>
    </w:rPr>
  </w:style>
  <w:style w:type="paragraph" w:styleId="14">
    <w:name w:val="annotation text"/>
    <w:basedOn w:val="1"/>
    <w:link w:val="68"/>
    <w:unhideWhenUsed/>
    <w:qFormat/>
    <w:uiPriority w:val="99"/>
    <w:pPr>
      <w:jc w:val="left"/>
    </w:pPr>
  </w:style>
  <w:style w:type="paragraph" w:styleId="15">
    <w:name w:val="Body Text 3"/>
    <w:basedOn w:val="1"/>
    <w:link w:val="69"/>
    <w:unhideWhenUsed/>
    <w:qFormat/>
    <w:uiPriority w:val="99"/>
    <w:pPr>
      <w:spacing w:after="120"/>
    </w:pPr>
    <w:rPr>
      <w:sz w:val="16"/>
      <w:szCs w:val="16"/>
    </w:rPr>
  </w:style>
  <w:style w:type="paragraph" w:styleId="16">
    <w:name w:val="Body Text"/>
    <w:basedOn w:val="1"/>
    <w:link w:val="70"/>
    <w:unhideWhenUsed/>
    <w:qFormat/>
    <w:uiPriority w:val="99"/>
    <w:pPr>
      <w:spacing w:after="120"/>
    </w:pPr>
    <w:rPr>
      <w:kern w:val="0"/>
      <w:sz w:val="20"/>
      <w:szCs w:val="20"/>
    </w:rPr>
  </w:style>
  <w:style w:type="paragraph" w:styleId="17">
    <w:name w:val="Body Text Indent"/>
    <w:basedOn w:val="1"/>
    <w:link w:val="71"/>
    <w:qFormat/>
    <w:uiPriority w:val="0"/>
    <w:pPr>
      <w:spacing w:after="120"/>
      <w:ind w:left="420" w:leftChars="200"/>
    </w:pPr>
    <w:rPr>
      <w:rFonts w:ascii="Times New Roman" w:hAnsi="Times New Roman"/>
      <w:kern w:val="0"/>
      <w:sz w:val="20"/>
      <w:szCs w:val="24"/>
    </w:rPr>
  </w:style>
  <w:style w:type="paragraph" w:styleId="18">
    <w:name w:val="toc 5"/>
    <w:basedOn w:val="1"/>
    <w:next w:val="1"/>
    <w:unhideWhenUsed/>
    <w:qFormat/>
    <w:uiPriority w:val="39"/>
    <w:pPr>
      <w:ind w:left="1680" w:leftChars="800"/>
    </w:pPr>
  </w:style>
  <w:style w:type="paragraph" w:styleId="19">
    <w:name w:val="toc 3"/>
    <w:basedOn w:val="1"/>
    <w:next w:val="1"/>
    <w:unhideWhenUsed/>
    <w:qFormat/>
    <w:uiPriority w:val="39"/>
    <w:pPr>
      <w:widowControl/>
      <w:spacing w:after="100" w:line="276" w:lineRule="auto"/>
      <w:ind w:left="440"/>
      <w:jc w:val="left"/>
    </w:pPr>
    <w:rPr>
      <w:kern w:val="0"/>
      <w:sz w:val="22"/>
    </w:rPr>
  </w:style>
  <w:style w:type="paragraph" w:styleId="20">
    <w:name w:val="Plain Text"/>
    <w:basedOn w:val="1"/>
    <w:next w:val="1"/>
    <w:link w:val="72"/>
    <w:qFormat/>
    <w:uiPriority w:val="0"/>
    <w:rPr>
      <w:rFonts w:ascii="宋体" w:hAnsi="Courier New" w:eastAsia="楷体_GB2312"/>
      <w:kern w:val="0"/>
      <w:sz w:val="20"/>
      <w:szCs w:val="24"/>
    </w:rPr>
  </w:style>
  <w:style w:type="paragraph" w:styleId="21">
    <w:name w:val="toc 8"/>
    <w:basedOn w:val="1"/>
    <w:next w:val="1"/>
    <w:unhideWhenUsed/>
    <w:qFormat/>
    <w:uiPriority w:val="39"/>
    <w:pPr>
      <w:ind w:left="2940" w:leftChars="1400"/>
    </w:pPr>
  </w:style>
  <w:style w:type="paragraph" w:styleId="22">
    <w:name w:val="Date"/>
    <w:basedOn w:val="1"/>
    <w:next w:val="1"/>
    <w:link w:val="73"/>
    <w:unhideWhenUsed/>
    <w:qFormat/>
    <w:uiPriority w:val="0"/>
    <w:pPr>
      <w:ind w:left="100" w:leftChars="2500"/>
    </w:pPr>
  </w:style>
  <w:style w:type="paragraph" w:styleId="23">
    <w:name w:val="Body Text Indent 2"/>
    <w:basedOn w:val="1"/>
    <w:link w:val="74"/>
    <w:qFormat/>
    <w:uiPriority w:val="0"/>
    <w:pPr>
      <w:spacing w:after="120" w:line="480" w:lineRule="auto"/>
      <w:ind w:left="420" w:leftChars="200"/>
    </w:pPr>
    <w:rPr>
      <w:rFonts w:ascii="Times New Roman" w:hAnsi="Times New Roman"/>
      <w:kern w:val="0"/>
      <w:sz w:val="20"/>
      <w:szCs w:val="24"/>
    </w:rPr>
  </w:style>
  <w:style w:type="paragraph" w:styleId="24">
    <w:name w:val="endnote text"/>
    <w:basedOn w:val="1"/>
    <w:link w:val="75"/>
    <w:unhideWhenUsed/>
    <w:qFormat/>
    <w:uiPriority w:val="99"/>
    <w:pPr>
      <w:snapToGrid w:val="0"/>
      <w:jc w:val="left"/>
    </w:pPr>
  </w:style>
  <w:style w:type="paragraph" w:styleId="25">
    <w:name w:val="Balloon Text"/>
    <w:basedOn w:val="1"/>
    <w:link w:val="76"/>
    <w:unhideWhenUsed/>
    <w:qFormat/>
    <w:uiPriority w:val="99"/>
    <w:rPr>
      <w:kern w:val="0"/>
      <w:sz w:val="18"/>
      <w:szCs w:val="18"/>
    </w:rPr>
  </w:style>
  <w:style w:type="paragraph" w:styleId="26">
    <w:name w:val="footer"/>
    <w:basedOn w:val="1"/>
    <w:link w:val="77"/>
    <w:unhideWhenUsed/>
    <w:qFormat/>
    <w:uiPriority w:val="99"/>
    <w:pPr>
      <w:tabs>
        <w:tab w:val="center" w:pos="4153"/>
        <w:tab w:val="right" w:pos="8306"/>
      </w:tabs>
      <w:snapToGrid w:val="0"/>
      <w:jc w:val="left"/>
    </w:pPr>
    <w:rPr>
      <w:kern w:val="0"/>
      <w:sz w:val="18"/>
      <w:szCs w:val="18"/>
    </w:rPr>
  </w:style>
  <w:style w:type="paragraph" w:styleId="27">
    <w:name w:val="envelope return"/>
    <w:basedOn w:val="1"/>
    <w:qFormat/>
    <w:uiPriority w:val="0"/>
    <w:pPr>
      <w:snapToGrid w:val="0"/>
    </w:pPr>
    <w:rPr>
      <w:rFonts w:ascii="Arial" w:hAnsi="Arial" w:cs="Arial"/>
      <w:szCs w:val="24"/>
    </w:rPr>
  </w:style>
  <w:style w:type="paragraph" w:styleId="28">
    <w:name w:val="header"/>
    <w:basedOn w:val="1"/>
    <w:link w:val="78"/>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widowControl/>
      <w:spacing w:after="100" w:line="276" w:lineRule="auto"/>
      <w:jc w:val="left"/>
    </w:pPr>
    <w:rPr>
      <w:kern w:val="0"/>
      <w:sz w:val="22"/>
    </w:rPr>
  </w:style>
  <w:style w:type="paragraph" w:styleId="30">
    <w:name w:val="toc 4"/>
    <w:basedOn w:val="1"/>
    <w:next w:val="1"/>
    <w:unhideWhenUsed/>
    <w:qFormat/>
    <w:uiPriority w:val="39"/>
    <w:pPr>
      <w:ind w:left="1260" w:leftChars="600"/>
    </w:pPr>
  </w:style>
  <w:style w:type="paragraph" w:styleId="31">
    <w:name w:val="toc 6"/>
    <w:basedOn w:val="1"/>
    <w:next w:val="1"/>
    <w:unhideWhenUsed/>
    <w:qFormat/>
    <w:uiPriority w:val="39"/>
    <w:pPr>
      <w:ind w:left="2100" w:leftChars="1000"/>
    </w:pPr>
  </w:style>
  <w:style w:type="paragraph" w:styleId="32">
    <w:name w:val="Body Text Indent 3"/>
    <w:basedOn w:val="1"/>
    <w:link w:val="79"/>
    <w:qFormat/>
    <w:uiPriority w:val="0"/>
    <w:pPr>
      <w:spacing w:after="120"/>
      <w:ind w:left="420" w:leftChars="200"/>
    </w:pPr>
    <w:rPr>
      <w:rFonts w:ascii="Times New Roman" w:hAnsi="Times New Roman"/>
      <w:kern w:val="0"/>
      <w:sz w:val="16"/>
      <w:szCs w:val="16"/>
    </w:rPr>
  </w:style>
  <w:style w:type="paragraph" w:styleId="33">
    <w:name w:val="toc 2"/>
    <w:basedOn w:val="1"/>
    <w:next w:val="1"/>
    <w:unhideWhenUsed/>
    <w:qFormat/>
    <w:uiPriority w:val="39"/>
    <w:pPr>
      <w:widowControl/>
      <w:spacing w:after="100" w:line="276" w:lineRule="auto"/>
      <w:ind w:left="220"/>
      <w:jc w:val="left"/>
    </w:pPr>
    <w:rPr>
      <w:kern w:val="0"/>
      <w:sz w:val="22"/>
    </w:rPr>
  </w:style>
  <w:style w:type="paragraph" w:styleId="34">
    <w:name w:val="toc 9"/>
    <w:basedOn w:val="1"/>
    <w:next w:val="1"/>
    <w:unhideWhenUsed/>
    <w:qFormat/>
    <w:uiPriority w:val="39"/>
    <w:pPr>
      <w:ind w:left="3360" w:leftChars="1600"/>
    </w:pPr>
  </w:style>
  <w:style w:type="paragraph" w:styleId="35">
    <w:name w:val="Body Text 2"/>
    <w:basedOn w:val="1"/>
    <w:link w:val="80"/>
    <w:unhideWhenUsed/>
    <w:qFormat/>
    <w:uiPriority w:val="0"/>
    <w:rPr>
      <w:rFonts w:ascii="宋体" w:hAnsi="宋体" w:eastAsia="楷体_GB2312"/>
      <w:kern w:val="0"/>
      <w:sz w:val="20"/>
      <w:szCs w:val="24"/>
      <w:u w:val="single"/>
    </w:rPr>
  </w:style>
  <w:style w:type="paragraph" w:styleId="36">
    <w:name w:val="Normal (Web)"/>
    <w:basedOn w:val="1"/>
    <w:qFormat/>
    <w:uiPriority w:val="99"/>
    <w:pPr>
      <w:widowControl/>
      <w:spacing w:before="100" w:beforeAutospacing="1" w:after="100" w:afterAutospacing="1"/>
      <w:jc w:val="left"/>
    </w:pPr>
    <w:rPr>
      <w:rFonts w:ascii="Times New Roman" w:hAnsi="Times New Roman"/>
      <w:kern w:val="0"/>
      <w:sz w:val="24"/>
      <w:szCs w:val="24"/>
    </w:rPr>
  </w:style>
  <w:style w:type="paragraph" w:styleId="37">
    <w:name w:val="index 1"/>
    <w:basedOn w:val="1"/>
    <w:next w:val="1"/>
    <w:semiHidden/>
    <w:qFormat/>
    <w:uiPriority w:val="0"/>
    <w:pPr>
      <w:spacing w:line="220" w:lineRule="exact"/>
      <w:jc w:val="center"/>
    </w:pPr>
    <w:rPr>
      <w:rFonts w:ascii="仿宋_GB2312" w:hAnsi="Times New Roman" w:eastAsia="仿宋_GB2312"/>
      <w:szCs w:val="21"/>
    </w:rPr>
  </w:style>
  <w:style w:type="paragraph" w:styleId="38">
    <w:name w:val="Title"/>
    <w:basedOn w:val="1"/>
    <w:link w:val="81"/>
    <w:qFormat/>
    <w:uiPriority w:val="0"/>
    <w:pPr>
      <w:spacing w:before="120" w:after="60"/>
      <w:jc w:val="center"/>
    </w:pPr>
    <w:rPr>
      <w:rFonts w:ascii="Arial" w:hAnsi="Arial" w:eastAsia="楷体_GB2312"/>
      <w:b/>
      <w:kern w:val="0"/>
      <w:sz w:val="44"/>
      <w:szCs w:val="20"/>
    </w:rPr>
  </w:style>
  <w:style w:type="paragraph" w:styleId="39">
    <w:name w:val="annotation subject"/>
    <w:basedOn w:val="14"/>
    <w:next w:val="14"/>
    <w:link w:val="82"/>
    <w:unhideWhenUsed/>
    <w:qFormat/>
    <w:uiPriority w:val="99"/>
    <w:rPr>
      <w:b/>
      <w:bCs/>
    </w:rPr>
  </w:style>
  <w:style w:type="paragraph" w:styleId="40">
    <w:name w:val="Body Text First Indent"/>
    <w:basedOn w:val="16"/>
    <w:link w:val="83"/>
    <w:qFormat/>
    <w:uiPriority w:val="0"/>
    <w:pPr>
      <w:ind w:firstLine="420"/>
    </w:pPr>
    <w:rPr>
      <w:rFonts w:ascii="Times New Roman" w:hAnsi="Times New Roman" w:eastAsia="楷体_GB2312"/>
    </w:rPr>
  </w:style>
  <w:style w:type="paragraph" w:styleId="41">
    <w:name w:val="Body Text First Indent 2"/>
    <w:basedOn w:val="17"/>
    <w:link w:val="84"/>
    <w:qFormat/>
    <w:uiPriority w:val="99"/>
    <w:pPr>
      <w:ind w:firstLine="420" w:firstLineChars="200"/>
    </w:pPr>
    <w:rPr>
      <w:rFonts w:ascii="Calibri" w:hAnsi="Calibri"/>
      <w:kern w:val="2"/>
      <w:sz w:val="21"/>
      <w:szCs w:val="22"/>
    </w:rPr>
  </w:style>
  <w:style w:type="table" w:styleId="43">
    <w:name w:val="Table Grid"/>
    <w:basedOn w:val="42"/>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4">
    <w:name w:val="Table Theme"/>
    <w:basedOn w:val="42"/>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5">
    <w:name w:val="Table Professional"/>
    <w:basedOn w:val="42"/>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47">
    <w:name w:val="Strong"/>
    <w:qFormat/>
    <w:uiPriority w:val="0"/>
    <w:rPr>
      <w:rFonts w:eastAsia="宋体"/>
      <w:b/>
      <w:bCs/>
      <w:kern w:val="2"/>
      <w:sz w:val="24"/>
      <w:szCs w:val="24"/>
      <w:lang w:val="en-US" w:eastAsia="zh-CN" w:bidi="ar-SA"/>
    </w:rPr>
  </w:style>
  <w:style w:type="character" w:styleId="48">
    <w:name w:val="endnote reference"/>
    <w:semiHidden/>
    <w:qFormat/>
    <w:uiPriority w:val="0"/>
    <w:rPr>
      <w:rFonts w:eastAsia="宋体"/>
      <w:kern w:val="2"/>
      <w:sz w:val="24"/>
      <w:szCs w:val="24"/>
      <w:vertAlign w:val="superscript"/>
      <w:lang w:val="en-US" w:eastAsia="zh-CN" w:bidi="ar-SA"/>
    </w:rPr>
  </w:style>
  <w:style w:type="character" w:styleId="49">
    <w:name w:val="page number"/>
    <w:qFormat/>
    <w:uiPriority w:val="0"/>
    <w:rPr>
      <w:rFonts w:ascii="Arial" w:hAnsi="Arial" w:eastAsia="黑体"/>
      <w:kern w:val="2"/>
      <w:sz w:val="21"/>
      <w:szCs w:val="21"/>
      <w:lang w:val="en-US" w:eastAsia="zh-CN" w:bidi="ar-SA"/>
    </w:rPr>
  </w:style>
  <w:style w:type="character" w:styleId="50">
    <w:name w:val="FollowedHyperlink"/>
    <w:qFormat/>
    <w:uiPriority w:val="0"/>
    <w:rPr>
      <w:rFonts w:ascii="Arial" w:hAnsi="Arial" w:eastAsia="黑体"/>
      <w:color w:val="800080"/>
      <w:kern w:val="2"/>
      <w:sz w:val="21"/>
      <w:szCs w:val="21"/>
      <w:u w:val="single"/>
      <w:lang w:val="en-US" w:eastAsia="zh-CN" w:bidi="ar-SA"/>
    </w:rPr>
  </w:style>
  <w:style w:type="character" w:styleId="51">
    <w:name w:val="Emphasis"/>
    <w:qFormat/>
    <w:uiPriority w:val="20"/>
    <w:rPr>
      <w:i/>
      <w:iCs/>
    </w:rPr>
  </w:style>
  <w:style w:type="character" w:styleId="52">
    <w:name w:val="HTML Definition"/>
    <w:basedOn w:val="46"/>
    <w:semiHidden/>
    <w:unhideWhenUsed/>
    <w:qFormat/>
    <w:uiPriority w:val="99"/>
  </w:style>
  <w:style w:type="character" w:styleId="53">
    <w:name w:val="HTML Variable"/>
    <w:basedOn w:val="46"/>
    <w:semiHidden/>
    <w:unhideWhenUsed/>
    <w:qFormat/>
    <w:uiPriority w:val="99"/>
    <w:rPr>
      <w:color w:val="F56C6C"/>
      <w:sz w:val="18"/>
      <w:szCs w:val="18"/>
    </w:rPr>
  </w:style>
  <w:style w:type="character" w:styleId="54">
    <w:name w:val="Hyperlink"/>
    <w:qFormat/>
    <w:uiPriority w:val="99"/>
    <w:rPr>
      <w:rFonts w:ascii="Arial" w:hAnsi="Arial" w:eastAsia="黑体"/>
      <w:color w:val="0000FF"/>
      <w:kern w:val="2"/>
      <w:sz w:val="21"/>
      <w:szCs w:val="21"/>
      <w:u w:val="single"/>
      <w:lang w:val="en-US" w:eastAsia="zh-CN" w:bidi="ar-SA"/>
    </w:rPr>
  </w:style>
  <w:style w:type="character" w:styleId="55">
    <w:name w:val="annotation reference"/>
    <w:unhideWhenUsed/>
    <w:qFormat/>
    <w:uiPriority w:val="99"/>
    <w:rPr>
      <w:sz w:val="21"/>
      <w:szCs w:val="21"/>
    </w:rPr>
  </w:style>
  <w:style w:type="character" w:styleId="56">
    <w:name w:val="HTML Cite"/>
    <w:basedOn w:val="46"/>
    <w:semiHidden/>
    <w:unhideWhenUsed/>
    <w:qFormat/>
    <w:uiPriority w:val="99"/>
  </w:style>
  <w:style w:type="character" w:customStyle="1" w:styleId="57">
    <w:name w:val="正文缩进 Char"/>
    <w:link w:val="7"/>
    <w:qFormat/>
    <w:uiPriority w:val="0"/>
    <w:rPr>
      <w:kern w:val="2"/>
      <w:sz w:val="21"/>
      <w:szCs w:val="22"/>
    </w:rPr>
  </w:style>
  <w:style w:type="character" w:customStyle="1" w:styleId="58">
    <w:name w:val="标题 1 Char"/>
    <w:link w:val="2"/>
    <w:qFormat/>
    <w:uiPriority w:val="0"/>
    <w:rPr>
      <w:rFonts w:eastAsia="黑体"/>
      <w:b/>
      <w:bCs/>
      <w:kern w:val="44"/>
      <w:sz w:val="32"/>
      <w:szCs w:val="44"/>
    </w:rPr>
  </w:style>
  <w:style w:type="character" w:customStyle="1" w:styleId="59">
    <w:name w:val="标题 2 Char"/>
    <w:link w:val="3"/>
    <w:qFormat/>
    <w:uiPriority w:val="0"/>
    <w:rPr>
      <w:rFonts w:ascii="黑体" w:hAnsi="黑体" w:eastAsia="黑体" w:cs="宋体"/>
      <w:b/>
      <w:bCs/>
      <w:kern w:val="44"/>
      <w:sz w:val="30"/>
      <w:szCs w:val="30"/>
    </w:rPr>
  </w:style>
  <w:style w:type="character" w:customStyle="1" w:styleId="60">
    <w:name w:val="标题 3 Char"/>
    <w:link w:val="4"/>
    <w:qFormat/>
    <w:uiPriority w:val="9"/>
    <w:rPr>
      <w:b/>
      <w:bCs/>
      <w:sz w:val="32"/>
      <w:szCs w:val="32"/>
    </w:rPr>
  </w:style>
  <w:style w:type="character" w:customStyle="1" w:styleId="61">
    <w:name w:val="标题 4 Char"/>
    <w:link w:val="5"/>
    <w:qFormat/>
    <w:uiPriority w:val="0"/>
    <w:rPr>
      <w:rFonts w:ascii="黑体" w:hAnsi="黑体" w:eastAsia="黑体" w:cs="宋体"/>
      <w:bCs/>
      <w:kern w:val="44"/>
      <w:sz w:val="28"/>
      <w:szCs w:val="30"/>
    </w:rPr>
  </w:style>
  <w:style w:type="character" w:customStyle="1" w:styleId="62">
    <w:name w:val="标题 5 Char"/>
    <w:link w:val="6"/>
    <w:qFormat/>
    <w:uiPriority w:val="0"/>
    <w:rPr>
      <w:rFonts w:ascii="黑体" w:hAnsi="黑体" w:cs="宋体"/>
      <w:bCs/>
      <w:kern w:val="44"/>
      <w:sz w:val="24"/>
      <w:szCs w:val="30"/>
    </w:rPr>
  </w:style>
  <w:style w:type="character" w:customStyle="1" w:styleId="63">
    <w:name w:val="标题 6 Char"/>
    <w:link w:val="8"/>
    <w:qFormat/>
    <w:uiPriority w:val="0"/>
    <w:rPr>
      <w:rFonts w:ascii="Arial" w:hAnsi="Arial" w:eastAsia="黑体"/>
      <w:b/>
      <w:bCs/>
      <w:sz w:val="24"/>
      <w:szCs w:val="24"/>
    </w:rPr>
  </w:style>
  <w:style w:type="character" w:customStyle="1" w:styleId="64">
    <w:name w:val="标题 7 Char"/>
    <w:link w:val="9"/>
    <w:qFormat/>
    <w:uiPriority w:val="0"/>
    <w:rPr>
      <w:rFonts w:ascii="Times New Roman" w:hAnsi="Times New Roman"/>
      <w:b/>
      <w:sz w:val="24"/>
    </w:rPr>
  </w:style>
  <w:style w:type="character" w:customStyle="1" w:styleId="65">
    <w:name w:val="标题 8 Char"/>
    <w:link w:val="10"/>
    <w:qFormat/>
    <w:uiPriority w:val="0"/>
    <w:rPr>
      <w:rFonts w:ascii="Arial" w:hAnsi="Arial" w:eastAsia="黑体"/>
      <w:sz w:val="24"/>
    </w:rPr>
  </w:style>
  <w:style w:type="character" w:customStyle="1" w:styleId="66">
    <w:name w:val="标题 9 Char"/>
    <w:link w:val="11"/>
    <w:qFormat/>
    <w:uiPriority w:val="0"/>
    <w:rPr>
      <w:rFonts w:ascii="Arial" w:hAnsi="Arial" w:eastAsia="黑体"/>
    </w:rPr>
  </w:style>
  <w:style w:type="character" w:customStyle="1" w:styleId="67">
    <w:name w:val="文档结构图 Char"/>
    <w:link w:val="13"/>
    <w:semiHidden/>
    <w:qFormat/>
    <w:uiPriority w:val="0"/>
    <w:rPr>
      <w:rFonts w:ascii="Times New Roman" w:hAnsi="Times New Roman"/>
      <w:szCs w:val="24"/>
      <w:shd w:val="clear" w:color="auto" w:fill="000080"/>
    </w:rPr>
  </w:style>
  <w:style w:type="character" w:customStyle="1" w:styleId="68">
    <w:name w:val="批注文字 Char"/>
    <w:link w:val="14"/>
    <w:qFormat/>
    <w:uiPriority w:val="99"/>
    <w:rPr>
      <w:kern w:val="2"/>
      <w:sz w:val="21"/>
      <w:szCs w:val="22"/>
    </w:rPr>
  </w:style>
  <w:style w:type="character" w:customStyle="1" w:styleId="69">
    <w:name w:val="正文文本 3 Char"/>
    <w:link w:val="15"/>
    <w:qFormat/>
    <w:uiPriority w:val="99"/>
    <w:rPr>
      <w:kern w:val="2"/>
      <w:sz w:val="16"/>
      <w:szCs w:val="16"/>
    </w:rPr>
  </w:style>
  <w:style w:type="character" w:customStyle="1" w:styleId="70">
    <w:name w:val="正文文本 Char"/>
    <w:link w:val="16"/>
    <w:semiHidden/>
    <w:qFormat/>
    <w:uiPriority w:val="99"/>
    <w:rPr>
      <w:rFonts w:ascii="Calibri" w:hAnsi="Calibri" w:eastAsia="宋体" w:cs="Times New Roman"/>
    </w:rPr>
  </w:style>
  <w:style w:type="character" w:customStyle="1" w:styleId="71">
    <w:name w:val="正文文本缩进 Char"/>
    <w:link w:val="17"/>
    <w:qFormat/>
    <w:uiPriority w:val="0"/>
    <w:rPr>
      <w:rFonts w:ascii="Times New Roman" w:hAnsi="Times New Roman"/>
      <w:szCs w:val="24"/>
    </w:rPr>
  </w:style>
  <w:style w:type="character" w:customStyle="1" w:styleId="72">
    <w:name w:val="纯文本 Char"/>
    <w:link w:val="20"/>
    <w:qFormat/>
    <w:locked/>
    <w:uiPriority w:val="0"/>
    <w:rPr>
      <w:rFonts w:ascii="宋体" w:hAnsi="Courier New" w:eastAsia="楷体_GB2312"/>
      <w:szCs w:val="24"/>
    </w:rPr>
  </w:style>
  <w:style w:type="character" w:customStyle="1" w:styleId="73">
    <w:name w:val="日期 Char"/>
    <w:link w:val="22"/>
    <w:qFormat/>
    <w:uiPriority w:val="0"/>
    <w:rPr>
      <w:kern w:val="2"/>
      <w:sz w:val="21"/>
      <w:szCs w:val="22"/>
    </w:rPr>
  </w:style>
  <w:style w:type="character" w:customStyle="1" w:styleId="74">
    <w:name w:val="正文文本缩进 2 Char"/>
    <w:link w:val="23"/>
    <w:qFormat/>
    <w:uiPriority w:val="0"/>
    <w:rPr>
      <w:rFonts w:ascii="Times New Roman" w:hAnsi="Times New Roman"/>
      <w:szCs w:val="24"/>
    </w:rPr>
  </w:style>
  <w:style w:type="character" w:customStyle="1" w:styleId="75">
    <w:name w:val="尾注文本 Char"/>
    <w:link w:val="24"/>
    <w:qFormat/>
    <w:uiPriority w:val="99"/>
    <w:rPr>
      <w:kern w:val="2"/>
      <w:sz w:val="21"/>
      <w:szCs w:val="22"/>
    </w:rPr>
  </w:style>
  <w:style w:type="character" w:customStyle="1" w:styleId="76">
    <w:name w:val="批注框文本 Char"/>
    <w:link w:val="25"/>
    <w:qFormat/>
    <w:uiPriority w:val="99"/>
    <w:rPr>
      <w:rFonts w:ascii="Calibri" w:hAnsi="Calibri" w:eastAsia="宋体" w:cs="Times New Roman"/>
      <w:sz w:val="18"/>
      <w:szCs w:val="18"/>
    </w:rPr>
  </w:style>
  <w:style w:type="character" w:customStyle="1" w:styleId="77">
    <w:name w:val="页脚 Char"/>
    <w:link w:val="26"/>
    <w:qFormat/>
    <w:uiPriority w:val="99"/>
    <w:rPr>
      <w:sz w:val="18"/>
      <w:szCs w:val="18"/>
    </w:rPr>
  </w:style>
  <w:style w:type="character" w:customStyle="1" w:styleId="78">
    <w:name w:val="页眉 Char"/>
    <w:link w:val="28"/>
    <w:qFormat/>
    <w:uiPriority w:val="99"/>
    <w:rPr>
      <w:sz w:val="18"/>
      <w:szCs w:val="18"/>
    </w:rPr>
  </w:style>
  <w:style w:type="character" w:customStyle="1" w:styleId="79">
    <w:name w:val="正文文本缩进 3 Char"/>
    <w:link w:val="32"/>
    <w:qFormat/>
    <w:uiPriority w:val="0"/>
    <w:rPr>
      <w:rFonts w:ascii="Times New Roman" w:hAnsi="Times New Roman"/>
      <w:sz w:val="16"/>
      <w:szCs w:val="16"/>
    </w:rPr>
  </w:style>
  <w:style w:type="character" w:customStyle="1" w:styleId="80">
    <w:name w:val="正文文本 2 Char"/>
    <w:link w:val="35"/>
    <w:qFormat/>
    <w:uiPriority w:val="0"/>
    <w:rPr>
      <w:rFonts w:ascii="宋体" w:hAnsi="宋体" w:eastAsia="楷体_GB2312"/>
      <w:szCs w:val="24"/>
      <w:u w:val="single"/>
    </w:rPr>
  </w:style>
  <w:style w:type="character" w:customStyle="1" w:styleId="81">
    <w:name w:val="标题 Char"/>
    <w:link w:val="38"/>
    <w:qFormat/>
    <w:uiPriority w:val="0"/>
    <w:rPr>
      <w:rFonts w:ascii="Arial" w:hAnsi="Arial" w:eastAsia="楷体_GB2312"/>
      <w:b/>
      <w:sz w:val="44"/>
    </w:rPr>
  </w:style>
  <w:style w:type="character" w:customStyle="1" w:styleId="82">
    <w:name w:val="批注主题 Char"/>
    <w:link w:val="39"/>
    <w:qFormat/>
    <w:uiPriority w:val="99"/>
    <w:rPr>
      <w:b/>
      <w:bCs/>
      <w:kern w:val="2"/>
      <w:sz w:val="21"/>
      <w:szCs w:val="22"/>
    </w:rPr>
  </w:style>
  <w:style w:type="character" w:customStyle="1" w:styleId="83">
    <w:name w:val="正文首行缩进 Char"/>
    <w:link w:val="40"/>
    <w:qFormat/>
    <w:uiPriority w:val="0"/>
    <w:rPr>
      <w:rFonts w:ascii="Times New Roman" w:hAnsi="Times New Roman" w:eastAsia="楷体_GB2312" w:cs="Times New Roman"/>
      <w:kern w:val="0"/>
      <w:sz w:val="20"/>
      <w:szCs w:val="20"/>
    </w:rPr>
  </w:style>
  <w:style w:type="character" w:customStyle="1" w:styleId="84">
    <w:name w:val="正文首行缩进 2 Char"/>
    <w:link w:val="41"/>
    <w:qFormat/>
    <w:uiPriority w:val="0"/>
    <w:rPr>
      <w:rFonts w:ascii="Calibri" w:hAnsi="Calibri"/>
      <w:kern w:val="2"/>
      <w:sz w:val="21"/>
      <w:szCs w:val="22"/>
    </w:rPr>
  </w:style>
  <w:style w:type="character" w:customStyle="1" w:styleId="85">
    <w:name w:val="正文文本 Char1"/>
    <w:semiHidden/>
    <w:qFormat/>
    <w:uiPriority w:val="99"/>
    <w:rPr>
      <w:rFonts w:ascii="Calibri" w:hAnsi="Calibri" w:eastAsia="宋体" w:cs="Times New Roman"/>
    </w:rPr>
  </w:style>
  <w:style w:type="character" w:customStyle="1" w:styleId="86">
    <w:name w:val="正文文本 3 Char1"/>
    <w:semiHidden/>
    <w:qFormat/>
    <w:uiPriority w:val="99"/>
    <w:rPr>
      <w:rFonts w:ascii="Calibri" w:hAnsi="Calibri" w:eastAsia="宋体" w:cs="Times New Roman"/>
      <w:sz w:val="16"/>
      <w:szCs w:val="16"/>
    </w:rPr>
  </w:style>
  <w:style w:type="character" w:customStyle="1" w:styleId="87">
    <w:name w:val="font161"/>
    <w:qFormat/>
    <w:uiPriority w:val="0"/>
    <w:rPr>
      <w:rFonts w:ascii="Arial" w:hAnsi="Arial" w:eastAsia="黑体"/>
      <w:b/>
      <w:bCs/>
      <w:kern w:val="2"/>
      <w:sz w:val="32"/>
      <w:szCs w:val="32"/>
      <w:lang w:val="en-US" w:eastAsia="zh-CN" w:bidi="ar-SA"/>
    </w:rPr>
  </w:style>
  <w:style w:type="character" w:customStyle="1" w:styleId="88">
    <w:name w:val="页脚 Char1"/>
    <w:semiHidden/>
    <w:qFormat/>
    <w:uiPriority w:val="99"/>
    <w:rPr>
      <w:rFonts w:ascii="Calibri" w:hAnsi="Calibri" w:eastAsia="宋体" w:cs="Times New Roman"/>
      <w:sz w:val="18"/>
      <w:szCs w:val="18"/>
    </w:rPr>
  </w:style>
  <w:style w:type="character" w:customStyle="1" w:styleId="89">
    <w:name w:val="批注框文本 Char1"/>
    <w:semiHidden/>
    <w:qFormat/>
    <w:uiPriority w:val="99"/>
    <w:rPr>
      <w:rFonts w:ascii="Calibri" w:hAnsi="Calibri" w:eastAsia="宋体" w:cs="Times New Roman"/>
      <w:sz w:val="18"/>
      <w:szCs w:val="18"/>
    </w:rPr>
  </w:style>
  <w:style w:type="character" w:customStyle="1" w:styleId="90">
    <w:name w:val="纯文本 Char1"/>
    <w:qFormat/>
    <w:uiPriority w:val="99"/>
    <w:rPr>
      <w:rFonts w:ascii="宋体" w:hAnsi="Courier New" w:cs="Courier New"/>
      <w:kern w:val="2"/>
      <w:sz w:val="21"/>
      <w:szCs w:val="21"/>
    </w:rPr>
  </w:style>
  <w:style w:type="character" w:customStyle="1" w:styleId="91">
    <w:name w:val="文档结构图 Char1"/>
    <w:semiHidden/>
    <w:qFormat/>
    <w:uiPriority w:val="99"/>
    <w:rPr>
      <w:rFonts w:ascii="宋体" w:hAnsi="Calibri" w:eastAsia="宋体" w:cs="Times New Roman"/>
      <w:sz w:val="18"/>
      <w:szCs w:val="18"/>
    </w:rPr>
  </w:style>
  <w:style w:type="character" w:customStyle="1" w:styleId="92">
    <w:name w:val="标题 Char1"/>
    <w:qFormat/>
    <w:uiPriority w:val="10"/>
    <w:rPr>
      <w:rFonts w:ascii="Cambria" w:hAnsi="Cambria" w:eastAsia="宋体" w:cs="Times New Roman"/>
      <w:b/>
      <w:bCs/>
      <w:sz w:val="32"/>
      <w:szCs w:val="32"/>
    </w:rPr>
  </w:style>
  <w:style w:type="character" w:customStyle="1" w:styleId="93">
    <w:name w:val="正文文本 2 Char1"/>
    <w:semiHidden/>
    <w:qFormat/>
    <w:uiPriority w:val="99"/>
    <w:rPr>
      <w:rFonts w:ascii="Calibri" w:hAnsi="Calibri" w:eastAsia="宋体" w:cs="Times New Roman"/>
    </w:rPr>
  </w:style>
  <w:style w:type="character" w:customStyle="1" w:styleId="94">
    <w:name w:val="正文文本缩进 Char1"/>
    <w:semiHidden/>
    <w:qFormat/>
    <w:uiPriority w:val="99"/>
    <w:rPr>
      <w:rFonts w:ascii="Calibri" w:hAnsi="Calibri" w:eastAsia="宋体" w:cs="Times New Roman"/>
    </w:rPr>
  </w:style>
  <w:style w:type="character" w:customStyle="1" w:styleId="95">
    <w:name w:val="日期 Char1"/>
    <w:semiHidden/>
    <w:qFormat/>
    <w:uiPriority w:val="99"/>
    <w:rPr>
      <w:rFonts w:ascii="Calibri" w:hAnsi="Calibri" w:eastAsia="宋体" w:cs="Times New Roman"/>
    </w:rPr>
  </w:style>
  <w:style w:type="character" w:customStyle="1" w:styleId="96">
    <w:name w:val="纯文本 Char2"/>
    <w:semiHidden/>
    <w:qFormat/>
    <w:uiPriority w:val="99"/>
    <w:rPr>
      <w:rFonts w:ascii="宋体" w:hAnsi="Courier New" w:eastAsia="宋体" w:cs="Courier New"/>
      <w:szCs w:val="21"/>
    </w:rPr>
  </w:style>
  <w:style w:type="character" w:customStyle="1" w:styleId="97">
    <w:name w:val="正文文本缩进 3 Char1"/>
    <w:semiHidden/>
    <w:qFormat/>
    <w:uiPriority w:val="99"/>
    <w:rPr>
      <w:rFonts w:ascii="Calibri" w:hAnsi="Calibri" w:eastAsia="宋体" w:cs="Times New Roman"/>
      <w:sz w:val="16"/>
      <w:szCs w:val="16"/>
    </w:rPr>
  </w:style>
  <w:style w:type="character" w:customStyle="1" w:styleId="98">
    <w:name w:val="尾注文本 Char1"/>
    <w:semiHidden/>
    <w:qFormat/>
    <w:uiPriority w:val="99"/>
    <w:rPr>
      <w:rFonts w:ascii="Calibri" w:hAnsi="Calibri" w:eastAsia="宋体" w:cs="Times New Roman"/>
    </w:rPr>
  </w:style>
  <w:style w:type="character" w:customStyle="1" w:styleId="99">
    <w:name w:val="正文文本缩进 2 Char1"/>
    <w:semiHidden/>
    <w:qFormat/>
    <w:uiPriority w:val="99"/>
    <w:rPr>
      <w:rFonts w:ascii="Calibri" w:hAnsi="Calibri" w:eastAsia="宋体" w:cs="Times New Roman"/>
    </w:rPr>
  </w:style>
  <w:style w:type="character" w:customStyle="1" w:styleId="100">
    <w:name w:val="正文首行缩进 Char1"/>
    <w:semiHidden/>
    <w:qFormat/>
    <w:uiPriority w:val="99"/>
  </w:style>
  <w:style w:type="character" w:customStyle="1" w:styleId="101">
    <w:name w:val="批注文字 Char1"/>
    <w:semiHidden/>
    <w:qFormat/>
    <w:uiPriority w:val="99"/>
    <w:rPr>
      <w:rFonts w:ascii="Calibri" w:hAnsi="Calibri" w:eastAsia="宋体" w:cs="Times New Roman"/>
    </w:rPr>
  </w:style>
  <w:style w:type="character" w:customStyle="1" w:styleId="102">
    <w:name w:val="页眉 Char1"/>
    <w:semiHidden/>
    <w:qFormat/>
    <w:uiPriority w:val="99"/>
    <w:rPr>
      <w:rFonts w:ascii="Calibri" w:hAnsi="Calibri" w:eastAsia="宋体" w:cs="Times New Roman"/>
      <w:sz w:val="18"/>
      <w:szCs w:val="18"/>
    </w:rPr>
  </w:style>
  <w:style w:type="character" w:customStyle="1" w:styleId="103">
    <w:name w:val="font5 Char"/>
    <w:link w:val="104"/>
    <w:qFormat/>
    <w:uiPriority w:val="0"/>
    <w:rPr>
      <w:rFonts w:ascii="宋体" w:hAnsi="宋体"/>
      <w:sz w:val="24"/>
      <w:szCs w:val="24"/>
    </w:rPr>
  </w:style>
  <w:style w:type="paragraph" w:customStyle="1" w:styleId="104">
    <w:name w:val="font5"/>
    <w:basedOn w:val="1"/>
    <w:link w:val="103"/>
    <w:qFormat/>
    <w:uiPriority w:val="0"/>
    <w:pPr>
      <w:widowControl/>
      <w:spacing w:before="100" w:beforeAutospacing="1" w:after="100" w:afterAutospacing="1"/>
      <w:jc w:val="left"/>
    </w:pPr>
    <w:rPr>
      <w:rFonts w:ascii="宋体" w:hAnsi="宋体"/>
      <w:kern w:val="0"/>
      <w:sz w:val="24"/>
      <w:szCs w:val="24"/>
    </w:rPr>
  </w:style>
  <w:style w:type="character" w:customStyle="1" w:styleId="105">
    <w:name w:val="批注主题 Char1"/>
    <w:semiHidden/>
    <w:qFormat/>
    <w:uiPriority w:val="99"/>
    <w:rPr>
      <w:rFonts w:ascii="Calibri" w:hAnsi="Calibri" w:eastAsia="宋体" w:cs="Times New Roman"/>
      <w:b/>
      <w:bCs/>
    </w:rPr>
  </w:style>
  <w:style w:type="paragraph" w:customStyle="1" w:styleId="106">
    <w:name w:val="正文缩进1"/>
    <w:basedOn w:val="107"/>
    <w:unhideWhenUsed/>
    <w:qFormat/>
    <w:uiPriority w:val="0"/>
    <w:pPr>
      <w:spacing w:beforeLines="0" w:afterLines="0" w:line="360" w:lineRule="auto"/>
      <w:ind w:firstLine="200" w:firstLineChars="200"/>
      <w:jc w:val="both"/>
    </w:pPr>
    <w:rPr>
      <w:rFonts w:hint="eastAsia" w:ascii="Times New Roman" w:hAnsi="Times New Roman" w:eastAsia="Times New Roman" w:cs="Times New Roman"/>
      <w:kern w:val="2"/>
      <w:sz w:val="24"/>
      <w:szCs w:val="22"/>
      <w:lang w:val="en-US" w:eastAsia="zh-CN" w:bidi="ar"/>
    </w:rPr>
  </w:style>
  <w:style w:type="paragraph" w:customStyle="1" w:styleId="107">
    <w:name w:val="正文1"/>
    <w:basedOn w:val="1"/>
    <w:unhideWhenUsed/>
    <w:qFormat/>
    <w:uiPriority w:val="0"/>
    <w:pPr>
      <w:spacing w:beforeLines="0" w:afterLines="0" w:line="240" w:lineRule="atLeast"/>
      <w:jc w:val="center"/>
      <w:textAlignment w:val="baseline"/>
    </w:pPr>
    <w:rPr>
      <w:rFonts w:hint="default" w:ascii="Tahoma" w:hAnsi="Tahoma" w:eastAsia="宋体"/>
      <w:sz w:val="24"/>
      <w:szCs w:val="24"/>
    </w:rPr>
  </w:style>
  <w:style w:type="paragraph" w:customStyle="1" w:styleId="108">
    <w:name w:val="Char"/>
    <w:basedOn w:val="1"/>
    <w:qFormat/>
    <w:uiPriority w:val="0"/>
    <w:pPr>
      <w:numPr>
        <w:ilvl w:val="0"/>
        <w:numId w:val="4"/>
      </w:numPr>
    </w:pPr>
    <w:rPr>
      <w:rFonts w:ascii="Times New Roman" w:hAnsi="Times New Roman"/>
      <w:sz w:val="24"/>
      <w:szCs w:val="24"/>
    </w:rPr>
  </w:style>
  <w:style w:type="paragraph" w:customStyle="1" w:styleId="109">
    <w:name w:val="1"/>
    <w:basedOn w:val="1"/>
    <w:qFormat/>
    <w:uiPriority w:val="0"/>
    <w:rPr>
      <w:rFonts w:ascii="Times New Roman" w:hAnsi="Times New Roman"/>
      <w:szCs w:val="24"/>
    </w:rPr>
  </w:style>
  <w:style w:type="paragraph" w:customStyle="1" w:styleId="110">
    <w:name w:val="样式 标题 3 + (中文) 黑体 小四 非加粗 段前: 7.8 磅 段后: 0 磅 行距: 固定值 20 磅"/>
    <w:basedOn w:val="4"/>
    <w:qFormat/>
    <w:uiPriority w:val="0"/>
    <w:pPr>
      <w:spacing w:before="0" w:after="0" w:line="400" w:lineRule="exact"/>
      <w:jc w:val="left"/>
    </w:pPr>
    <w:rPr>
      <w:rFonts w:ascii="宋体" w:hAnsi="宋体" w:eastAsia="黑体" w:cs="宋体"/>
      <w:b w:val="0"/>
      <w:bCs w:val="0"/>
      <w:sz w:val="24"/>
      <w:szCs w:val="20"/>
    </w:rPr>
  </w:style>
  <w:style w:type="paragraph" w:customStyle="1" w:styleId="111">
    <w:name w:val="正文 New New New New New New New New New New New New New"/>
    <w:qFormat/>
    <w:uiPriority w:val="0"/>
    <w:pPr>
      <w:widowControl w:val="0"/>
      <w:snapToGrid w:val="0"/>
      <w:jc w:val="both"/>
    </w:pPr>
    <w:rPr>
      <w:rFonts w:ascii="仿宋_GB2312" w:hAnsi="仿宋_GB2312" w:eastAsia="宋体" w:cs="宋体"/>
      <w:sz w:val="21"/>
      <w:szCs w:val="32"/>
      <w:lang w:val="en-US" w:eastAsia="zh-CN" w:bidi="ar-SA"/>
    </w:rPr>
  </w:style>
  <w:style w:type="paragraph" w:customStyle="1" w:styleId="112">
    <w:name w:val="表格文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113">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114">
    <w:name w:val="发文落款"/>
    <w:basedOn w:val="115"/>
    <w:qFormat/>
    <w:uiPriority w:val="0"/>
    <w:pPr>
      <w:ind w:left="4094" w:right="607" w:firstLine="0"/>
      <w:jc w:val="center"/>
    </w:pPr>
  </w:style>
  <w:style w:type="paragraph" w:customStyle="1" w:styleId="115">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116">
    <w:name w:val="Plain Text"/>
    <w:basedOn w:val="1"/>
    <w:qFormat/>
    <w:uiPriority w:val="0"/>
    <w:pPr>
      <w:adjustRightInd w:val="0"/>
      <w:textAlignment w:val="baseline"/>
    </w:pPr>
    <w:rPr>
      <w:rFonts w:ascii="宋体" w:hAnsi="Times New Roman" w:eastAsia="楷体_GB2312"/>
      <w:kern w:val="0"/>
      <w:sz w:val="24"/>
      <w:szCs w:val="20"/>
    </w:rPr>
  </w:style>
  <w:style w:type="paragraph" w:customStyle="1" w:styleId="117">
    <w:name w:val="样式 宋体 行距: 1.5 倍行距"/>
    <w:basedOn w:val="1"/>
    <w:qFormat/>
    <w:uiPriority w:val="0"/>
    <w:pPr>
      <w:jc w:val="center"/>
    </w:pPr>
    <w:rPr>
      <w:rFonts w:ascii="Times New Roman" w:hAnsi="Times New Roman"/>
      <w:b/>
    </w:rPr>
  </w:style>
  <w:style w:type="paragraph" w:customStyle="1" w:styleId="118">
    <w:name w:val="纯文本1"/>
    <w:basedOn w:val="1"/>
    <w:qFormat/>
    <w:uiPriority w:val="0"/>
    <w:pPr>
      <w:adjustRightInd w:val="0"/>
      <w:textAlignment w:val="baseline"/>
    </w:pPr>
    <w:rPr>
      <w:rFonts w:ascii="宋体"/>
      <w:kern w:val="0"/>
      <w:sz w:val="24"/>
      <w:szCs w:val="20"/>
    </w:rPr>
  </w:style>
  <w:style w:type="paragraph" w:customStyle="1" w:styleId="119">
    <w:name w:val="TOC 标题1"/>
    <w:basedOn w:val="2"/>
    <w:next w:val="1"/>
    <w:unhideWhenUsed/>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120">
    <w:name w:val="正文 + 行距: 最小值 26 磅"/>
    <w:basedOn w:val="1"/>
    <w:qFormat/>
    <w:uiPriority w:val="0"/>
    <w:pPr>
      <w:snapToGrid w:val="0"/>
      <w:spacing w:line="520" w:lineRule="atLeast"/>
    </w:pPr>
    <w:rPr>
      <w:sz w:val="24"/>
      <w:szCs w:val="20"/>
    </w:rPr>
  </w:style>
  <w:style w:type="paragraph" w:customStyle="1" w:styleId="121">
    <w:name w:val="xl31"/>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122">
    <w:name w:val="Char Char Char Char"/>
    <w:basedOn w:val="1"/>
    <w:qFormat/>
    <w:uiPriority w:val="0"/>
    <w:rPr>
      <w:rFonts w:ascii="Times New Roman" w:hAnsi="Times New Roman"/>
      <w:sz w:val="30"/>
      <w:szCs w:val="24"/>
    </w:rPr>
  </w:style>
  <w:style w:type="paragraph" w:customStyle="1" w:styleId="123">
    <w:name w:val="表头"/>
    <w:basedOn w:val="1"/>
    <w:qFormat/>
    <w:uiPriority w:val="0"/>
    <w:pPr>
      <w:spacing w:line="360" w:lineRule="auto"/>
      <w:jc w:val="center"/>
    </w:pPr>
    <w:rPr>
      <w:rFonts w:ascii="黑体" w:hAnsi="Times New Roman" w:eastAsia="黑体"/>
      <w:kern w:val="0"/>
      <w:sz w:val="24"/>
      <w:szCs w:val="20"/>
    </w:rPr>
  </w:style>
  <w:style w:type="paragraph" w:customStyle="1" w:styleId="124">
    <w:name w:val="正文文本缩进 New New"/>
    <w:basedOn w:val="1"/>
    <w:qFormat/>
    <w:uiPriority w:val="0"/>
    <w:pPr>
      <w:spacing w:after="120"/>
      <w:ind w:left="420" w:leftChars="200"/>
    </w:pPr>
    <w:rPr>
      <w:rFonts w:ascii="Times New Roman" w:eastAsia="楷体_GB2312"/>
      <w:szCs w:val="20"/>
    </w:rPr>
  </w:style>
  <w:style w:type="paragraph" w:customStyle="1" w:styleId="125">
    <w:name w:val="列出段落1"/>
    <w:basedOn w:val="1"/>
    <w:qFormat/>
    <w:uiPriority w:val="34"/>
    <w:pPr>
      <w:ind w:firstLine="420" w:firstLineChars="200"/>
    </w:pPr>
  </w:style>
  <w:style w:type="paragraph" w:customStyle="1" w:styleId="126">
    <w:name w:val="标题2"/>
    <w:basedOn w:val="3"/>
    <w:next w:val="1"/>
    <w:qFormat/>
    <w:uiPriority w:val="0"/>
    <w:pPr>
      <w:numPr>
        <w:ilvl w:val="0"/>
        <w:numId w:val="0"/>
      </w:numPr>
      <w:tabs>
        <w:tab w:val="left" w:pos="840"/>
      </w:tabs>
      <w:snapToGrid w:val="0"/>
      <w:spacing w:before="120" w:line="240" w:lineRule="auto"/>
      <w:ind w:left="840" w:hanging="420"/>
      <w:jc w:val="left"/>
    </w:pPr>
    <w:rPr>
      <w:rFonts w:ascii="Arial" w:hAnsi="Arial"/>
      <w:sz w:val="21"/>
      <w:szCs w:val="21"/>
    </w:rPr>
  </w:style>
  <w:style w:type="paragraph" w:customStyle="1" w:styleId="127">
    <w:name w:val="修订1"/>
    <w:semiHidden/>
    <w:qFormat/>
    <w:uiPriority w:val="99"/>
    <w:rPr>
      <w:rFonts w:ascii="Calibri" w:hAnsi="Calibri" w:eastAsia="宋体" w:cs="Times New Roman"/>
      <w:kern w:val="2"/>
      <w:sz w:val="21"/>
      <w:szCs w:val="22"/>
      <w:lang w:val="en-US" w:eastAsia="zh-CN" w:bidi="ar-SA"/>
    </w:rPr>
  </w:style>
  <w:style w:type="paragraph" w:customStyle="1" w:styleId="128">
    <w:name w:val="xl47"/>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29">
    <w:name w:val="TOC Heading"/>
    <w:basedOn w:val="2"/>
    <w:next w:val="1"/>
    <w:unhideWhenUsed/>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130">
    <w:name w:val="_Style 126"/>
    <w:unhideWhenUsed/>
    <w:qFormat/>
    <w:uiPriority w:val="99"/>
    <w:rPr>
      <w:rFonts w:ascii="Calibri" w:hAnsi="Calibri" w:eastAsia="宋体" w:cs="Times New Roman"/>
      <w:kern w:val="2"/>
      <w:sz w:val="21"/>
      <w:szCs w:val="22"/>
      <w:lang w:val="en-US" w:eastAsia="zh-CN" w:bidi="ar-SA"/>
    </w:rPr>
  </w:style>
  <w:style w:type="paragraph" w:customStyle="1" w:styleId="131">
    <w:name w:val="Revision"/>
    <w:semiHidden/>
    <w:qFormat/>
    <w:uiPriority w:val="99"/>
    <w:rPr>
      <w:rFonts w:ascii="Calibri" w:hAnsi="Calibri" w:eastAsia="宋体" w:cs="Times New Roman"/>
      <w:kern w:val="2"/>
      <w:sz w:val="21"/>
      <w:szCs w:val="22"/>
      <w:lang w:val="en-US" w:eastAsia="zh-CN" w:bidi="ar-SA"/>
    </w:rPr>
  </w:style>
  <w:style w:type="paragraph" w:customStyle="1" w:styleId="132">
    <w:name w:val="样式 标题 1 + 黑体 三号 非加粗 居中 段前: 6 磅 段后: 6 磅 行距: 固定值 20 磅"/>
    <w:basedOn w:val="2"/>
    <w:qFormat/>
    <w:uiPriority w:val="0"/>
    <w:pPr>
      <w:spacing w:before="120" w:after="120" w:line="400" w:lineRule="exact"/>
      <w:jc w:val="center"/>
    </w:pPr>
    <w:rPr>
      <w:rFonts w:ascii="黑体" w:hAnsi="黑体" w:cs="宋体"/>
      <w:b w:val="0"/>
      <w:bCs w:val="0"/>
      <w:szCs w:val="20"/>
    </w:rPr>
  </w:style>
  <w:style w:type="paragraph" w:styleId="133">
    <w:name w:val="List Paragraph"/>
    <w:basedOn w:val="1"/>
    <w:qFormat/>
    <w:uiPriority w:val="34"/>
    <w:pPr>
      <w:ind w:firstLine="420" w:firstLineChars="200"/>
    </w:pPr>
  </w:style>
  <w:style w:type="paragraph" w:customStyle="1" w:styleId="134">
    <w:name w:val="text"/>
    <w:basedOn w:val="1"/>
    <w:qFormat/>
    <w:uiPriority w:val="0"/>
    <w:pPr>
      <w:widowControl/>
      <w:spacing w:after="120" w:line="360" w:lineRule="atLeast"/>
      <w:ind w:firstLine="300"/>
      <w:jc w:val="left"/>
    </w:pPr>
    <w:rPr>
      <w:rFonts w:ascii="宋体" w:hAnsi="宋体" w:cs="宋体"/>
      <w:kern w:val="0"/>
      <w:sz w:val="24"/>
      <w:szCs w:val="24"/>
    </w:rPr>
  </w:style>
  <w:style w:type="paragraph" w:customStyle="1" w:styleId="135">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6">
    <w:name w:val="Default"/>
    <w:qFormat/>
    <w:uiPriority w:val="0"/>
    <w:pPr>
      <w:widowControl w:val="0"/>
    </w:pPr>
    <w:rPr>
      <w:rFonts w:ascii="宋体" w:hAnsi="Times New Roman" w:eastAsia="宋体" w:cs="宋体"/>
      <w:color w:val="000000"/>
      <w:sz w:val="24"/>
      <w:szCs w:val="24"/>
      <w:lang w:val="en-US" w:eastAsia="zh-CN" w:bidi="ar-SA"/>
    </w:rPr>
  </w:style>
  <w:style w:type="paragraph" w:customStyle="1" w:styleId="137">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138">
    <w:name w:val="普通 (Web)"/>
    <w:basedOn w:val="1"/>
    <w:qFormat/>
    <w:uiPriority w:val="0"/>
    <w:pPr>
      <w:widowControl/>
      <w:spacing w:before="100" w:after="100"/>
      <w:jc w:val="left"/>
    </w:pPr>
    <w:rPr>
      <w:rFonts w:ascii="Arial Unicode MS" w:hAnsi="Arial Unicode MS" w:eastAsia="Arial Unicode MS"/>
      <w:kern w:val="0"/>
      <w:sz w:val="24"/>
      <w:szCs w:val="20"/>
    </w:rPr>
  </w:style>
  <w:style w:type="paragraph" w:customStyle="1" w:styleId="139">
    <w:name w:val="p0"/>
    <w:basedOn w:val="1"/>
    <w:qFormat/>
    <w:uiPriority w:val="0"/>
    <w:pPr>
      <w:widowControl/>
      <w:spacing w:before="75" w:after="75"/>
      <w:jc w:val="left"/>
    </w:pPr>
    <w:rPr>
      <w:rFonts w:ascii="宋体" w:hAnsi="宋体" w:cs="宋体"/>
      <w:kern w:val="0"/>
      <w:sz w:val="24"/>
      <w:szCs w:val="24"/>
    </w:rPr>
  </w:style>
  <w:style w:type="paragraph" w:customStyle="1" w:styleId="140">
    <w:name w:val="样式 标题 2 + Times New Roman 四号 非加粗 段前: 5 磅 段后: 0 磅 行距: 固定值 20..."/>
    <w:basedOn w:val="3"/>
    <w:qFormat/>
    <w:uiPriority w:val="0"/>
    <w:pPr>
      <w:numPr>
        <w:ilvl w:val="0"/>
        <w:numId w:val="0"/>
      </w:numPr>
      <w:spacing w:before="100" w:after="0"/>
      <w:ind w:left="420" w:hanging="420"/>
    </w:pPr>
    <w:rPr>
      <w:rFonts w:ascii="Times New Roman" w:hAnsi="Times New Roman"/>
      <w:sz w:val="28"/>
      <w:szCs w:val="20"/>
    </w:rPr>
  </w:style>
  <w:style w:type="paragraph" w:customStyle="1" w:styleId="141">
    <w:name w:val="Char Char"/>
    <w:basedOn w:val="1"/>
    <w:qFormat/>
    <w:uiPriority w:val="0"/>
    <w:rPr>
      <w:rFonts w:ascii="Times New Roman" w:hAnsi="Times New Roman"/>
      <w:sz w:val="30"/>
      <w:szCs w:val="24"/>
    </w:rPr>
  </w:style>
  <w:style w:type="paragraph" w:customStyle="1" w:styleId="142">
    <w:name w:val="表格"/>
    <w:basedOn w:val="1"/>
    <w:qFormat/>
    <w:uiPriority w:val="0"/>
    <w:pPr>
      <w:jc w:val="center"/>
      <w:textAlignment w:val="center"/>
    </w:pPr>
    <w:rPr>
      <w:rFonts w:ascii="华文细黑" w:hAnsi="华文细黑"/>
      <w:kern w:val="0"/>
      <w:szCs w:val="20"/>
    </w:rPr>
  </w:style>
  <w:style w:type="paragraph" w:customStyle="1" w:styleId="143">
    <w:name w:val="6'"/>
    <w:basedOn w:val="1"/>
    <w:qFormat/>
    <w:uiPriority w:val="0"/>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144">
    <w:name w:val="表格2"/>
    <w:basedOn w:val="1"/>
    <w:qFormat/>
    <w:uiPriority w:val="0"/>
    <w:pPr>
      <w:adjustRightInd w:val="0"/>
      <w:spacing w:before="60" w:after="60"/>
      <w:jc w:val="center"/>
    </w:pPr>
    <w:rPr>
      <w:rFonts w:ascii="宋体" w:hAnsi="Times New Roman"/>
      <w:color w:val="000000"/>
      <w:kern w:val="0"/>
      <w:sz w:val="24"/>
      <w:szCs w:val="20"/>
    </w:rPr>
  </w:style>
  <w:style w:type="paragraph" w:customStyle="1" w:styleId="145">
    <w:name w:val="BodyText"/>
    <w:basedOn w:val="1"/>
    <w:qFormat/>
    <w:uiPriority w:val="0"/>
    <w:pPr>
      <w:spacing w:after="120"/>
    </w:pPr>
    <w:rPr>
      <w:rFonts w:ascii="Times New Roman" w:hAnsi="Times New Roman"/>
      <w:kern w:val="0"/>
      <w:sz w:val="20"/>
      <w:szCs w:val="20"/>
    </w:rPr>
  </w:style>
  <w:style w:type="table" w:customStyle="1" w:styleId="146">
    <w:name w:val="Table Normal"/>
    <w:unhideWhenUsed/>
    <w:qFormat/>
    <w:uiPriority w:val="0"/>
    <w:rPr>
      <w:lang w:val="en-US" w:eastAsia="zh-CN" w:bidi="ar-SA"/>
    </w:rPr>
    <w:tblPr>
      <w:tblCellMar>
        <w:top w:w="0" w:type="dxa"/>
        <w:left w:w="0" w:type="dxa"/>
        <w:bottom w:w="0" w:type="dxa"/>
        <w:right w:w="0" w:type="dxa"/>
      </w:tblCellMar>
    </w:tblPr>
  </w:style>
  <w:style w:type="table" w:customStyle="1" w:styleId="147">
    <w:name w:val="专业型1"/>
    <w:basedOn w:val="4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character" w:customStyle="1" w:styleId="148">
    <w:name w:val="checkbox[data-v-ed3e49a4]"/>
    <w:basedOn w:val="46"/>
    <w:qFormat/>
    <w:uiPriority w:val="0"/>
    <w:rPr>
      <w:bdr w:val="single" w:color="DDDDDD" w:sz="6" w:space="0"/>
    </w:rPr>
  </w:style>
  <w:style w:type="character" w:customStyle="1" w:styleId="149">
    <w:name w:val="nth-child(2)"/>
    <w:basedOn w:val="46"/>
    <w:qFormat/>
    <w:uiPriority w:val="0"/>
    <w:rPr>
      <w:color w:val="999999"/>
      <w:sz w:val="18"/>
      <w:szCs w:val="18"/>
    </w:rPr>
  </w:style>
  <w:style w:type="character" w:customStyle="1" w:styleId="150">
    <w:name w:val="not([class*=suffix])"/>
    <w:basedOn w:val="46"/>
    <w:qFormat/>
    <w:uiPriority w:val="0"/>
    <w:rPr>
      <w:sz w:val="19"/>
      <w:szCs w:val="19"/>
    </w:rPr>
  </w:style>
  <w:style w:type="character" w:customStyle="1" w:styleId="151">
    <w:name w:val="not([class*=suffix])1"/>
    <w:basedOn w:val="46"/>
    <w:qFormat/>
    <w:uiPriority w:val="0"/>
  </w:style>
  <w:style w:type="character" w:customStyle="1" w:styleId="152">
    <w:name w:val="checkbox[data-v-25e63a0a]"/>
    <w:basedOn w:val="46"/>
    <w:qFormat/>
    <w:uiPriority w:val="0"/>
    <w:rPr>
      <w:bdr w:val="single" w:color="DDDDDD" w:sz="6" w:space="0"/>
    </w:rPr>
  </w:style>
  <w:style w:type="character" w:customStyle="1" w:styleId="153">
    <w:name w:val="first-child"/>
    <w:basedOn w:val="46"/>
    <w:qFormat/>
    <w:uiPriority w:val="0"/>
  </w:style>
  <w:style w:type="character" w:customStyle="1" w:styleId="154">
    <w:name w:val="first-child1"/>
    <w:basedOn w:val="46"/>
    <w:qFormat/>
    <w:uiPriority w:val="0"/>
  </w:style>
  <w:style w:type="character" w:customStyle="1" w:styleId="155">
    <w:name w:val="before"/>
    <w:basedOn w:val="46"/>
    <w:qFormat/>
    <w:uiPriority w:val="0"/>
    <w:rPr>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oleObject" Target="embeddings/oleObject1.bin"/><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227</Pages>
  <Words>14611</Words>
  <Characters>15525</Characters>
  <Lines>1008</Lines>
  <Paragraphs>283</Paragraphs>
  <TotalTime>5</TotalTime>
  <ScaleCrop>false</ScaleCrop>
  <LinksUpToDate>false</LinksUpToDate>
  <CharactersWithSpaces>16213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2019-10-12T14:12:00Z</dcterms:created>
  <dc:creator>PC</dc:creator>
  <cp:lastModifiedBy>小紙人</cp:lastModifiedBy>
  <cp:lastPrinted>2024-11-04T04:04:00Z</cp:lastPrinted>
  <dcterms:modified xsi:type="dcterms:W3CDTF">2025-06-10T09:17:51Z</dcterms:modified>
  <dc:title>增城区石滩镇大滨海排涝泵站重建工程施工总承包</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8CA0582CFEDE47B88F119E0CB0DA0783_13</vt:lpwstr>
  </property>
  <property fmtid="{D5CDD505-2E9C-101B-9397-08002B2CF9AE}" pid="4" name="KSOTemplateDocerSaveRecord">
    <vt:lpwstr>eyJoZGlkIjoiZWU1NDgwOTc3ZjdmNDgyNDRiMDlmYzdkOTllZWIwZTUiLCJ1c2VySWQiOiIyNTExODA5MzUifQ==</vt:lpwstr>
  </property>
</Properties>
</file>