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67E" w:rsidRDefault="0029667E">
      <w:pPr>
        <w:adjustRightInd w:val="0"/>
        <w:snapToGrid w:val="0"/>
        <w:spacing w:line="560" w:lineRule="atLeast"/>
        <w:ind w:firstLineChars="0" w:firstLine="0"/>
        <w:jc w:val="center"/>
        <w:rPr>
          <w:rFonts w:eastAsia="方正小标宋_GBK"/>
          <w:b/>
          <w:kern w:val="0"/>
          <w:sz w:val="44"/>
          <w:szCs w:val="44"/>
        </w:rPr>
      </w:pPr>
    </w:p>
    <w:p w:rsidR="0029667E" w:rsidRDefault="0029667E">
      <w:pPr>
        <w:adjustRightInd w:val="0"/>
        <w:snapToGrid w:val="0"/>
        <w:spacing w:line="560" w:lineRule="atLeast"/>
        <w:ind w:firstLineChars="0" w:firstLine="0"/>
        <w:jc w:val="center"/>
        <w:rPr>
          <w:rFonts w:eastAsia="方正小标宋_GBK"/>
          <w:b/>
          <w:kern w:val="0"/>
          <w:sz w:val="44"/>
          <w:szCs w:val="44"/>
        </w:rPr>
      </w:pPr>
    </w:p>
    <w:p w:rsidR="0029667E" w:rsidRDefault="0029667E">
      <w:pPr>
        <w:adjustRightInd w:val="0"/>
        <w:snapToGrid w:val="0"/>
        <w:spacing w:line="560" w:lineRule="atLeast"/>
        <w:ind w:firstLineChars="0" w:firstLine="0"/>
        <w:jc w:val="center"/>
        <w:rPr>
          <w:rFonts w:eastAsia="方正小标宋_GBK"/>
          <w:b/>
          <w:kern w:val="0"/>
          <w:sz w:val="44"/>
          <w:szCs w:val="44"/>
        </w:rPr>
      </w:pPr>
    </w:p>
    <w:p w:rsidR="0029667E" w:rsidRDefault="005F36FF">
      <w:pPr>
        <w:adjustRightInd w:val="0"/>
        <w:snapToGrid w:val="0"/>
        <w:spacing w:line="560" w:lineRule="atLeast"/>
        <w:ind w:firstLineChars="0" w:firstLine="0"/>
        <w:jc w:val="center"/>
        <w:rPr>
          <w:rFonts w:eastAsia="方正小标宋_GBK"/>
          <w:kern w:val="0"/>
          <w:sz w:val="52"/>
          <w:szCs w:val="52"/>
        </w:rPr>
      </w:pPr>
      <w:r>
        <w:rPr>
          <w:rFonts w:eastAsia="方正小标宋_GBK"/>
          <w:kern w:val="0"/>
          <w:sz w:val="52"/>
          <w:szCs w:val="52"/>
        </w:rPr>
        <w:t>新塘站片区路网</w:t>
      </w:r>
      <w:r>
        <w:rPr>
          <w:rFonts w:eastAsia="方正小标宋_GBK"/>
          <w:kern w:val="0"/>
          <w:sz w:val="52"/>
          <w:szCs w:val="52"/>
        </w:rPr>
        <w:t>-</w:t>
      </w:r>
      <w:r>
        <w:rPr>
          <w:rFonts w:eastAsia="方正小标宋_GBK"/>
          <w:kern w:val="0"/>
          <w:sz w:val="52"/>
          <w:szCs w:val="52"/>
        </w:rPr>
        <w:t>纵一路、新源路及</w:t>
      </w:r>
    </w:p>
    <w:p w:rsidR="0029667E" w:rsidRDefault="005F36FF">
      <w:pPr>
        <w:adjustRightInd w:val="0"/>
        <w:snapToGrid w:val="0"/>
        <w:spacing w:line="560" w:lineRule="atLeast"/>
        <w:ind w:firstLineChars="0" w:firstLine="0"/>
        <w:jc w:val="center"/>
        <w:rPr>
          <w:rFonts w:eastAsia="方正小标宋_GBK"/>
          <w:kern w:val="0"/>
          <w:sz w:val="52"/>
          <w:szCs w:val="52"/>
        </w:rPr>
      </w:pPr>
      <w:r>
        <w:rPr>
          <w:rFonts w:eastAsia="方正小标宋_GBK"/>
          <w:kern w:val="0"/>
          <w:sz w:val="52"/>
          <w:szCs w:val="52"/>
        </w:rPr>
        <w:t>汽车城大道建设工程项目绩效评价报告</w:t>
      </w:r>
    </w:p>
    <w:p w:rsidR="0029667E" w:rsidRDefault="0029667E">
      <w:pPr>
        <w:ind w:firstLineChars="0" w:firstLine="0"/>
        <w:jc w:val="center"/>
        <w:rPr>
          <w:snapToGrid w:val="0"/>
          <w:kern w:val="0"/>
          <w:szCs w:val="32"/>
        </w:rPr>
      </w:pPr>
    </w:p>
    <w:p w:rsidR="0029667E" w:rsidRDefault="0029667E">
      <w:pPr>
        <w:ind w:firstLine="632"/>
        <w:rPr>
          <w:snapToGrid w:val="0"/>
          <w:kern w:val="0"/>
          <w:szCs w:val="32"/>
        </w:rPr>
      </w:pPr>
    </w:p>
    <w:p w:rsidR="0029667E" w:rsidRDefault="0029667E">
      <w:pPr>
        <w:ind w:firstLine="632"/>
        <w:rPr>
          <w:snapToGrid w:val="0"/>
          <w:kern w:val="0"/>
          <w:szCs w:val="32"/>
        </w:rPr>
      </w:pPr>
    </w:p>
    <w:p w:rsidR="0029667E" w:rsidRDefault="0029667E">
      <w:pPr>
        <w:ind w:firstLine="632"/>
        <w:rPr>
          <w:snapToGrid w:val="0"/>
          <w:kern w:val="0"/>
          <w:szCs w:val="32"/>
        </w:rPr>
      </w:pPr>
    </w:p>
    <w:p w:rsidR="0029667E" w:rsidRDefault="0029667E">
      <w:pPr>
        <w:ind w:firstLine="632"/>
        <w:rPr>
          <w:snapToGrid w:val="0"/>
          <w:kern w:val="0"/>
          <w:szCs w:val="32"/>
        </w:rPr>
      </w:pPr>
    </w:p>
    <w:p w:rsidR="0029667E" w:rsidRDefault="0029667E">
      <w:pPr>
        <w:ind w:firstLine="632"/>
        <w:rPr>
          <w:snapToGrid w:val="0"/>
          <w:kern w:val="0"/>
          <w:szCs w:val="32"/>
        </w:rPr>
      </w:pPr>
    </w:p>
    <w:p w:rsidR="0029667E" w:rsidRDefault="0029667E">
      <w:pPr>
        <w:ind w:firstLine="632"/>
        <w:rPr>
          <w:snapToGrid w:val="0"/>
          <w:kern w:val="0"/>
          <w:szCs w:val="32"/>
        </w:rPr>
      </w:pPr>
    </w:p>
    <w:p w:rsidR="0029667E" w:rsidRDefault="005F36FF">
      <w:pPr>
        <w:ind w:firstLineChars="150" w:firstLine="633"/>
        <w:rPr>
          <w:snapToGrid w:val="0"/>
          <w:kern w:val="0"/>
          <w:szCs w:val="32"/>
        </w:rPr>
      </w:pPr>
      <w:r>
        <w:rPr>
          <w:snapToGrid w:val="0"/>
          <w:spacing w:val="53"/>
          <w:kern w:val="0"/>
          <w:szCs w:val="32"/>
          <w:fitText w:val="1600" w:id="-1222846971"/>
        </w:rPr>
        <w:t>评价机</w:t>
      </w:r>
      <w:r>
        <w:rPr>
          <w:snapToGrid w:val="0"/>
          <w:spacing w:val="1"/>
          <w:kern w:val="0"/>
          <w:szCs w:val="32"/>
          <w:fitText w:val="1600" w:id="-1222846971"/>
        </w:rPr>
        <w:t>构</w:t>
      </w:r>
      <w:r>
        <w:rPr>
          <w:snapToGrid w:val="0"/>
          <w:kern w:val="0"/>
          <w:szCs w:val="32"/>
        </w:rPr>
        <w:t>：广东</w:t>
      </w:r>
      <w:proofErr w:type="gramStart"/>
      <w:r>
        <w:rPr>
          <w:snapToGrid w:val="0"/>
          <w:kern w:val="0"/>
          <w:szCs w:val="32"/>
        </w:rPr>
        <w:t>国众联</w:t>
      </w:r>
      <w:proofErr w:type="gramEnd"/>
      <w:r>
        <w:rPr>
          <w:snapToGrid w:val="0"/>
          <w:kern w:val="0"/>
          <w:szCs w:val="32"/>
        </w:rPr>
        <w:t>行资产评估土地房地产估价规划</w:t>
      </w:r>
    </w:p>
    <w:p w:rsidR="0029667E" w:rsidRDefault="005F36FF" w:rsidP="005F36FF">
      <w:pPr>
        <w:ind w:firstLineChars="805" w:firstLine="2543"/>
        <w:rPr>
          <w:snapToGrid w:val="0"/>
          <w:kern w:val="0"/>
          <w:szCs w:val="32"/>
        </w:rPr>
      </w:pPr>
      <w:r>
        <w:rPr>
          <w:snapToGrid w:val="0"/>
          <w:kern w:val="0"/>
          <w:szCs w:val="32"/>
        </w:rPr>
        <w:t>咨询有限公司</w:t>
      </w:r>
    </w:p>
    <w:p w:rsidR="0029667E" w:rsidRDefault="005F36FF">
      <w:pPr>
        <w:ind w:firstLine="632"/>
        <w:rPr>
          <w:snapToGrid w:val="0"/>
          <w:kern w:val="0"/>
          <w:szCs w:val="32"/>
        </w:rPr>
      </w:pPr>
      <w:r>
        <w:rPr>
          <w:snapToGrid w:val="0"/>
          <w:kern w:val="0"/>
          <w:szCs w:val="32"/>
          <w:fitText w:val="1600" w:id="-1222846972"/>
        </w:rPr>
        <w:t>机构负责人</w:t>
      </w:r>
      <w:r>
        <w:rPr>
          <w:snapToGrid w:val="0"/>
          <w:kern w:val="0"/>
          <w:szCs w:val="32"/>
        </w:rPr>
        <w:t>：</w:t>
      </w:r>
      <w:r>
        <w:rPr>
          <w:snapToGrid w:val="0"/>
          <w:kern w:val="0"/>
          <w:szCs w:val="32"/>
          <w:fitText w:val="1280" w:id="-1222845951"/>
        </w:rPr>
        <w:t>司徒荣</w:t>
      </w:r>
      <w:proofErr w:type="gramStart"/>
      <w:r>
        <w:rPr>
          <w:snapToGrid w:val="0"/>
          <w:kern w:val="0"/>
          <w:szCs w:val="32"/>
          <w:fitText w:val="1280" w:id="-1222845951"/>
        </w:rPr>
        <w:t>轼</w:t>
      </w:r>
      <w:proofErr w:type="gramEnd"/>
    </w:p>
    <w:p w:rsidR="0029667E" w:rsidRDefault="005F36FF">
      <w:pPr>
        <w:tabs>
          <w:tab w:val="center" w:pos="4422"/>
        </w:tabs>
        <w:ind w:firstLine="632"/>
        <w:rPr>
          <w:snapToGrid w:val="0"/>
          <w:kern w:val="0"/>
          <w:szCs w:val="32"/>
        </w:rPr>
      </w:pPr>
      <w:r>
        <w:rPr>
          <w:snapToGrid w:val="0"/>
          <w:kern w:val="0"/>
          <w:szCs w:val="32"/>
          <w:fitText w:val="1600" w:id="-1222846973"/>
        </w:rPr>
        <w:t>项目负责人</w:t>
      </w:r>
      <w:r>
        <w:rPr>
          <w:snapToGrid w:val="0"/>
          <w:kern w:val="0"/>
          <w:szCs w:val="32"/>
        </w:rPr>
        <w:t>：</w:t>
      </w:r>
      <w:r>
        <w:rPr>
          <w:snapToGrid w:val="0"/>
          <w:kern w:val="0"/>
          <w:szCs w:val="32"/>
          <w:fitText w:val="1280" w:id="365446158"/>
        </w:rPr>
        <w:t>司徒荣</w:t>
      </w:r>
      <w:proofErr w:type="gramStart"/>
      <w:r>
        <w:rPr>
          <w:snapToGrid w:val="0"/>
          <w:kern w:val="0"/>
          <w:szCs w:val="32"/>
          <w:fitText w:val="1280" w:id="365446158"/>
        </w:rPr>
        <w:t>轼</w:t>
      </w:r>
      <w:proofErr w:type="gramEnd"/>
      <w:r>
        <w:rPr>
          <w:snapToGrid w:val="0"/>
          <w:kern w:val="0"/>
          <w:szCs w:val="32"/>
        </w:rPr>
        <w:tab/>
      </w:r>
    </w:p>
    <w:p w:rsidR="0029667E" w:rsidRDefault="0029667E">
      <w:pPr>
        <w:ind w:firstLine="632"/>
        <w:rPr>
          <w:snapToGrid w:val="0"/>
          <w:kern w:val="0"/>
          <w:szCs w:val="32"/>
        </w:rPr>
      </w:pPr>
    </w:p>
    <w:p w:rsidR="0029667E" w:rsidRDefault="0029667E">
      <w:pPr>
        <w:ind w:firstLine="632"/>
        <w:rPr>
          <w:snapToGrid w:val="0"/>
          <w:kern w:val="0"/>
          <w:szCs w:val="32"/>
        </w:rPr>
      </w:pPr>
    </w:p>
    <w:p w:rsidR="0029667E" w:rsidRDefault="005F36FF">
      <w:pPr>
        <w:ind w:firstLineChars="0" w:firstLine="0"/>
        <w:jc w:val="center"/>
        <w:rPr>
          <w:snapToGrid w:val="0"/>
          <w:kern w:val="0"/>
          <w:szCs w:val="32"/>
        </w:rPr>
        <w:sectPr w:rsidR="0029667E">
          <w:headerReference w:type="even" r:id="rId8"/>
          <w:headerReference w:type="default" r:id="rId9"/>
          <w:footerReference w:type="even" r:id="rId10"/>
          <w:footerReference w:type="default" r:id="rId11"/>
          <w:headerReference w:type="first" r:id="rId12"/>
          <w:footerReference w:type="first" r:id="rId13"/>
          <w:pgSz w:w="11906" w:h="16838"/>
          <w:pgMar w:top="2098" w:right="1474" w:bottom="1985" w:left="1588" w:header="851" w:footer="1758" w:gutter="0"/>
          <w:cols w:space="720"/>
          <w:docGrid w:type="linesAndChars" w:linePitch="579" w:charSpace="-849"/>
        </w:sectPr>
      </w:pPr>
      <w:r>
        <w:rPr>
          <w:snapToGrid w:val="0"/>
          <w:kern w:val="0"/>
          <w:szCs w:val="32"/>
        </w:rPr>
        <w:t>2024</w:t>
      </w:r>
      <w:r>
        <w:rPr>
          <w:snapToGrid w:val="0"/>
          <w:kern w:val="0"/>
          <w:szCs w:val="32"/>
        </w:rPr>
        <w:t>年</w:t>
      </w:r>
      <w:r>
        <w:rPr>
          <w:rFonts w:hint="eastAsia"/>
          <w:snapToGrid w:val="0"/>
          <w:kern w:val="0"/>
          <w:szCs w:val="32"/>
        </w:rPr>
        <w:t>0</w:t>
      </w:r>
      <w:r>
        <w:rPr>
          <w:snapToGrid w:val="0"/>
          <w:kern w:val="0"/>
          <w:szCs w:val="32"/>
        </w:rPr>
        <w:t>9</w:t>
      </w:r>
      <w:r>
        <w:rPr>
          <w:snapToGrid w:val="0"/>
          <w:kern w:val="0"/>
          <w:szCs w:val="32"/>
        </w:rPr>
        <w:t>月</w:t>
      </w:r>
    </w:p>
    <w:p w:rsidR="0029667E" w:rsidRDefault="005F36FF">
      <w:pPr>
        <w:adjustRightInd w:val="0"/>
        <w:snapToGrid w:val="0"/>
        <w:spacing w:line="560" w:lineRule="atLeast"/>
        <w:ind w:firstLineChars="0" w:firstLine="0"/>
        <w:jc w:val="center"/>
        <w:rPr>
          <w:rFonts w:eastAsia="方正小标宋_GBK"/>
          <w:kern w:val="0"/>
          <w:sz w:val="44"/>
          <w:szCs w:val="44"/>
        </w:rPr>
      </w:pPr>
      <w:r>
        <w:rPr>
          <w:rFonts w:eastAsia="方正小标宋_GBK"/>
          <w:kern w:val="0"/>
          <w:sz w:val="44"/>
          <w:szCs w:val="44"/>
        </w:rPr>
        <w:lastRenderedPageBreak/>
        <w:t>目</w:t>
      </w:r>
      <w:r>
        <w:rPr>
          <w:rFonts w:eastAsia="方正小标宋_GBK"/>
          <w:kern w:val="0"/>
          <w:sz w:val="44"/>
          <w:szCs w:val="44"/>
        </w:rPr>
        <w:t xml:space="preserve">  </w:t>
      </w:r>
      <w:r>
        <w:rPr>
          <w:rFonts w:eastAsia="方正小标宋_GBK"/>
          <w:kern w:val="0"/>
          <w:sz w:val="44"/>
          <w:szCs w:val="44"/>
        </w:rPr>
        <w:t>录</w:t>
      </w:r>
    </w:p>
    <w:p w:rsidR="0029667E" w:rsidRDefault="005F36FF">
      <w:pPr>
        <w:pStyle w:val="10"/>
        <w:tabs>
          <w:tab w:val="right" w:leader="dot" w:pos="8844"/>
        </w:tabs>
        <w:rPr>
          <w:noProof/>
        </w:rPr>
      </w:pPr>
      <w:r>
        <w:rPr>
          <w:snapToGrid w:val="0"/>
          <w:kern w:val="0"/>
          <w:szCs w:val="32"/>
        </w:rPr>
        <w:fldChar w:fldCharType="begin"/>
      </w:r>
      <w:r>
        <w:rPr>
          <w:snapToGrid w:val="0"/>
          <w:kern w:val="0"/>
          <w:szCs w:val="32"/>
        </w:rPr>
        <w:instrText xml:space="preserve"> TOC \o "1-2</w:instrText>
      </w:r>
      <w:r>
        <w:rPr>
          <w:snapToGrid w:val="0"/>
          <w:kern w:val="0"/>
          <w:szCs w:val="32"/>
        </w:rPr>
        <w:instrText xml:space="preserve">" \h \z \u </w:instrText>
      </w:r>
      <w:r>
        <w:rPr>
          <w:snapToGrid w:val="0"/>
          <w:kern w:val="0"/>
          <w:szCs w:val="32"/>
        </w:rPr>
        <w:fldChar w:fldCharType="separate"/>
      </w:r>
      <w:hyperlink w:anchor="_Toc256" w:history="1">
        <w:r>
          <w:rPr>
            <w:noProof/>
            <w:snapToGrid w:val="0"/>
          </w:rPr>
          <w:t>一、评价项目概述</w:t>
        </w:r>
        <w:r>
          <w:rPr>
            <w:noProof/>
          </w:rPr>
          <w:tab/>
        </w:r>
        <w:r>
          <w:rPr>
            <w:noProof/>
          </w:rPr>
          <w:fldChar w:fldCharType="begin"/>
        </w:r>
        <w:r>
          <w:rPr>
            <w:noProof/>
          </w:rPr>
          <w:instrText xml:space="preserve"> PAGEREF _Toc256 \h </w:instrText>
        </w:r>
        <w:r>
          <w:rPr>
            <w:noProof/>
          </w:rPr>
        </w:r>
        <w:r>
          <w:rPr>
            <w:noProof/>
          </w:rPr>
          <w:fldChar w:fldCharType="separate"/>
        </w:r>
        <w:r>
          <w:rPr>
            <w:noProof/>
          </w:rPr>
          <w:t>- 2 -</w:t>
        </w:r>
        <w:r>
          <w:rPr>
            <w:noProof/>
          </w:rPr>
          <w:fldChar w:fldCharType="end"/>
        </w:r>
      </w:hyperlink>
    </w:p>
    <w:p w:rsidR="0029667E" w:rsidRDefault="005F36FF" w:rsidP="005F36FF">
      <w:pPr>
        <w:pStyle w:val="20"/>
        <w:tabs>
          <w:tab w:val="right" w:leader="dot" w:pos="8844"/>
        </w:tabs>
        <w:ind w:firstLine="640"/>
        <w:rPr>
          <w:noProof/>
        </w:rPr>
      </w:pPr>
      <w:hyperlink w:anchor="_Toc8877" w:history="1">
        <w:r>
          <w:rPr>
            <w:noProof/>
            <w:snapToGrid w:val="0"/>
          </w:rPr>
          <w:t>（一）项目背景。</w:t>
        </w:r>
        <w:r>
          <w:rPr>
            <w:noProof/>
          </w:rPr>
          <w:tab/>
        </w:r>
        <w:r>
          <w:rPr>
            <w:noProof/>
          </w:rPr>
          <w:fldChar w:fldCharType="begin"/>
        </w:r>
        <w:r>
          <w:rPr>
            <w:noProof/>
          </w:rPr>
          <w:instrText xml:space="preserve"> PAGEREF _Toc8877 \h </w:instrText>
        </w:r>
        <w:r>
          <w:rPr>
            <w:noProof/>
          </w:rPr>
        </w:r>
        <w:r>
          <w:rPr>
            <w:noProof/>
          </w:rPr>
          <w:fldChar w:fldCharType="separate"/>
        </w:r>
        <w:r>
          <w:rPr>
            <w:noProof/>
          </w:rPr>
          <w:t>- 2 -</w:t>
        </w:r>
        <w:r>
          <w:rPr>
            <w:noProof/>
          </w:rPr>
          <w:fldChar w:fldCharType="end"/>
        </w:r>
      </w:hyperlink>
    </w:p>
    <w:p w:rsidR="0029667E" w:rsidRDefault="005F36FF" w:rsidP="005F36FF">
      <w:pPr>
        <w:pStyle w:val="20"/>
        <w:tabs>
          <w:tab w:val="right" w:leader="dot" w:pos="8844"/>
        </w:tabs>
        <w:ind w:firstLine="640"/>
        <w:rPr>
          <w:noProof/>
        </w:rPr>
      </w:pPr>
      <w:hyperlink w:anchor="_Toc26806" w:history="1">
        <w:r>
          <w:rPr>
            <w:noProof/>
          </w:rPr>
          <w:t>（二）项目立项依据。</w:t>
        </w:r>
        <w:r>
          <w:rPr>
            <w:noProof/>
          </w:rPr>
          <w:tab/>
        </w:r>
        <w:r>
          <w:rPr>
            <w:noProof/>
          </w:rPr>
          <w:fldChar w:fldCharType="begin"/>
        </w:r>
        <w:r>
          <w:rPr>
            <w:noProof/>
          </w:rPr>
          <w:instrText xml:space="preserve"> PAGEREF _Toc26806 \h </w:instrText>
        </w:r>
        <w:r>
          <w:rPr>
            <w:noProof/>
          </w:rPr>
        </w:r>
        <w:r>
          <w:rPr>
            <w:noProof/>
          </w:rPr>
          <w:fldChar w:fldCharType="separate"/>
        </w:r>
        <w:r>
          <w:rPr>
            <w:noProof/>
          </w:rPr>
          <w:t>- 3 -</w:t>
        </w:r>
        <w:r>
          <w:rPr>
            <w:noProof/>
          </w:rPr>
          <w:fldChar w:fldCharType="end"/>
        </w:r>
      </w:hyperlink>
    </w:p>
    <w:p w:rsidR="0029667E" w:rsidRDefault="005F36FF" w:rsidP="005F36FF">
      <w:pPr>
        <w:pStyle w:val="20"/>
        <w:tabs>
          <w:tab w:val="right" w:leader="dot" w:pos="8844"/>
        </w:tabs>
        <w:ind w:firstLine="640"/>
        <w:rPr>
          <w:noProof/>
        </w:rPr>
      </w:pPr>
      <w:hyperlink w:anchor="_Toc29857" w:history="1">
        <w:r>
          <w:rPr>
            <w:noProof/>
            <w:snapToGrid w:val="0"/>
          </w:rPr>
          <w:t>（三）项目绩效目标。</w:t>
        </w:r>
        <w:r>
          <w:rPr>
            <w:noProof/>
          </w:rPr>
          <w:tab/>
        </w:r>
        <w:r>
          <w:rPr>
            <w:noProof/>
          </w:rPr>
          <w:fldChar w:fldCharType="begin"/>
        </w:r>
        <w:r>
          <w:rPr>
            <w:noProof/>
          </w:rPr>
          <w:instrText xml:space="preserve"> PAGEREF _Toc29857 \h </w:instrText>
        </w:r>
        <w:r>
          <w:rPr>
            <w:noProof/>
          </w:rPr>
        </w:r>
        <w:r>
          <w:rPr>
            <w:noProof/>
          </w:rPr>
          <w:fldChar w:fldCharType="separate"/>
        </w:r>
        <w:r>
          <w:rPr>
            <w:noProof/>
          </w:rPr>
          <w:t>- 5 -</w:t>
        </w:r>
        <w:r>
          <w:rPr>
            <w:noProof/>
          </w:rPr>
          <w:fldChar w:fldCharType="end"/>
        </w:r>
      </w:hyperlink>
    </w:p>
    <w:p w:rsidR="0029667E" w:rsidRDefault="005F36FF" w:rsidP="005F36FF">
      <w:pPr>
        <w:pStyle w:val="20"/>
        <w:tabs>
          <w:tab w:val="right" w:leader="dot" w:pos="8844"/>
        </w:tabs>
        <w:ind w:firstLine="640"/>
        <w:rPr>
          <w:noProof/>
        </w:rPr>
      </w:pPr>
      <w:hyperlink w:anchor="_Toc22844" w:history="1">
        <w:r>
          <w:rPr>
            <w:noProof/>
            <w:snapToGrid w:val="0"/>
          </w:rPr>
          <w:t>（四）项目资金来源及使用情况。</w:t>
        </w:r>
        <w:r>
          <w:rPr>
            <w:noProof/>
          </w:rPr>
          <w:tab/>
        </w:r>
        <w:r>
          <w:rPr>
            <w:noProof/>
          </w:rPr>
          <w:fldChar w:fldCharType="begin"/>
        </w:r>
        <w:r>
          <w:rPr>
            <w:noProof/>
          </w:rPr>
          <w:instrText xml:space="preserve"> PAGEREF _Toc22844 \h </w:instrText>
        </w:r>
        <w:r>
          <w:rPr>
            <w:noProof/>
          </w:rPr>
        </w:r>
        <w:r>
          <w:rPr>
            <w:noProof/>
          </w:rPr>
          <w:fldChar w:fldCharType="separate"/>
        </w:r>
        <w:r>
          <w:rPr>
            <w:noProof/>
          </w:rPr>
          <w:t>- 8 -</w:t>
        </w:r>
        <w:r>
          <w:rPr>
            <w:noProof/>
          </w:rPr>
          <w:fldChar w:fldCharType="end"/>
        </w:r>
      </w:hyperlink>
    </w:p>
    <w:p w:rsidR="0029667E" w:rsidRDefault="005F36FF" w:rsidP="005F36FF">
      <w:pPr>
        <w:pStyle w:val="20"/>
        <w:tabs>
          <w:tab w:val="right" w:leader="dot" w:pos="8844"/>
        </w:tabs>
        <w:ind w:firstLine="640"/>
        <w:rPr>
          <w:noProof/>
        </w:rPr>
      </w:pPr>
      <w:hyperlink w:anchor="_Toc27392" w:history="1">
        <w:r>
          <w:rPr>
            <w:noProof/>
            <w:snapToGrid w:val="0"/>
          </w:rPr>
          <w:t>（五）项目实施情况。</w:t>
        </w:r>
        <w:r>
          <w:rPr>
            <w:noProof/>
          </w:rPr>
          <w:tab/>
        </w:r>
        <w:r>
          <w:rPr>
            <w:noProof/>
          </w:rPr>
          <w:fldChar w:fldCharType="begin"/>
        </w:r>
        <w:r>
          <w:rPr>
            <w:noProof/>
          </w:rPr>
          <w:instrText xml:space="preserve"> PAGEREF _Toc27392 \h </w:instrText>
        </w:r>
        <w:r>
          <w:rPr>
            <w:noProof/>
          </w:rPr>
        </w:r>
        <w:r>
          <w:rPr>
            <w:noProof/>
          </w:rPr>
          <w:fldChar w:fldCharType="separate"/>
        </w:r>
        <w:r>
          <w:rPr>
            <w:noProof/>
          </w:rPr>
          <w:t>- 10 -</w:t>
        </w:r>
        <w:r>
          <w:rPr>
            <w:noProof/>
          </w:rPr>
          <w:fldChar w:fldCharType="end"/>
        </w:r>
      </w:hyperlink>
    </w:p>
    <w:p w:rsidR="0029667E" w:rsidRDefault="005F36FF" w:rsidP="005F36FF">
      <w:pPr>
        <w:pStyle w:val="20"/>
        <w:tabs>
          <w:tab w:val="right" w:leader="dot" w:pos="8844"/>
        </w:tabs>
        <w:ind w:firstLine="640"/>
        <w:rPr>
          <w:noProof/>
        </w:rPr>
      </w:pPr>
      <w:hyperlink w:anchor="_Toc11495" w:history="1">
        <w:r>
          <w:rPr>
            <w:noProof/>
          </w:rPr>
          <w:t>二、绩效评价概述</w:t>
        </w:r>
        <w:r>
          <w:rPr>
            <w:noProof/>
          </w:rPr>
          <w:tab/>
        </w:r>
        <w:r>
          <w:rPr>
            <w:noProof/>
          </w:rPr>
          <w:fldChar w:fldCharType="begin"/>
        </w:r>
        <w:r>
          <w:rPr>
            <w:noProof/>
          </w:rPr>
          <w:instrText xml:space="preserve"> PAGEREF _Toc11495 \h </w:instrText>
        </w:r>
        <w:r>
          <w:rPr>
            <w:noProof/>
          </w:rPr>
        </w:r>
        <w:r>
          <w:rPr>
            <w:noProof/>
          </w:rPr>
          <w:fldChar w:fldCharType="separate"/>
        </w:r>
        <w:r>
          <w:rPr>
            <w:noProof/>
          </w:rPr>
          <w:t>- 16 -</w:t>
        </w:r>
        <w:r>
          <w:rPr>
            <w:noProof/>
          </w:rPr>
          <w:fldChar w:fldCharType="end"/>
        </w:r>
      </w:hyperlink>
    </w:p>
    <w:p w:rsidR="0029667E" w:rsidRDefault="005F36FF" w:rsidP="005F36FF">
      <w:pPr>
        <w:pStyle w:val="20"/>
        <w:tabs>
          <w:tab w:val="right" w:leader="dot" w:pos="8844"/>
        </w:tabs>
        <w:ind w:firstLine="640"/>
        <w:rPr>
          <w:noProof/>
        </w:rPr>
      </w:pPr>
      <w:hyperlink w:anchor="_Toc8141" w:history="1">
        <w:r>
          <w:rPr>
            <w:noProof/>
            <w:snapToGrid w:val="0"/>
          </w:rPr>
          <w:t>（一）评价目的。</w:t>
        </w:r>
        <w:r>
          <w:rPr>
            <w:noProof/>
          </w:rPr>
          <w:tab/>
        </w:r>
        <w:r>
          <w:rPr>
            <w:noProof/>
          </w:rPr>
          <w:fldChar w:fldCharType="begin"/>
        </w:r>
        <w:r>
          <w:rPr>
            <w:noProof/>
          </w:rPr>
          <w:instrText xml:space="preserve"> PAGEREF _Toc8141 \h </w:instrText>
        </w:r>
        <w:r>
          <w:rPr>
            <w:noProof/>
          </w:rPr>
        </w:r>
        <w:r>
          <w:rPr>
            <w:noProof/>
          </w:rPr>
          <w:fldChar w:fldCharType="separate"/>
        </w:r>
        <w:r>
          <w:rPr>
            <w:noProof/>
          </w:rPr>
          <w:t>- 16 -</w:t>
        </w:r>
        <w:r>
          <w:rPr>
            <w:noProof/>
          </w:rPr>
          <w:fldChar w:fldCharType="end"/>
        </w:r>
      </w:hyperlink>
    </w:p>
    <w:p w:rsidR="0029667E" w:rsidRDefault="005F36FF" w:rsidP="005F36FF">
      <w:pPr>
        <w:pStyle w:val="20"/>
        <w:tabs>
          <w:tab w:val="right" w:leader="dot" w:pos="8844"/>
        </w:tabs>
        <w:ind w:firstLine="640"/>
        <w:rPr>
          <w:noProof/>
        </w:rPr>
      </w:pPr>
      <w:hyperlink w:anchor="_Toc699" w:history="1">
        <w:r>
          <w:rPr>
            <w:noProof/>
            <w:snapToGrid w:val="0"/>
          </w:rPr>
          <w:t>（二）评价设计与实施。</w:t>
        </w:r>
        <w:r>
          <w:rPr>
            <w:noProof/>
          </w:rPr>
          <w:tab/>
        </w:r>
        <w:r>
          <w:rPr>
            <w:noProof/>
          </w:rPr>
          <w:fldChar w:fldCharType="begin"/>
        </w:r>
        <w:r>
          <w:rPr>
            <w:noProof/>
          </w:rPr>
          <w:instrText xml:space="preserve"> PAGEREF _Toc699 \h </w:instrText>
        </w:r>
        <w:r>
          <w:rPr>
            <w:noProof/>
          </w:rPr>
        </w:r>
        <w:r>
          <w:rPr>
            <w:noProof/>
          </w:rPr>
          <w:fldChar w:fldCharType="separate"/>
        </w:r>
        <w:r>
          <w:rPr>
            <w:noProof/>
          </w:rPr>
          <w:t>- 16 -</w:t>
        </w:r>
        <w:r>
          <w:rPr>
            <w:noProof/>
          </w:rPr>
          <w:fldChar w:fldCharType="end"/>
        </w:r>
      </w:hyperlink>
    </w:p>
    <w:p w:rsidR="0029667E" w:rsidRDefault="005F36FF" w:rsidP="005F36FF">
      <w:pPr>
        <w:pStyle w:val="20"/>
        <w:tabs>
          <w:tab w:val="right" w:leader="dot" w:pos="8844"/>
        </w:tabs>
        <w:ind w:firstLine="640"/>
        <w:rPr>
          <w:noProof/>
        </w:rPr>
      </w:pPr>
      <w:hyperlink w:anchor="_Toc14017" w:history="1">
        <w:r>
          <w:rPr>
            <w:noProof/>
          </w:rPr>
          <w:t>（三）绩效评价指标体系和评分标准方法。</w:t>
        </w:r>
        <w:r>
          <w:rPr>
            <w:noProof/>
          </w:rPr>
          <w:tab/>
        </w:r>
        <w:r>
          <w:rPr>
            <w:noProof/>
          </w:rPr>
          <w:fldChar w:fldCharType="begin"/>
        </w:r>
        <w:r>
          <w:rPr>
            <w:noProof/>
          </w:rPr>
          <w:instrText xml:space="preserve"> PAGEREF _Toc14017 \h </w:instrText>
        </w:r>
        <w:r>
          <w:rPr>
            <w:noProof/>
          </w:rPr>
        </w:r>
        <w:r>
          <w:rPr>
            <w:noProof/>
          </w:rPr>
          <w:fldChar w:fldCharType="separate"/>
        </w:r>
        <w:r>
          <w:rPr>
            <w:noProof/>
          </w:rPr>
          <w:t>- 22 -</w:t>
        </w:r>
        <w:r>
          <w:rPr>
            <w:noProof/>
          </w:rPr>
          <w:fldChar w:fldCharType="end"/>
        </w:r>
      </w:hyperlink>
    </w:p>
    <w:p w:rsidR="0029667E" w:rsidRDefault="005F36FF">
      <w:pPr>
        <w:pStyle w:val="10"/>
        <w:tabs>
          <w:tab w:val="right" w:leader="dot" w:pos="8844"/>
        </w:tabs>
        <w:rPr>
          <w:noProof/>
        </w:rPr>
      </w:pPr>
      <w:hyperlink w:anchor="_Toc5423" w:history="1">
        <w:r>
          <w:rPr>
            <w:noProof/>
            <w:snapToGrid w:val="0"/>
          </w:rPr>
          <w:t>三、评价结论与绩效分析</w:t>
        </w:r>
        <w:r>
          <w:rPr>
            <w:noProof/>
          </w:rPr>
          <w:tab/>
        </w:r>
        <w:r>
          <w:rPr>
            <w:noProof/>
          </w:rPr>
          <w:fldChar w:fldCharType="begin"/>
        </w:r>
        <w:r>
          <w:rPr>
            <w:noProof/>
          </w:rPr>
          <w:instrText xml:space="preserve"> PAGEREF _Toc5423 \h </w:instrText>
        </w:r>
        <w:r>
          <w:rPr>
            <w:noProof/>
          </w:rPr>
        </w:r>
        <w:r>
          <w:rPr>
            <w:noProof/>
          </w:rPr>
          <w:fldChar w:fldCharType="separate"/>
        </w:r>
        <w:r>
          <w:rPr>
            <w:noProof/>
          </w:rPr>
          <w:t>- 24 -</w:t>
        </w:r>
        <w:r>
          <w:rPr>
            <w:noProof/>
          </w:rPr>
          <w:fldChar w:fldCharType="end"/>
        </w:r>
      </w:hyperlink>
    </w:p>
    <w:p w:rsidR="0029667E" w:rsidRDefault="005F36FF" w:rsidP="005F36FF">
      <w:pPr>
        <w:pStyle w:val="20"/>
        <w:tabs>
          <w:tab w:val="right" w:leader="dot" w:pos="8844"/>
        </w:tabs>
        <w:ind w:firstLine="640"/>
        <w:rPr>
          <w:noProof/>
        </w:rPr>
      </w:pPr>
      <w:hyperlink w:anchor="_Toc6034" w:history="1">
        <w:r>
          <w:rPr>
            <w:noProof/>
          </w:rPr>
          <w:t>（一）总</w:t>
        </w:r>
        <w:bookmarkStart w:id="0" w:name="_GoBack"/>
        <w:bookmarkEnd w:id="0"/>
        <w:r>
          <w:rPr>
            <w:noProof/>
          </w:rPr>
          <w:t>体结论。</w:t>
        </w:r>
        <w:r>
          <w:rPr>
            <w:noProof/>
          </w:rPr>
          <w:tab/>
        </w:r>
        <w:r>
          <w:rPr>
            <w:noProof/>
          </w:rPr>
          <w:fldChar w:fldCharType="begin"/>
        </w:r>
        <w:r>
          <w:rPr>
            <w:noProof/>
          </w:rPr>
          <w:instrText xml:space="preserve"> PAGEREF _Toc6034 \h </w:instrText>
        </w:r>
        <w:r>
          <w:rPr>
            <w:noProof/>
          </w:rPr>
        </w:r>
        <w:r>
          <w:rPr>
            <w:noProof/>
          </w:rPr>
          <w:fldChar w:fldCharType="separate"/>
        </w:r>
        <w:r>
          <w:rPr>
            <w:noProof/>
          </w:rPr>
          <w:t>- 24 -</w:t>
        </w:r>
        <w:r>
          <w:rPr>
            <w:noProof/>
          </w:rPr>
          <w:fldChar w:fldCharType="end"/>
        </w:r>
      </w:hyperlink>
    </w:p>
    <w:p w:rsidR="0029667E" w:rsidRDefault="005F36FF" w:rsidP="005F36FF">
      <w:pPr>
        <w:pStyle w:val="20"/>
        <w:tabs>
          <w:tab w:val="right" w:leader="dot" w:pos="8844"/>
        </w:tabs>
        <w:ind w:firstLine="640"/>
        <w:rPr>
          <w:noProof/>
        </w:rPr>
      </w:pPr>
      <w:hyperlink w:anchor="_Toc20438" w:history="1">
        <w:r>
          <w:rPr>
            <w:noProof/>
            <w:snapToGrid w:val="0"/>
          </w:rPr>
          <w:t>（二）项目绩效分析。</w:t>
        </w:r>
        <w:r>
          <w:rPr>
            <w:noProof/>
          </w:rPr>
          <w:tab/>
        </w:r>
        <w:r>
          <w:rPr>
            <w:noProof/>
          </w:rPr>
          <w:fldChar w:fldCharType="begin"/>
        </w:r>
        <w:r>
          <w:rPr>
            <w:noProof/>
          </w:rPr>
          <w:instrText xml:space="preserve"> PAGEREF _Toc20438 \h </w:instrText>
        </w:r>
        <w:r>
          <w:rPr>
            <w:noProof/>
          </w:rPr>
        </w:r>
        <w:r>
          <w:rPr>
            <w:noProof/>
          </w:rPr>
          <w:fldChar w:fldCharType="separate"/>
        </w:r>
        <w:r>
          <w:rPr>
            <w:noProof/>
          </w:rPr>
          <w:t>- 25 -</w:t>
        </w:r>
        <w:r>
          <w:rPr>
            <w:noProof/>
          </w:rPr>
          <w:fldChar w:fldCharType="end"/>
        </w:r>
      </w:hyperlink>
    </w:p>
    <w:p w:rsidR="0029667E" w:rsidRDefault="005F36FF">
      <w:pPr>
        <w:pStyle w:val="10"/>
        <w:tabs>
          <w:tab w:val="right" w:leader="dot" w:pos="8844"/>
        </w:tabs>
        <w:rPr>
          <w:noProof/>
        </w:rPr>
      </w:pPr>
      <w:hyperlink w:anchor="_Toc24432" w:history="1">
        <w:r>
          <w:rPr>
            <w:noProof/>
            <w:snapToGrid w:val="0"/>
          </w:rPr>
          <w:t>四、项目主要绩效或成功经验</w:t>
        </w:r>
        <w:r>
          <w:rPr>
            <w:noProof/>
          </w:rPr>
          <w:tab/>
        </w:r>
        <w:r>
          <w:rPr>
            <w:noProof/>
          </w:rPr>
          <w:fldChar w:fldCharType="begin"/>
        </w:r>
        <w:r>
          <w:rPr>
            <w:noProof/>
          </w:rPr>
          <w:instrText xml:space="preserve"> PAGEREF _Toc24432 \h </w:instrText>
        </w:r>
        <w:r>
          <w:rPr>
            <w:noProof/>
          </w:rPr>
        </w:r>
        <w:r>
          <w:rPr>
            <w:noProof/>
          </w:rPr>
          <w:fldChar w:fldCharType="separate"/>
        </w:r>
        <w:r>
          <w:rPr>
            <w:noProof/>
          </w:rPr>
          <w:t>- 41 -</w:t>
        </w:r>
        <w:r>
          <w:rPr>
            <w:noProof/>
          </w:rPr>
          <w:fldChar w:fldCharType="end"/>
        </w:r>
      </w:hyperlink>
    </w:p>
    <w:p w:rsidR="0029667E" w:rsidRDefault="005F36FF" w:rsidP="005F36FF">
      <w:pPr>
        <w:pStyle w:val="20"/>
        <w:tabs>
          <w:tab w:val="right" w:leader="dot" w:pos="8844"/>
        </w:tabs>
        <w:ind w:firstLine="640"/>
        <w:rPr>
          <w:noProof/>
        </w:rPr>
      </w:pPr>
      <w:hyperlink w:anchor="_Toc25439" w:history="1">
        <w:r>
          <w:rPr>
            <w:noProof/>
            <w:snapToGrid w:val="0"/>
          </w:rPr>
          <w:t>（一）提高交通运行效率，促进区域经济发展。</w:t>
        </w:r>
        <w:r>
          <w:rPr>
            <w:noProof/>
          </w:rPr>
          <w:tab/>
        </w:r>
        <w:r>
          <w:rPr>
            <w:noProof/>
          </w:rPr>
          <w:fldChar w:fldCharType="begin"/>
        </w:r>
        <w:r>
          <w:rPr>
            <w:noProof/>
          </w:rPr>
          <w:instrText xml:space="preserve"> PAGEREF _Toc25439 \h </w:instrText>
        </w:r>
        <w:r>
          <w:rPr>
            <w:noProof/>
          </w:rPr>
        </w:r>
        <w:r>
          <w:rPr>
            <w:noProof/>
          </w:rPr>
          <w:fldChar w:fldCharType="separate"/>
        </w:r>
        <w:r>
          <w:rPr>
            <w:noProof/>
          </w:rPr>
          <w:t>- 41 -</w:t>
        </w:r>
        <w:r>
          <w:rPr>
            <w:noProof/>
          </w:rPr>
          <w:fldChar w:fldCharType="end"/>
        </w:r>
      </w:hyperlink>
    </w:p>
    <w:p w:rsidR="0029667E" w:rsidRDefault="005F36FF" w:rsidP="005F36FF">
      <w:pPr>
        <w:pStyle w:val="20"/>
        <w:tabs>
          <w:tab w:val="right" w:leader="dot" w:pos="8844"/>
        </w:tabs>
        <w:ind w:firstLine="640"/>
        <w:rPr>
          <w:noProof/>
        </w:rPr>
      </w:pPr>
      <w:hyperlink w:anchor="_Toc27530" w:history="1">
        <w:r>
          <w:rPr>
            <w:noProof/>
            <w:snapToGrid w:val="0"/>
          </w:rPr>
          <w:t>（二）完善城市空间规划，推动城市化发展进程。</w:t>
        </w:r>
        <w:r>
          <w:rPr>
            <w:noProof/>
          </w:rPr>
          <w:tab/>
        </w:r>
        <w:r>
          <w:rPr>
            <w:noProof/>
          </w:rPr>
          <w:fldChar w:fldCharType="begin"/>
        </w:r>
        <w:r>
          <w:rPr>
            <w:noProof/>
          </w:rPr>
          <w:instrText xml:space="preserve"> PAGEREF _Toc27530 \h </w:instrText>
        </w:r>
        <w:r>
          <w:rPr>
            <w:noProof/>
          </w:rPr>
        </w:r>
        <w:r>
          <w:rPr>
            <w:noProof/>
          </w:rPr>
          <w:fldChar w:fldCharType="separate"/>
        </w:r>
        <w:r>
          <w:rPr>
            <w:noProof/>
          </w:rPr>
          <w:t>- 42 -</w:t>
        </w:r>
        <w:r>
          <w:rPr>
            <w:noProof/>
          </w:rPr>
          <w:fldChar w:fldCharType="end"/>
        </w:r>
      </w:hyperlink>
    </w:p>
    <w:p w:rsidR="0029667E" w:rsidRDefault="005F36FF">
      <w:pPr>
        <w:pStyle w:val="10"/>
        <w:tabs>
          <w:tab w:val="right" w:leader="dot" w:pos="8844"/>
        </w:tabs>
        <w:rPr>
          <w:noProof/>
        </w:rPr>
      </w:pPr>
      <w:hyperlink w:anchor="_Toc21137" w:history="1">
        <w:r>
          <w:rPr>
            <w:noProof/>
            <w:snapToGrid w:val="0"/>
          </w:rPr>
          <w:t>五、存在问题或不足</w:t>
        </w:r>
        <w:r>
          <w:rPr>
            <w:noProof/>
          </w:rPr>
          <w:tab/>
        </w:r>
        <w:r>
          <w:rPr>
            <w:noProof/>
          </w:rPr>
          <w:fldChar w:fldCharType="begin"/>
        </w:r>
        <w:r>
          <w:rPr>
            <w:noProof/>
          </w:rPr>
          <w:instrText xml:space="preserve"> PAGEREF _Toc21137 \h </w:instrText>
        </w:r>
        <w:r>
          <w:rPr>
            <w:noProof/>
          </w:rPr>
        </w:r>
        <w:r>
          <w:rPr>
            <w:noProof/>
          </w:rPr>
          <w:fldChar w:fldCharType="separate"/>
        </w:r>
        <w:r>
          <w:rPr>
            <w:noProof/>
          </w:rPr>
          <w:t>- 42 -</w:t>
        </w:r>
        <w:r>
          <w:rPr>
            <w:noProof/>
          </w:rPr>
          <w:fldChar w:fldCharType="end"/>
        </w:r>
      </w:hyperlink>
    </w:p>
    <w:p w:rsidR="0029667E" w:rsidRDefault="005F36FF" w:rsidP="005F36FF">
      <w:pPr>
        <w:pStyle w:val="20"/>
        <w:tabs>
          <w:tab w:val="right" w:leader="dot" w:pos="8844"/>
        </w:tabs>
        <w:ind w:firstLine="640"/>
        <w:rPr>
          <w:noProof/>
        </w:rPr>
      </w:pPr>
      <w:hyperlink w:anchor="_Toc11414" w:history="1">
        <w:r>
          <w:rPr>
            <w:noProof/>
            <w:snapToGrid w:val="0"/>
          </w:rPr>
          <w:t>（一）</w:t>
        </w:r>
        <w:r>
          <w:rPr>
            <w:noProof/>
          </w:rPr>
          <w:t>实施程序规范性不足，监管工作力度有待提高。</w:t>
        </w:r>
        <w:r>
          <w:rPr>
            <w:noProof/>
          </w:rPr>
          <w:tab/>
        </w:r>
        <w:r>
          <w:rPr>
            <w:noProof/>
          </w:rPr>
          <w:fldChar w:fldCharType="begin"/>
        </w:r>
        <w:r>
          <w:rPr>
            <w:noProof/>
          </w:rPr>
          <w:instrText xml:space="preserve"> PAGEREF _Toc11414 \h </w:instrText>
        </w:r>
        <w:r>
          <w:rPr>
            <w:noProof/>
          </w:rPr>
        </w:r>
        <w:r>
          <w:rPr>
            <w:noProof/>
          </w:rPr>
          <w:fldChar w:fldCharType="separate"/>
        </w:r>
        <w:r>
          <w:rPr>
            <w:noProof/>
          </w:rPr>
          <w:t>- 42 -</w:t>
        </w:r>
        <w:r>
          <w:rPr>
            <w:noProof/>
          </w:rPr>
          <w:fldChar w:fldCharType="end"/>
        </w:r>
      </w:hyperlink>
    </w:p>
    <w:p w:rsidR="0029667E" w:rsidRDefault="005F36FF" w:rsidP="005F36FF">
      <w:pPr>
        <w:pStyle w:val="20"/>
        <w:tabs>
          <w:tab w:val="right" w:leader="dot" w:pos="8844"/>
        </w:tabs>
        <w:ind w:firstLine="640"/>
        <w:rPr>
          <w:noProof/>
        </w:rPr>
      </w:pPr>
      <w:hyperlink w:anchor="_Toc2092" w:history="1">
        <w:r>
          <w:rPr>
            <w:noProof/>
            <w:snapToGrid w:val="0"/>
          </w:rPr>
          <w:t>（二）</w:t>
        </w:r>
        <w:r>
          <w:rPr>
            <w:noProof/>
          </w:rPr>
          <w:t>绩效指标设置不够合理，指标体系有待完善。</w:t>
        </w:r>
        <w:r>
          <w:rPr>
            <w:noProof/>
          </w:rPr>
          <w:tab/>
        </w:r>
        <w:r>
          <w:rPr>
            <w:noProof/>
          </w:rPr>
          <w:fldChar w:fldCharType="begin"/>
        </w:r>
        <w:r>
          <w:rPr>
            <w:noProof/>
          </w:rPr>
          <w:instrText xml:space="preserve"> PAGEREF _Toc2092 \h </w:instrText>
        </w:r>
        <w:r>
          <w:rPr>
            <w:noProof/>
          </w:rPr>
        </w:r>
        <w:r>
          <w:rPr>
            <w:noProof/>
          </w:rPr>
          <w:fldChar w:fldCharType="separate"/>
        </w:r>
        <w:r>
          <w:rPr>
            <w:noProof/>
          </w:rPr>
          <w:t>- 43 -</w:t>
        </w:r>
        <w:r>
          <w:rPr>
            <w:noProof/>
          </w:rPr>
          <w:fldChar w:fldCharType="end"/>
        </w:r>
      </w:hyperlink>
    </w:p>
    <w:p w:rsidR="0029667E" w:rsidRDefault="005F36FF">
      <w:pPr>
        <w:pStyle w:val="10"/>
        <w:tabs>
          <w:tab w:val="right" w:leader="dot" w:pos="8844"/>
        </w:tabs>
        <w:rPr>
          <w:noProof/>
        </w:rPr>
      </w:pPr>
      <w:hyperlink w:anchor="_Toc13228" w:history="1">
        <w:r>
          <w:rPr>
            <w:noProof/>
            <w:snapToGrid w:val="0"/>
          </w:rPr>
          <w:t>六、相关建议</w:t>
        </w:r>
        <w:r>
          <w:rPr>
            <w:noProof/>
          </w:rPr>
          <w:tab/>
        </w:r>
        <w:r>
          <w:rPr>
            <w:noProof/>
          </w:rPr>
          <w:fldChar w:fldCharType="begin"/>
        </w:r>
        <w:r>
          <w:rPr>
            <w:noProof/>
          </w:rPr>
          <w:instrText xml:space="preserve"> PAGEREF _Toc13228 \h </w:instrText>
        </w:r>
        <w:r>
          <w:rPr>
            <w:noProof/>
          </w:rPr>
        </w:r>
        <w:r>
          <w:rPr>
            <w:noProof/>
          </w:rPr>
          <w:fldChar w:fldCharType="separate"/>
        </w:r>
        <w:r>
          <w:rPr>
            <w:noProof/>
          </w:rPr>
          <w:t>- 44 -</w:t>
        </w:r>
        <w:r>
          <w:rPr>
            <w:noProof/>
          </w:rPr>
          <w:fldChar w:fldCharType="end"/>
        </w:r>
      </w:hyperlink>
    </w:p>
    <w:p w:rsidR="0029667E" w:rsidRDefault="005F36FF" w:rsidP="005F36FF">
      <w:pPr>
        <w:pStyle w:val="20"/>
        <w:tabs>
          <w:tab w:val="right" w:leader="dot" w:pos="8844"/>
        </w:tabs>
        <w:ind w:firstLine="640"/>
        <w:rPr>
          <w:noProof/>
        </w:rPr>
      </w:pPr>
      <w:hyperlink w:anchor="_Toc17624" w:history="1">
        <w:r>
          <w:rPr>
            <w:noProof/>
          </w:rPr>
          <w:t>（一）加强前期调研和规划</w:t>
        </w:r>
        <w:r>
          <w:rPr>
            <w:bCs/>
            <w:noProof/>
          </w:rPr>
          <w:t>，</w:t>
        </w:r>
        <w:r>
          <w:rPr>
            <w:noProof/>
          </w:rPr>
          <w:t>提高项目管理水平和效率。</w:t>
        </w:r>
        <w:r>
          <w:rPr>
            <w:noProof/>
          </w:rPr>
          <w:tab/>
        </w:r>
        <w:r>
          <w:rPr>
            <w:noProof/>
          </w:rPr>
          <w:fldChar w:fldCharType="begin"/>
        </w:r>
        <w:r>
          <w:rPr>
            <w:noProof/>
          </w:rPr>
          <w:instrText xml:space="preserve"> PAGEREF _Toc17624 \h </w:instrText>
        </w:r>
        <w:r>
          <w:rPr>
            <w:noProof/>
          </w:rPr>
        </w:r>
        <w:r>
          <w:rPr>
            <w:noProof/>
          </w:rPr>
          <w:fldChar w:fldCharType="separate"/>
        </w:r>
        <w:r>
          <w:rPr>
            <w:noProof/>
          </w:rPr>
          <w:t>- 44 -</w:t>
        </w:r>
        <w:r>
          <w:rPr>
            <w:noProof/>
          </w:rPr>
          <w:fldChar w:fldCharType="end"/>
        </w:r>
      </w:hyperlink>
    </w:p>
    <w:p w:rsidR="0029667E" w:rsidRDefault="005F36FF" w:rsidP="005F36FF">
      <w:pPr>
        <w:pStyle w:val="20"/>
        <w:tabs>
          <w:tab w:val="right" w:leader="dot" w:pos="8844"/>
        </w:tabs>
        <w:ind w:firstLine="640"/>
        <w:rPr>
          <w:noProof/>
        </w:rPr>
      </w:pPr>
      <w:hyperlink w:anchor="_Toc11003" w:history="1">
        <w:r>
          <w:rPr>
            <w:bCs/>
            <w:noProof/>
          </w:rPr>
          <w:t>（二）提高绩效目标科学性，完善绩效指标设置。</w:t>
        </w:r>
        <w:r>
          <w:rPr>
            <w:noProof/>
          </w:rPr>
          <w:tab/>
        </w:r>
        <w:r>
          <w:rPr>
            <w:noProof/>
          </w:rPr>
          <w:fldChar w:fldCharType="begin"/>
        </w:r>
        <w:r>
          <w:rPr>
            <w:noProof/>
          </w:rPr>
          <w:instrText xml:space="preserve"> PAGEREF _Toc11003 \h </w:instrText>
        </w:r>
        <w:r>
          <w:rPr>
            <w:noProof/>
          </w:rPr>
        </w:r>
        <w:r>
          <w:rPr>
            <w:noProof/>
          </w:rPr>
          <w:fldChar w:fldCharType="separate"/>
        </w:r>
        <w:r>
          <w:rPr>
            <w:noProof/>
          </w:rPr>
          <w:t>- 45 -</w:t>
        </w:r>
        <w:r>
          <w:rPr>
            <w:noProof/>
          </w:rPr>
          <w:fldChar w:fldCharType="end"/>
        </w:r>
      </w:hyperlink>
    </w:p>
    <w:p w:rsidR="0029667E" w:rsidRDefault="005F36FF">
      <w:pPr>
        <w:pStyle w:val="10"/>
        <w:tabs>
          <w:tab w:val="right" w:leader="dot" w:pos="8844"/>
        </w:tabs>
        <w:rPr>
          <w:noProof/>
        </w:rPr>
      </w:pPr>
      <w:hyperlink w:anchor="_Toc28044" w:history="1">
        <w:r>
          <w:rPr>
            <w:noProof/>
          </w:rPr>
          <w:t>附件</w:t>
        </w:r>
        <w:r>
          <w:rPr>
            <w:noProof/>
          </w:rPr>
          <w:t>1</w:t>
        </w:r>
        <w:r>
          <w:rPr>
            <w:noProof/>
          </w:rPr>
          <w:t>：新塘站片区路网</w:t>
        </w:r>
        <w:r>
          <w:rPr>
            <w:noProof/>
          </w:rPr>
          <w:t>-</w:t>
        </w:r>
        <w:r>
          <w:rPr>
            <w:noProof/>
          </w:rPr>
          <w:t>纵一路、新源路及汽车城大道建设工程项目绩效评价指标评分表</w:t>
        </w:r>
        <w:r>
          <w:rPr>
            <w:noProof/>
          </w:rPr>
          <w:tab/>
        </w:r>
        <w:r>
          <w:rPr>
            <w:noProof/>
          </w:rPr>
          <w:fldChar w:fldCharType="begin"/>
        </w:r>
        <w:r>
          <w:rPr>
            <w:noProof/>
          </w:rPr>
          <w:instrText xml:space="preserve"> PAGEREF _Toc28044 \h </w:instrText>
        </w:r>
        <w:r>
          <w:rPr>
            <w:noProof/>
          </w:rPr>
        </w:r>
        <w:r>
          <w:rPr>
            <w:noProof/>
          </w:rPr>
          <w:fldChar w:fldCharType="separate"/>
        </w:r>
        <w:r>
          <w:rPr>
            <w:noProof/>
          </w:rPr>
          <w:t>- 48 -</w:t>
        </w:r>
        <w:r>
          <w:rPr>
            <w:noProof/>
          </w:rPr>
          <w:fldChar w:fldCharType="end"/>
        </w:r>
      </w:hyperlink>
    </w:p>
    <w:p w:rsidR="0029667E" w:rsidRDefault="005F36FF">
      <w:pPr>
        <w:pStyle w:val="10"/>
        <w:tabs>
          <w:tab w:val="right" w:leader="dot" w:pos="8844"/>
        </w:tabs>
        <w:rPr>
          <w:noProof/>
        </w:rPr>
      </w:pPr>
      <w:hyperlink w:anchor="_Toc16669" w:history="1">
        <w:r>
          <w:rPr>
            <w:noProof/>
          </w:rPr>
          <w:t>附件</w:t>
        </w:r>
        <w:r>
          <w:rPr>
            <w:noProof/>
          </w:rPr>
          <w:t>2</w:t>
        </w:r>
        <w:r>
          <w:rPr>
            <w:noProof/>
          </w:rPr>
          <w:t>：项目满意</w:t>
        </w:r>
        <w:r>
          <w:rPr>
            <w:noProof/>
          </w:rPr>
          <w:t>度问卷结果</w:t>
        </w:r>
        <w:r>
          <w:rPr>
            <w:noProof/>
          </w:rPr>
          <w:tab/>
        </w:r>
        <w:r>
          <w:rPr>
            <w:noProof/>
          </w:rPr>
          <w:fldChar w:fldCharType="begin"/>
        </w:r>
        <w:r>
          <w:rPr>
            <w:noProof/>
          </w:rPr>
          <w:instrText xml:space="preserve"> PAGEREF _Toc16669 \h </w:instrText>
        </w:r>
        <w:r>
          <w:rPr>
            <w:noProof/>
          </w:rPr>
        </w:r>
        <w:r>
          <w:rPr>
            <w:noProof/>
          </w:rPr>
          <w:fldChar w:fldCharType="separate"/>
        </w:r>
        <w:r>
          <w:rPr>
            <w:noProof/>
          </w:rPr>
          <w:t>- 70 -</w:t>
        </w:r>
        <w:r>
          <w:rPr>
            <w:noProof/>
          </w:rPr>
          <w:fldChar w:fldCharType="end"/>
        </w:r>
      </w:hyperlink>
    </w:p>
    <w:p w:rsidR="0029667E" w:rsidRDefault="005F36FF">
      <w:pPr>
        <w:ind w:firstLineChars="0" w:firstLine="0"/>
        <w:jc w:val="center"/>
        <w:rPr>
          <w:snapToGrid w:val="0"/>
          <w:kern w:val="0"/>
          <w:szCs w:val="32"/>
        </w:rPr>
      </w:pPr>
      <w:r>
        <w:rPr>
          <w:snapToGrid w:val="0"/>
          <w:kern w:val="0"/>
          <w:szCs w:val="32"/>
        </w:rPr>
        <w:fldChar w:fldCharType="end"/>
      </w:r>
    </w:p>
    <w:p w:rsidR="0029667E" w:rsidRDefault="0029667E">
      <w:pPr>
        <w:ind w:firstLineChars="0" w:firstLine="0"/>
        <w:jc w:val="center"/>
        <w:rPr>
          <w:snapToGrid w:val="0"/>
          <w:kern w:val="0"/>
          <w:szCs w:val="32"/>
        </w:rPr>
        <w:sectPr w:rsidR="0029667E">
          <w:pgSz w:w="11906" w:h="16838"/>
          <w:pgMar w:top="2041" w:right="1474" w:bottom="1985" w:left="1588" w:header="851" w:footer="992" w:gutter="0"/>
          <w:cols w:space="720"/>
          <w:docGrid w:type="linesAndChars" w:linePitch="435"/>
        </w:sectPr>
      </w:pPr>
    </w:p>
    <w:p w:rsidR="0029667E" w:rsidRDefault="005F36FF">
      <w:pPr>
        <w:adjustRightInd w:val="0"/>
        <w:snapToGrid w:val="0"/>
        <w:spacing w:line="560" w:lineRule="atLeast"/>
        <w:ind w:firstLineChars="0" w:firstLine="0"/>
        <w:jc w:val="center"/>
        <w:rPr>
          <w:rFonts w:eastAsia="方正小标宋_GBK"/>
          <w:kern w:val="0"/>
          <w:sz w:val="44"/>
          <w:szCs w:val="44"/>
        </w:rPr>
      </w:pPr>
      <w:r>
        <w:rPr>
          <w:rFonts w:eastAsia="方正小标宋_GBK"/>
          <w:kern w:val="0"/>
          <w:sz w:val="44"/>
          <w:szCs w:val="44"/>
        </w:rPr>
        <w:lastRenderedPageBreak/>
        <w:t>新塘站片区路网</w:t>
      </w:r>
      <w:r>
        <w:rPr>
          <w:rFonts w:eastAsia="方正小标宋_GBK"/>
          <w:kern w:val="0"/>
          <w:sz w:val="44"/>
          <w:szCs w:val="44"/>
        </w:rPr>
        <w:t>-</w:t>
      </w:r>
      <w:r>
        <w:rPr>
          <w:rFonts w:eastAsia="方正小标宋_GBK"/>
          <w:kern w:val="0"/>
          <w:sz w:val="44"/>
          <w:szCs w:val="44"/>
        </w:rPr>
        <w:t>纵一路、新源路及汽车城大道建设工程项目绩效评价报告</w:t>
      </w:r>
    </w:p>
    <w:p w:rsidR="0029667E" w:rsidRDefault="005F36FF">
      <w:pPr>
        <w:ind w:firstLine="640"/>
      </w:pPr>
      <w:r>
        <w:t>根据《广州市增城区财政局关于开展</w:t>
      </w:r>
      <w:r>
        <w:t>2024</w:t>
      </w:r>
      <w:r>
        <w:t>年财政评价工作的通知》（增财〔</w:t>
      </w:r>
      <w:r>
        <w:t>2024</w:t>
      </w:r>
      <w:r>
        <w:t>〕</w:t>
      </w:r>
      <w:r>
        <w:t>178</w:t>
      </w:r>
      <w:r>
        <w:t>号）文件要求，广东</w:t>
      </w:r>
      <w:proofErr w:type="gramStart"/>
      <w:r>
        <w:t>国众联</w:t>
      </w:r>
      <w:proofErr w:type="gramEnd"/>
      <w:r>
        <w:t>行资产评估土地房地产估价规划咨询有限公司（以下简称</w:t>
      </w:r>
      <w:r>
        <w:rPr>
          <w:rFonts w:ascii="仿宋_GB2312" w:hint="eastAsia"/>
        </w:rPr>
        <w:t>“</w:t>
      </w:r>
      <w:r>
        <w:t>我机构</w:t>
      </w:r>
      <w:r>
        <w:rPr>
          <w:rFonts w:ascii="仿宋_GB2312" w:hint="eastAsia"/>
        </w:rPr>
        <w:t>”</w:t>
      </w:r>
      <w:r>
        <w:t>）受广州市增城区财</w:t>
      </w:r>
      <w:r>
        <w:t>政局（以下简称</w:t>
      </w:r>
      <w:r>
        <w:rPr>
          <w:rFonts w:ascii="仿宋_GB2312" w:hint="eastAsia"/>
        </w:rPr>
        <w:t>“</w:t>
      </w:r>
      <w:r>
        <w:t>区财政局</w:t>
      </w:r>
      <w:r>
        <w:rPr>
          <w:rFonts w:ascii="仿宋_GB2312" w:hint="eastAsia"/>
        </w:rPr>
        <w:t>”</w:t>
      </w:r>
      <w:r>
        <w:t>）委托，作为广州市增城区</w:t>
      </w:r>
      <w:r>
        <w:t>2024</w:t>
      </w:r>
      <w:r>
        <w:t>年绩效评价服务单位，开展</w:t>
      </w:r>
      <w:r>
        <w:t>2024</w:t>
      </w:r>
      <w:r>
        <w:t>年增</w:t>
      </w:r>
      <w:proofErr w:type="gramStart"/>
      <w:r>
        <w:t>城区级</w:t>
      </w:r>
      <w:proofErr w:type="gramEnd"/>
      <w:r>
        <w:t>财政资金支出绩效评价工作。根据《广州市增城区关于印发</w:t>
      </w:r>
      <w:r>
        <w:t>2024</w:t>
      </w:r>
      <w:r>
        <w:t>年增城区级财政资金支出绩效评价工作方案的通知》（增财〔</w:t>
      </w:r>
      <w:r>
        <w:t>2024</w:t>
      </w:r>
      <w:r>
        <w:t>〕</w:t>
      </w:r>
      <w:r>
        <w:t>212</w:t>
      </w:r>
      <w:r>
        <w:t>号）有关要求，对广州市增城区交通运输局（以下简称</w:t>
      </w:r>
      <w:r>
        <w:rPr>
          <w:rFonts w:ascii="仿宋_GB2312" w:hint="eastAsia"/>
        </w:rPr>
        <w:t>“</w:t>
      </w:r>
      <w:r>
        <w:t>区交通运输局</w:t>
      </w:r>
      <w:r>
        <w:rPr>
          <w:rFonts w:ascii="仿宋_GB2312" w:hint="eastAsia"/>
        </w:rPr>
        <w:t>”</w:t>
      </w:r>
      <w:r>
        <w:t>）新塘站片区路网</w:t>
      </w:r>
      <w:r>
        <w:t>-</w:t>
      </w:r>
      <w:r>
        <w:t>纵一路、新源路及汽车城大道建设工程开展重点绩效评价，项目资金主管部门为区交通运输局，具体实施单位为广州市增城区道路养护中心（以下简称</w:t>
      </w:r>
      <w:r>
        <w:rPr>
          <w:rFonts w:ascii="仿宋_GB2312" w:hint="eastAsia"/>
        </w:rPr>
        <w:t>“</w:t>
      </w:r>
      <w:r>
        <w:t>区道路养护中心</w:t>
      </w:r>
      <w:r>
        <w:rPr>
          <w:rFonts w:ascii="仿宋_GB2312" w:hint="eastAsia"/>
        </w:rPr>
        <w:t>”</w:t>
      </w:r>
      <w:r>
        <w:t>）。</w:t>
      </w:r>
    </w:p>
    <w:p w:rsidR="0029667E" w:rsidRDefault="005F36FF">
      <w:pPr>
        <w:ind w:firstLine="640"/>
      </w:pPr>
      <w:r>
        <w:t>经自评材料书面评审和现场勘查评价，结合决策、</w:t>
      </w:r>
      <w:r>
        <w:t>过程、产出和效益四方面综合对项目绩效进行比较分析，对新塘站片区路网</w:t>
      </w:r>
      <w:r>
        <w:t>-</w:t>
      </w:r>
      <w:r>
        <w:t>纵一路、新源路及汽车城大道建设工程综合评价，项目</w:t>
      </w:r>
      <w:r>
        <w:t>2023</w:t>
      </w:r>
      <w:r>
        <w:t>年涉及资金</w:t>
      </w:r>
      <w:r>
        <w:t>67281.55</w:t>
      </w:r>
      <w:r>
        <w:t>万元，实际支出</w:t>
      </w:r>
      <w:r>
        <w:t>67281.55</w:t>
      </w:r>
      <w:r>
        <w:t>万元，预算执行率</w:t>
      </w:r>
      <w:r>
        <w:t>100%</w:t>
      </w:r>
      <w:r>
        <w:t>，绩效得分</w:t>
      </w:r>
      <w:r>
        <w:rPr>
          <w:rFonts w:hint="eastAsia"/>
        </w:rPr>
        <w:t>89.5</w:t>
      </w:r>
      <w:r>
        <w:t>分，评定等级为</w:t>
      </w:r>
      <w:r>
        <w:rPr>
          <w:rFonts w:ascii="仿宋_GB2312" w:hint="eastAsia"/>
        </w:rPr>
        <w:t>“</w:t>
      </w:r>
      <w:r>
        <w:rPr>
          <w:rFonts w:hint="eastAsia"/>
        </w:rPr>
        <w:t>良</w:t>
      </w:r>
      <w:r>
        <w:rPr>
          <w:rFonts w:ascii="仿宋_GB2312" w:hint="eastAsia"/>
        </w:rPr>
        <w:t>”</w:t>
      </w:r>
      <w:r>
        <w:t>。</w:t>
      </w:r>
    </w:p>
    <w:p w:rsidR="0029667E" w:rsidRDefault="005F36FF">
      <w:pPr>
        <w:pStyle w:val="1"/>
        <w:ind w:firstLine="640"/>
        <w:rPr>
          <w:snapToGrid w:val="0"/>
        </w:rPr>
      </w:pPr>
      <w:bookmarkStart w:id="1" w:name="_Toc19465"/>
      <w:bookmarkStart w:id="2" w:name="_Toc14188"/>
      <w:bookmarkStart w:id="3" w:name="_Toc5929"/>
      <w:bookmarkStart w:id="4" w:name="_Toc256"/>
      <w:r>
        <w:rPr>
          <w:snapToGrid w:val="0"/>
        </w:rPr>
        <w:lastRenderedPageBreak/>
        <w:t>一、评价项目概述</w:t>
      </w:r>
      <w:bookmarkEnd w:id="1"/>
      <w:bookmarkEnd w:id="2"/>
      <w:bookmarkEnd w:id="3"/>
      <w:bookmarkEnd w:id="4"/>
    </w:p>
    <w:p w:rsidR="0029667E" w:rsidRDefault="005F36FF">
      <w:pPr>
        <w:pStyle w:val="2"/>
        <w:ind w:firstLine="640"/>
        <w:rPr>
          <w:rFonts w:cs="Times New Roman"/>
          <w:snapToGrid w:val="0"/>
        </w:rPr>
      </w:pPr>
      <w:bookmarkStart w:id="5" w:name="_Toc7392"/>
      <w:bookmarkStart w:id="6" w:name="_Toc2763"/>
      <w:bookmarkStart w:id="7" w:name="_Toc2915"/>
      <w:bookmarkStart w:id="8" w:name="_Toc8877"/>
      <w:r>
        <w:rPr>
          <w:rFonts w:cs="Times New Roman"/>
          <w:snapToGrid w:val="0"/>
        </w:rPr>
        <w:t>（一）项目背景。</w:t>
      </w:r>
      <w:bookmarkEnd w:id="5"/>
      <w:bookmarkEnd w:id="6"/>
      <w:bookmarkEnd w:id="7"/>
      <w:bookmarkEnd w:id="8"/>
    </w:p>
    <w:p w:rsidR="0029667E" w:rsidRDefault="005F36FF">
      <w:pPr>
        <w:ind w:firstLine="640"/>
      </w:pPr>
      <w:r>
        <w:t>广州是全国三大综合交通枢纽之一，是中长期铁路网规划八纵八横高速铁路网中的重要枢纽。中共广州市委十届九次全会提出，广州要建设网络型枢纽城市，以建设互联互通的国际综合交通枢纽为目标，规划</w:t>
      </w:r>
      <w:r>
        <w:t>10</w:t>
      </w:r>
      <w:r>
        <w:t>个铁路客运枢纽，新塘站是</w:t>
      </w:r>
      <w:r>
        <w:rPr>
          <w:rFonts w:ascii="仿宋_GB2312" w:hint="eastAsia"/>
        </w:rPr>
        <w:t>“</w:t>
      </w:r>
      <w:r>
        <w:t>五主三辅</w:t>
      </w:r>
      <w:r>
        <w:rPr>
          <w:rFonts w:ascii="仿宋_GB2312" w:hint="eastAsia"/>
        </w:rPr>
        <w:t>”</w:t>
      </w:r>
      <w:r>
        <w:t>结构中的一个辅助站。广州东部交通枢纽中心处于广州市城市空间发展战略的</w:t>
      </w:r>
      <w:r>
        <w:rPr>
          <w:rFonts w:ascii="仿宋_GB2312" w:hint="eastAsia"/>
        </w:rPr>
        <w:t>“</w:t>
      </w:r>
      <w:r>
        <w:t>东进</w:t>
      </w:r>
      <w:r>
        <w:rPr>
          <w:rFonts w:ascii="仿宋_GB2312" w:hint="eastAsia"/>
        </w:rPr>
        <w:t>”</w:t>
      </w:r>
      <w:r>
        <w:t>轴上，为广州东门户，集国家铁路、城际轨道、城市铁路、长途客运、一般城市公交、出租车服务为一体，为广州市综合交通网络上的重要节点，是城市蓬勃发展的重要引擎和动力。同时，通过打造东部交通枢纽中心桥头堡，带动片区开发，以投资拉动经济发展，推动增城区产业转型升级，服务广州东部及辐射粤东地区，激发社会经济发展的新活力和新动力。现行控</w:t>
      </w:r>
      <w:proofErr w:type="gramStart"/>
      <w:r>
        <w:t>规</w:t>
      </w:r>
      <w:proofErr w:type="gramEnd"/>
      <w:r>
        <w:t>提出新塘站形成新广州东客运枢纽，定位为与南部、北部枢纽同等重要的广州东部门户枢纽，被规划为广州市一级客运枢纽和</w:t>
      </w:r>
      <w:r>
        <w:t>广州铁路枢纽辅助站。</w:t>
      </w:r>
    </w:p>
    <w:p w:rsidR="0029667E" w:rsidRDefault="005F36FF">
      <w:pPr>
        <w:pStyle w:val="21"/>
        <w:ind w:firstLine="640"/>
      </w:pPr>
      <w:r>
        <w:t>根据新塘站站房的规划，站房位置与现状新新公路重叠，新新公路主要有长距离的过境交通以及短距离的内部交通，交通量较大，建设全线高</w:t>
      </w:r>
      <w:proofErr w:type="gramStart"/>
      <w:r>
        <w:t>架可以</w:t>
      </w:r>
      <w:proofErr w:type="gramEnd"/>
      <w:r>
        <w:t>达到快速疏解过境交通的功能；内部交通需要通过</w:t>
      </w:r>
      <w:proofErr w:type="gramStart"/>
      <w:r>
        <w:t>纵</w:t>
      </w:r>
      <w:proofErr w:type="gramEnd"/>
      <w:r>
        <w:t>一路和新源路南段，负责被广</w:t>
      </w:r>
      <w:proofErr w:type="gramStart"/>
      <w:r>
        <w:t>汕</w:t>
      </w:r>
      <w:proofErr w:type="gramEnd"/>
      <w:r>
        <w:t>高铁分开地块的南北向联系，因此本项目作为新塘站的配套路网，承担着新塘站周边客、货运输送功能，是完善新塘站交通枢纽功能</w:t>
      </w:r>
      <w:r>
        <w:lastRenderedPageBreak/>
        <w:t>的重要一环，是配合广</w:t>
      </w:r>
      <w:proofErr w:type="gramStart"/>
      <w:r>
        <w:t>汕客专建设</w:t>
      </w:r>
      <w:proofErr w:type="gramEnd"/>
      <w:r>
        <w:t>的需要。根据《</w:t>
      </w:r>
      <w:r>
        <w:t>2017</w:t>
      </w:r>
      <w:r>
        <w:t>年度广州市规划委员会城市交通及市政设施委员会第三次会议纪要》（穗</w:t>
      </w:r>
      <w:proofErr w:type="gramStart"/>
      <w:r>
        <w:t>规</w:t>
      </w:r>
      <w:proofErr w:type="gramEnd"/>
      <w:r>
        <w:t>交委会〔</w:t>
      </w:r>
      <w:r>
        <w:t>2017</w:t>
      </w:r>
      <w:r>
        <w:t>〕</w:t>
      </w:r>
      <w:r>
        <w:t>3</w:t>
      </w:r>
      <w:r>
        <w:t>号）文件精神，会议表决通过了关于</w:t>
      </w:r>
      <w:r>
        <w:t>《广汕客专新塘站周边地区道路系统规划及近期实施建议》的相关事项：一是原则同意广</w:t>
      </w:r>
      <w:proofErr w:type="gramStart"/>
      <w:r>
        <w:t>汕客专新</w:t>
      </w:r>
      <w:proofErr w:type="gramEnd"/>
      <w:r>
        <w:t>塘站周边地区道路系统规划方案；二是由广州市发展改革委牵头制订道路建设计划，明确实施界面、建设时序及投资主体，并将部分道路作为站场配套工程纳入省、市重点项目同步立项等。</w:t>
      </w:r>
    </w:p>
    <w:p w:rsidR="0029667E" w:rsidRDefault="005F36FF">
      <w:pPr>
        <w:pStyle w:val="2"/>
        <w:ind w:firstLine="640"/>
      </w:pPr>
      <w:bookmarkStart w:id="9" w:name="_Toc17786"/>
      <w:bookmarkStart w:id="10" w:name="_Toc14405"/>
      <w:bookmarkStart w:id="11" w:name="_Toc12260"/>
      <w:bookmarkStart w:id="12" w:name="_Toc26806"/>
      <w:r>
        <w:t>（二）项目立项依据。</w:t>
      </w:r>
      <w:bookmarkEnd w:id="9"/>
      <w:bookmarkEnd w:id="10"/>
      <w:bookmarkEnd w:id="11"/>
      <w:bookmarkEnd w:id="12"/>
    </w:p>
    <w:p w:rsidR="0029667E" w:rsidRDefault="005F36FF">
      <w:pPr>
        <w:ind w:firstLine="640"/>
        <w:rPr>
          <w:color w:val="000000"/>
          <w:szCs w:val="32"/>
        </w:rPr>
      </w:pPr>
      <w:r>
        <w:t>根据《广州市增城区发展和改革局关于新塘站片区路网</w:t>
      </w:r>
      <w:r>
        <w:t>-</w:t>
      </w:r>
      <w:r>
        <w:t>纵一路、新源路及汽车城大道建设工程项目可行性研究报告的批复》（增发改投〔</w:t>
      </w:r>
      <w:r>
        <w:t>2019</w:t>
      </w:r>
      <w:r>
        <w:t>〕</w:t>
      </w:r>
      <w:r>
        <w:t>129</w:t>
      </w:r>
      <w:r>
        <w:t>号），</w:t>
      </w:r>
      <w:r>
        <w:rPr>
          <w:color w:val="000000"/>
          <w:szCs w:val="32"/>
        </w:rPr>
        <w:t>为服务广州东部及辐射粤东地区，激发地区社会经济发展，</w:t>
      </w:r>
      <w:r>
        <w:t>2019</w:t>
      </w:r>
      <w:r>
        <w:t>年</w:t>
      </w:r>
      <w:r>
        <w:t>4</w:t>
      </w:r>
      <w:r>
        <w:t>月</w:t>
      </w:r>
      <w:r>
        <w:t>18</w:t>
      </w:r>
      <w:r>
        <w:t>日广州市增城区发展和改</w:t>
      </w:r>
      <w:r>
        <w:t>革局（以下简称</w:t>
      </w:r>
      <w:r>
        <w:rPr>
          <w:rFonts w:ascii="仿宋_GB2312" w:hint="eastAsia"/>
        </w:rPr>
        <w:t>“以下简称城区发展改革局</w:t>
      </w:r>
      <w:r>
        <w:t>）批复</w:t>
      </w:r>
      <w:r>
        <w:rPr>
          <w:color w:val="000000"/>
          <w:szCs w:val="32"/>
        </w:rPr>
        <w:t>同意实施新塘站片区路网一纵一路、新源路及汽车城大道建设工程。项目主要建设内容包括道路、桥梁、隧道、给排水、交通、通信、电力、照明和绿化景观等工程，其中道路建设工程包括：纵一路、新源路主线及新源路支线、环城路改造、汽车城大道主线、汽车城大道支线</w:t>
      </w:r>
      <w:r>
        <w:rPr>
          <w:color w:val="000000"/>
          <w:szCs w:val="32"/>
        </w:rPr>
        <w:t>1</w:t>
      </w:r>
      <w:r>
        <w:rPr>
          <w:color w:val="000000"/>
          <w:szCs w:val="32"/>
        </w:rPr>
        <w:t>及汽车城大道支线</w:t>
      </w:r>
      <w:r>
        <w:rPr>
          <w:color w:val="000000"/>
          <w:szCs w:val="32"/>
        </w:rPr>
        <w:t>2</w:t>
      </w:r>
      <w:r>
        <w:rPr>
          <w:color w:val="000000"/>
          <w:szCs w:val="32"/>
        </w:rPr>
        <w:t>，道路主线等级均为一级公路结合城市主干道，支线等级为三级公路结合城市支路。</w:t>
      </w:r>
      <w:r>
        <w:t>项目计划</w:t>
      </w:r>
      <w:r>
        <w:t>2019</w:t>
      </w:r>
      <w:r>
        <w:t>年</w:t>
      </w:r>
      <w:r>
        <w:t>9</w:t>
      </w:r>
      <w:r>
        <w:t>月动工，</w:t>
      </w:r>
      <w:r>
        <w:t>2021</w:t>
      </w:r>
      <w:r>
        <w:t>年</w:t>
      </w:r>
      <w:r>
        <w:t>2</w:t>
      </w:r>
      <w:r>
        <w:t>月竣工。</w:t>
      </w:r>
    </w:p>
    <w:p w:rsidR="0029667E" w:rsidRDefault="005F36FF">
      <w:pPr>
        <w:ind w:firstLine="640"/>
      </w:pPr>
      <w:r>
        <w:t>2021</w:t>
      </w:r>
      <w:r>
        <w:t>年</w:t>
      </w:r>
      <w:r>
        <w:t>3</w:t>
      </w:r>
      <w:r>
        <w:t>月</w:t>
      </w:r>
      <w:r>
        <w:t>15</w:t>
      </w:r>
      <w:r>
        <w:t>日区道路养护中心向</w:t>
      </w:r>
      <w:r>
        <w:rPr>
          <w:rFonts w:ascii="仿宋_GB2312" w:hint="eastAsia"/>
        </w:rPr>
        <w:t>区发展</w:t>
      </w:r>
      <w:proofErr w:type="gramStart"/>
      <w:r>
        <w:rPr>
          <w:rFonts w:ascii="仿宋_GB2312" w:hint="eastAsia"/>
        </w:rPr>
        <w:t>改革局</w:t>
      </w:r>
      <w:proofErr w:type="gramEnd"/>
      <w:r>
        <w:t>报送</w:t>
      </w:r>
      <w:r>
        <w:rPr>
          <w:snapToGrid w:val="0"/>
          <w:kern w:val="0"/>
          <w:szCs w:val="32"/>
        </w:rPr>
        <w:t>《广州市增城区道路养护中心关于</w:t>
      </w:r>
      <w:r>
        <w:rPr>
          <w:snapToGrid w:val="0"/>
          <w:kern w:val="0"/>
          <w:szCs w:val="32"/>
        </w:rPr>
        <w:t>申请调整新塘站片区路网一纵一路、新源路及汽车城大道建设工程项目可行性研究报告建设内容的函》（</w:t>
      </w:r>
      <w:proofErr w:type="gramStart"/>
      <w:r>
        <w:rPr>
          <w:snapToGrid w:val="0"/>
          <w:kern w:val="0"/>
          <w:szCs w:val="32"/>
        </w:rPr>
        <w:t>增道函〔</w:t>
      </w:r>
      <w:r>
        <w:rPr>
          <w:snapToGrid w:val="0"/>
          <w:kern w:val="0"/>
          <w:szCs w:val="32"/>
        </w:rPr>
        <w:t>2021</w:t>
      </w:r>
      <w:r>
        <w:rPr>
          <w:snapToGrid w:val="0"/>
          <w:kern w:val="0"/>
          <w:szCs w:val="32"/>
        </w:rPr>
        <w:t>〕</w:t>
      </w:r>
      <w:proofErr w:type="gramEnd"/>
      <w:r>
        <w:rPr>
          <w:snapToGrid w:val="0"/>
          <w:kern w:val="0"/>
          <w:szCs w:val="32"/>
        </w:rPr>
        <w:t>24</w:t>
      </w:r>
      <w:r>
        <w:rPr>
          <w:snapToGrid w:val="0"/>
          <w:kern w:val="0"/>
          <w:szCs w:val="32"/>
        </w:rPr>
        <w:t>号），因新源路广</w:t>
      </w:r>
      <w:proofErr w:type="gramStart"/>
      <w:r>
        <w:rPr>
          <w:snapToGrid w:val="0"/>
          <w:kern w:val="0"/>
          <w:szCs w:val="32"/>
        </w:rPr>
        <w:t>园快速</w:t>
      </w:r>
      <w:proofErr w:type="gramEnd"/>
      <w:r>
        <w:rPr>
          <w:snapToGrid w:val="0"/>
          <w:kern w:val="0"/>
          <w:szCs w:val="32"/>
        </w:rPr>
        <w:t>路以北段拆迁量较大，当时难以实施，区道路养护中心计划取消新源路快速路及北段的施工计划，并将新新大道纳入项目实施范围，同时优化项目设计方案，对新源路、和汽车城大道支线建设规模进行调整，</w:t>
      </w:r>
      <w:r>
        <w:t>增加新新大道改造工程，原可行性研究报告批复总投资等其它内容不变。根据《广州市增城区发展和改革局关于调整新塘站片区路网一纵一路、新源路及汽车城大道建设工程项目建设规模和建设内容的复函》（穗</w:t>
      </w:r>
      <w:proofErr w:type="gramStart"/>
      <w:r>
        <w:t>增发改函</w:t>
      </w:r>
      <w:r>
        <w:t>〔</w:t>
      </w:r>
      <w:r>
        <w:t>2021</w:t>
      </w:r>
      <w:r>
        <w:t>〕</w:t>
      </w:r>
      <w:proofErr w:type="gramEnd"/>
      <w:r>
        <w:t>412</w:t>
      </w:r>
      <w:r>
        <w:t>号）文件，</w:t>
      </w:r>
      <w:r>
        <w:rPr>
          <w:rFonts w:ascii="仿宋_GB2312" w:hint="eastAsia"/>
        </w:rPr>
        <w:t>区发展</w:t>
      </w:r>
      <w:proofErr w:type="gramStart"/>
      <w:r>
        <w:rPr>
          <w:rFonts w:ascii="仿宋_GB2312" w:hint="eastAsia"/>
        </w:rPr>
        <w:t>改革局</w:t>
      </w:r>
      <w:proofErr w:type="gramEnd"/>
      <w:r>
        <w:t>2021</w:t>
      </w:r>
      <w:r>
        <w:t>年</w:t>
      </w:r>
      <w:r>
        <w:t>3</w:t>
      </w:r>
      <w:r>
        <w:t>月</w:t>
      </w:r>
      <w:r>
        <w:t>19</w:t>
      </w:r>
      <w:r>
        <w:t>日批复同意变更后的施工内容见下表。</w:t>
      </w:r>
    </w:p>
    <w:p w:rsidR="0029667E" w:rsidRDefault="005F36FF">
      <w:pPr>
        <w:pStyle w:val="21"/>
        <w:spacing w:after="0" w:line="240" w:lineRule="auto"/>
        <w:ind w:firstLineChars="0" w:firstLine="0"/>
        <w:jc w:val="center"/>
        <w:rPr>
          <w:b/>
          <w:bCs/>
          <w:color w:val="000000"/>
          <w:kern w:val="0"/>
          <w:sz w:val="28"/>
          <w:szCs w:val="28"/>
          <w:lang w:bidi="ar"/>
        </w:rPr>
      </w:pPr>
      <w:r>
        <w:rPr>
          <w:rFonts w:eastAsia="黑体"/>
          <w:color w:val="000000"/>
          <w:kern w:val="0"/>
          <w:sz w:val="28"/>
          <w:szCs w:val="28"/>
          <w:lang w:bidi="ar"/>
        </w:rPr>
        <w:t>表</w:t>
      </w:r>
      <w:r>
        <w:rPr>
          <w:rFonts w:eastAsia="黑体"/>
          <w:color w:val="000000"/>
          <w:kern w:val="0"/>
          <w:sz w:val="28"/>
          <w:szCs w:val="28"/>
          <w:lang w:bidi="ar"/>
        </w:rPr>
        <w:t xml:space="preserve">1  </w:t>
      </w:r>
      <w:r>
        <w:rPr>
          <w:rFonts w:eastAsia="黑体"/>
          <w:color w:val="000000"/>
          <w:kern w:val="0"/>
          <w:sz w:val="28"/>
          <w:szCs w:val="28"/>
          <w:lang w:bidi="ar"/>
        </w:rPr>
        <w:t>道路建设规模</w:t>
      </w:r>
    </w:p>
    <w:tbl>
      <w:tblPr>
        <w:tblStyle w:val="ac"/>
        <w:tblW w:w="9747" w:type="dxa"/>
        <w:jc w:val="center"/>
        <w:tblLook w:val="04A0" w:firstRow="1" w:lastRow="0" w:firstColumn="1" w:lastColumn="0" w:noHBand="0" w:noVBand="1"/>
      </w:tblPr>
      <w:tblGrid>
        <w:gridCol w:w="1004"/>
        <w:gridCol w:w="854"/>
        <w:gridCol w:w="2065"/>
        <w:gridCol w:w="1032"/>
        <w:gridCol w:w="884"/>
        <w:gridCol w:w="913"/>
        <w:gridCol w:w="2995"/>
      </w:tblGrid>
      <w:tr w:rsidR="0029667E">
        <w:trPr>
          <w:trHeight w:val="567"/>
          <w:tblHeader/>
          <w:jc w:val="center"/>
        </w:trPr>
        <w:tc>
          <w:tcPr>
            <w:tcW w:w="1860" w:type="dxa"/>
            <w:gridSpan w:val="2"/>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道路名称</w:t>
            </w:r>
          </w:p>
        </w:tc>
        <w:tc>
          <w:tcPr>
            <w:tcW w:w="2069" w:type="dxa"/>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道路等级</w:t>
            </w:r>
          </w:p>
        </w:tc>
        <w:tc>
          <w:tcPr>
            <w:tcW w:w="1019" w:type="dxa"/>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长度（</w:t>
            </w:r>
            <w:r>
              <w:rPr>
                <w:b/>
                <w:bCs/>
                <w:color w:val="000000"/>
                <w:kern w:val="0"/>
                <w:sz w:val="24"/>
                <w:lang w:bidi="ar"/>
              </w:rPr>
              <w:t>km</w:t>
            </w:r>
            <w:r>
              <w:rPr>
                <w:b/>
                <w:bCs/>
                <w:color w:val="000000"/>
                <w:kern w:val="0"/>
                <w:sz w:val="24"/>
                <w:lang w:bidi="ar"/>
              </w:rPr>
              <w:t>）</w:t>
            </w:r>
          </w:p>
        </w:tc>
        <w:tc>
          <w:tcPr>
            <w:tcW w:w="885" w:type="dxa"/>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红线</w:t>
            </w:r>
          </w:p>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宽度</w:t>
            </w:r>
          </w:p>
        </w:tc>
        <w:tc>
          <w:tcPr>
            <w:tcW w:w="914" w:type="dxa"/>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建设</w:t>
            </w:r>
          </w:p>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性质</w:t>
            </w:r>
          </w:p>
        </w:tc>
        <w:tc>
          <w:tcPr>
            <w:tcW w:w="3000" w:type="dxa"/>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建设内容</w:t>
            </w:r>
          </w:p>
        </w:tc>
      </w:tr>
      <w:tr w:rsidR="0029667E">
        <w:trPr>
          <w:trHeight w:val="567"/>
          <w:jc w:val="center"/>
        </w:trPr>
        <w:tc>
          <w:tcPr>
            <w:tcW w:w="1860" w:type="dxa"/>
            <w:gridSpan w:val="2"/>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proofErr w:type="gramStart"/>
            <w:r>
              <w:rPr>
                <w:b/>
                <w:bCs/>
                <w:color w:val="000000"/>
                <w:kern w:val="0"/>
                <w:sz w:val="24"/>
                <w:lang w:bidi="ar"/>
              </w:rPr>
              <w:t>纵</w:t>
            </w:r>
            <w:proofErr w:type="gramEnd"/>
            <w:r>
              <w:rPr>
                <w:b/>
                <w:bCs/>
                <w:color w:val="000000"/>
                <w:kern w:val="0"/>
                <w:sz w:val="24"/>
                <w:lang w:bidi="ar"/>
              </w:rPr>
              <w:t>一路</w:t>
            </w:r>
          </w:p>
        </w:tc>
        <w:tc>
          <w:tcPr>
            <w:tcW w:w="206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01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1.05</w:t>
            </w:r>
          </w:p>
        </w:tc>
        <w:tc>
          <w:tcPr>
            <w:tcW w:w="885"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50</w:t>
            </w:r>
          </w:p>
        </w:tc>
        <w:tc>
          <w:tcPr>
            <w:tcW w:w="914"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新建</w:t>
            </w:r>
          </w:p>
        </w:tc>
        <w:tc>
          <w:tcPr>
            <w:tcW w:w="3000"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道路、桥梁、交通、给排水、电气、通信、绿化景观</w:t>
            </w:r>
          </w:p>
        </w:tc>
      </w:tr>
      <w:tr w:rsidR="0029667E">
        <w:trPr>
          <w:trHeight w:val="567"/>
          <w:jc w:val="center"/>
        </w:trPr>
        <w:tc>
          <w:tcPr>
            <w:tcW w:w="1860" w:type="dxa"/>
            <w:gridSpan w:val="2"/>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站前路隧道</w:t>
            </w:r>
          </w:p>
        </w:tc>
        <w:tc>
          <w:tcPr>
            <w:tcW w:w="206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01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w:t>
            </w:r>
          </w:p>
        </w:tc>
        <w:tc>
          <w:tcPr>
            <w:tcW w:w="885"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50</w:t>
            </w:r>
          </w:p>
        </w:tc>
        <w:tc>
          <w:tcPr>
            <w:tcW w:w="914"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新建</w:t>
            </w:r>
          </w:p>
        </w:tc>
        <w:tc>
          <w:tcPr>
            <w:tcW w:w="3000"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道路、交通、隧道、给排水、电气、通信、绿化景观</w:t>
            </w:r>
          </w:p>
        </w:tc>
      </w:tr>
      <w:tr w:rsidR="0029667E">
        <w:trPr>
          <w:trHeight w:val="567"/>
          <w:jc w:val="center"/>
        </w:trPr>
        <w:tc>
          <w:tcPr>
            <w:tcW w:w="1005" w:type="dxa"/>
            <w:vMerge w:val="restart"/>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汽车城大道</w:t>
            </w:r>
          </w:p>
        </w:tc>
        <w:tc>
          <w:tcPr>
            <w:tcW w:w="855" w:type="dxa"/>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主线</w:t>
            </w:r>
          </w:p>
        </w:tc>
        <w:tc>
          <w:tcPr>
            <w:tcW w:w="206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01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2.54</w:t>
            </w:r>
          </w:p>
        </w:tc>
        <w:tc>
          <w:tcPr>
            <w:tcW w:w="885"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48</w:t>
            </w:r>
          </w:p>
        </w:tc>
        <w:tc>
          <w:tcPr>
            <w:tcW w:w="914"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新建</w:t>
            </w:r>
          </w:p>
        </w:tc>
        <w:tc>
          <w:tcPr>
            <w:tcW w:w="3000"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道路、隧道、交通、给排水、电气、通信、绿化景观</w:t>
            </w:r>
          </w:p>
        </w:tc>
      </w:tr>
      <w:tr w:rsidR="0029667E">
        <w:trPr>
          <w:trHeight w:val="567"/>
          <w:jc w:val="center"/>
        </w:trPr>
        <w:tc>
          <w:tcPr>
            <w:tcW w:w="1005" w:type="dxa"/>
            <w:vMerge/>
            <w:vAlign w:val="center"/>
          </w:tcPr>
          <w:p w:rsidR="0029667E" w:rsidRDefault="0029667E">
            <w:pPr>
              <w:widowControl/>
              <w:adjustRightInd w:val="0"/>
              <w:snapToGrid w:val="0"/>
              <w:spacing w:line="240" w:lineRule="auto"/>
              <w:ind w:firstLineChars="0" w:firstLine="0"/>
              <w:jc w:val="center"/>
              <w:textAlignment w:val="center"/>
              <w:rPr>
                <w:b/>
                <w:bCs/>
                <w:color w:val="000000"/>
                <w:kern w:val="0"/>
                <w:sz w:val="24"/>
                <w:lang w:bidi="ar"/>
              </w:rPr>
            </w:pPr>
          </w:p>
        </w:tc>
        <w:tc>
          <w:tcPr>
            <w:tcW w:w="855" w:type="dxa"/>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支线</w:t>
            </w:r>
            <w:r>
              <w:rPr>
                <w:b/>
                <w:bCs/>
                <w:color w:val="000000"/>
                <w:kern w:val="0"/>
                <w:sz w:val="24"/>
                <w:lang w:bidi="ar"/>
              </w:rPr>
              <w:t>1</w:t>
            </w:r>
          </w:p>
        </w:tc>
        <w:tc>
          <w:tcPr>
            <w:tcW w:w="206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三级公路结合城市支路</w:t>
            </w:r>
          </w:p>
        </w:tc>
        <w:tc>
          <w:tcPr>
            <w:tcW w:w="101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0.437</w:t>
            </w:r>
          </w:p>
        </w:tc>
        <w:tc>
          <w:tcPr>
            <w:tcW w:w="885"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20</w:t>
            </w:r>
          </w:p>
        </w:tc>
        <w:tc>
          <w:tcPr>
            <w:tcW w:w="914"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新建</w:t>
            </w:r>
          </w:p>
        </w:tc>
        <w:tc>
          <w:tcPr>
            <w:tcW w:w="3000"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道路、交通、给排水、电气、通信、绿化景观</w:t>
            </w:r>
          </w:p>
        </w:tc>
      </w:tr>
      <w:tr w:rsidR="0029667E">
        <w:trPr>
          <w:trHeight w:val="567"/>
          <w:jc w:val="center"/>
        </w:trPr>
        <w:tc>
          <w:tcPr>
            <w:tcW w:w="1005" w:type="dxa"/>
            <w:vMerge/>
            <w:vAlign w:val="center"/>
          </w:tcPr>
          <w:p w:rsidR="0029667E" w:rsidRDefault="0029667E">
            <w:pPr>
              <w:widowControl/>
              <w:adjustRightInd w:val="0"/>
              <w:snapToGrid w:val="0"/>
              <w:spacing w:line="240" w:lineRule="auto"/>
              <w:ind w:firstLineChars="0" w:firstLine="0"/>
              <w:jc w:val="center"/>
              <w:textAlignment w:val="center"/>
              <w:rPr>
                <w:b/>
                <w:bCs/>
                <w:color w:val="000000"/>
                <w:kern w:val="0"/>
                <w:sz w:val="24"/>
                <w:lang w:bidi="ar"/>
              </w:rPr>
            </w:pPr>
          </w:p>
        </w:tc>
        <w:tc>
          <w:tcPr>
            <w:tcW w:w="855" w:type="dxa"/>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支线</w:t>
            </w:r>
            <w:r>
              <w:rPr>
                <w:b/>
                <w:bCs/>
                <w:color w:val="000000"/>
                <w:kern w:val="0"/>
                <w:sz w:val="24"/>
                <w:lang w:bidi="ar"/>
              </w:rPr>
              <w:t>2</w:t>
            </w:r>
          </w:p>
        </w:tc>
        <w:tc>
          <w:tcPr>
            <w:tcW w:w="206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三级公路结合城市支路</w:t>
            </w:r>
          </w:p>
        </w:tc>
        <w:tc>
          <w:tcPr>
            <w:tcW w:w="101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0.227</w:t>
            </w:r>
          </w:p>
        </w:tc>
        <w:tc>
          <w:tcPr>
            <w:tcW w:w="885"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20</w:t>
            </w:r>
          </w:p>
        </w:tc>
        <w:tc>
          <w:tcPr>
            <w:tcW w:w="914"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新建</w:t>
            </w:r>
          </w:p>
        </w:tc>
        <w:tc>
          <w:tcPr>
            <w:tcW w:w="3000"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道路、交通、给排水、电气、绿化景观</w:t>
            </w:r>
          </w:p>
        </w:tc>
      </w:tr>
      <w:tr w:rsidR="0029667E">
        <w:trPr>
          <w:trHeight w:val="567"/>
          <w:jc w:val="center"/>
        </w:trPr>
        <w:tc>
          <w:tcPr>
            <w:tcW w:w="1860" w:type="dxa"/>
            <w:gridSpan w:val="2"/>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新新大道</w:t>
            </w:r>
          </w:p>
        </w:tc>
        <w:tc>
          <w:tcPr>
            <w:tcW w:w="206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01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0.918</w:t>
            </w:r>
          </w:p>
        </w:tc>
        <w:tc>
          <w:tcPr>
            <w:tcW w:w="885"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60</w:t>
            </w:r>
          </w:p>
        </w:tc>
        <w:tc>
          <w:tcPr>
            <w:tcW w:w="914"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改造</w:t>
            </w:r>
          </w:p>
        </w:tc>
        <w:tc>
          <w:tcPr>
            <w:tcW w:w="3000"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道路、交通、给排水、电气、通信、绿化景观</w:t>
            </w:r>
          </w:p>
        </w:tc>
      </w:tr>
      <w:tr w:rsidR="0029667E">
        <w:trPr>
          <w:trHeight w:val="567"/>
          <w:jc w:val="center"/>
        </w:trPr>
        <w:tc>
          <w:tcPr>
            <w:tcW w:w="1860" w:type="dxa"/>
            <w:gridSpan w:val="2"/>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新源路</w:t>
            </w:r>
          </w:p>
        </w:tc>
        <w:tc>
          <w:tcPr>
            <w:tcW w:w="206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01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1.5</w:t>
            </w:r>
          </w:p>
        </w:tc>
        <w:tc>
          <w:tcPr>
            <w:tcW w:w="885"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40</w:t>
            </w:r>
          </w:p>
        </w:tc>
        <w:tc>
          <w:tcPr>
            <w:tcW w:w="914"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新建</w:t>
            </w:r>
          </w:p>
        </w:tc>
        <w:tc>
          <w:tcPr>
            <w:tcW w:w="3000"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道路、桥梁、交通、给排水、电气、绿化景观</w:t>
            </w:r>
          </w:p>
        </w:tc>
      </w:tr>
      <w:tr w:rsidR="0029667E">
        <w:trPr>
          <w:trHeight w:val="567"/>
          <w:jc w:val="center"/>
        </w:trPr>
        <w:tc>
          <w:tcPr>
            <w:tcW w:w="1860" w:type="dxa"/>
            <w:gridSpan w:val="2"/>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新源路支线</w:t>
            </w:r>
          </w:p>
        </w:tc>
        <w:tc>
          <w:tcPr>
            <w:tcW w:w="206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三级公路结合城市支路</w:t>
            </w:r>
          </w:p>
        </w:tc>
        <w:tc>
          <w:tcPr>
            <w:tcW w:w="101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0.397</w:t>
            </w:r>
          </w:p>
        </w:tc>
        <w:tc>
          <w:tcPr>
            <w:tcW w:w="885"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30</w:t>
            </w:r>
          </w:p>
        </w:tc>
        <w:tc>
          <w:tcPr>
            <w:tcW w:w="914"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新建</w:t>
            </w:r>
          </w:p>
        </w:tc>
        <w:tc>
          <w:tcPr>
            <w:tcW w:w="3000"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道路、交通、给排水、电气、绿化景观</w:t>
            </w:r>
          </w:p>
        </w:tc>
      </w:tr>
      <w:tr w:rsidR="0029667E">
        <w:trPr>
          <w:trHeight w:val="567"/>
          <w:jc w:val="center"/>
        </w:trPr>
        <w:tc>
          <w:tcPr>
            <w:tcW w:w="1860" w:type="dxa"/>
            <w:gridSpan w:val="2"/>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环城路</w:t>
            </w:r>
          </w:p>
        </w:tc>
        <w:tc>
          <w:tcPr>
            <w:tcW w:w="206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019"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2.3</w:t>
            </w:r>
          </w:p>
        </w:tc>
        <w:tc>
          <w:tcPr>
            <w:tcW w:w="885"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60</w:t>
            </w:r>
          </w:p>
        </w:tc>
        <w:tc>
          <w:tcPr>
            <w:tcW w:w="914"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改造</w:t>
            </w:r>
          </w:p>
        </w:tc>
        <w:tc>
          <w:tcPr>
            <w:tcW w:w="3000" w:type="dxa"/>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道路、交通、桥梁、给排水、电气、绿化景观</w:t>
            </w:r>
          </w:p>
        </w:tc>
      </w:tr>
    </w:tbl>
    <w:p w:rsidR="0029667E" w:rsidRDefault="0029667E">
      <w:pPr>
        <w:ind w:firstLine="640"/>
      </w:pPr>
    </w:p>
    <w:p w:rsidR="0029667E" w:rsidRDefault="005F36FF">
      <w:pPr>
        <w:pStyle w:val="2"/>
        <w:ind w:firstLine="640"/>
        <w:rPr>
          <w:rFonts w:cs="Times New Roman"/>
          <w:snapToGrid w:val="0"/>
        </w:rPr>
      </w:pPr>
      <w:bookmarkStart w:id="13" w:name="_Toc13180"/>
      <w:bookmarkStart w:id="14" w:name="_Toc4347"/>
      <w:bookmarkStart w:id="15" w:name="_Toc25225"/>
      <w:bookmarkStart w:id="16" w:name="_Toc29857"/>
      <w:r>
        <w:rPr>
          <w:rFonts w:cs="Times New Roman"/>
          <w:snapToGrid w:val="0"/>
        </w:rPr>
        <w:t>（三）项目绩效目标。</w:t>
      </w:r>
      <w:bookmarkEnd w:id="13"/>
      <w:bookmarkEnd w:id="14"/>
      <w:bookmarkEnd w:id="15"/>
      <w:bookmarkEnd w:id="16"/>
    </w:p>
    <w:p w:rsidR="0029667E" w:rsidRDefault="005F36FF">
      <w:pPr>
        <w:ind w:firstLine="640"/>
        <w:rPr>
          <w:szCs w:val="32"/>
        </w:rPr>
      </w:pPr>
      <w:r>
        <w:t>根据《财政支出项目申报表》，项目年初申报阶段设置了</w:t>
      </w:r>
      <w:r>
        <w:t>5</w:t>
      </w:r>
      <w:r>
        <w:t>个绩效指标，包括产出指标</w:t>
      </w:r>
      <w:r>
        <w:t>3</w:t>
      </w:r>
      <w:r>
        <w:t>个、效益指标</w:t>
      </w:r>
      <w:r>
        <w:t>2</w:t>
      </w:r>
      <w:r>
        <w:t>个，详见下表。</w:t>
      </w:r>
    </w:p>
    <w:p w:rsidR="0029667E" w:rsidRDefault="005F36FF">
      <w:pPr>
        <w:pStyle w:val="20"/>
        <w:ind w:firstLineChars="0" w:firstLine="0"/>
        <w:jc w:val="center"/>
        <w:rPr>
          <w:rFonts w:eastAsia="黑体"/>
          <w:sz w:val="20"/>
          <w:szCs w:val="22"/>
        </w:rPr>
      </w:pPr>
      <w:r>
        <w:rPr>
          <w:rFonts w:eastAsia="黑体"/>
          <w:color w:val="000000"/>
          <w:sz w:val="28"/>
          <w:szCs w:val="28"/>
        </w:rPr>
        <w:t>表</w:t>
      </w:r>
      <w:r>
        <w:rPr>
          <w:rFonts w:eastAsia="黑体"/>
          <w:color w:val="000000"/>
          <w:sz w:val="28"/>
          <w:szCs w:val="28"/>
        </w:rPr>
        <w:t xml:space="preserve">2  </w:t>
      </w:r>
      <w:r>
        <w:rPr>
          <w:rFonts w:eastAsia="黑体"/>
          <w:color w:val="000000"/>
          <w:sz w:val="28"/>
          <w:szCs w:val="28"/>
        </w:rPr>
        <w:t>年初申报阶段项目绩效指标明细表</w:t>
      </w:r>
    </w:p>
    <w:tbl>
      <w:tblPr>
        <w:tblW w:w="8428" w:type="dxa"/>
        <w:jc w:val="center"/>
        <w:tblLook w:val="04A0" w:firstRow="1" w:lastRow="0" w:firstColumn="1" w:lastColumn="0" w:noHBand="0" w:noVBand="1"/>
      </w:tblPr>
      <w:tblGrid>
        <w:gridCol w:w="1333"/>
        <w:gridCol w:w="1712"/>
        <w:gridCol w:w="3718"/>
        <w:gridCol w:w="1665"/>
      </w:tblGrid>
      <w:tr w:rsidR="0029667E">
        <w:trPr>
          <w:trHeight w:val="567"/>
          <w:jc w:val="center"/>
        </w:trPr>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b/>
                <w:bCs/>
                <w:color w:val="000000"/>
                <w:sz w:val="24"/>
              </w:rPr>
            </w:pPr>
            <w:r>
              <w:rPr>
                <w:b/>
                <w:bCs/>
                <w:color w:val="000000"/>
                <w:kern w:val="0"/>
                <w:sz w:val="24"/>
                <w:lang w:bidi="ar"/>
              </w:rPr>
              <w:t>一级指标</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b/>
                <w:bCs/>
                <w:color w:val="000000"/>
                <w:sz w:val="24"/>
              </w:rPr>
            </w:pPr>
            <w:r>
              <w:rPr>
                <w:b/>
                <w:bCs/>
                <w:color w:val="000000"/>
                <w:kern w:val="0"/>
                <w:sz w:val="24"/>
                <w:lang w:bidi="ar"/>
              </w:rPr>
              <w:t>二级指标</w:t>
            </w:r>
          </w:p>
        </w:tc>
        <w:tc>
          <w:tcPr>
            <w:tcW w:w="3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b/>
                <w:bCs/>
                <w:color w:val="000000"/>
                <w:sz w:val="24"/>
              </w:rPr>
            </w:pPr>
            <w:r>
              <w:rPr>
                <w:b/>
                <w:bCs/>
                <w:color w:val="000000"/>
                <w:kern w:val="0"/>
                <w:sz w:val="24"/>
                <w:lang w:bidi="ar"/>
              </w:rPr>
              <w:t>三级指标</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年度指标值</w:t>
            </w:r>
          </w:p>
        </w:tc>
      </w:tr>
      <w:tr w:rsidR="0029667E">
        <w:trPr>
          <w:trHeight w:val="567"/>
          <w:jc w:val="center"/>
        </w:trPr>
        <w:tc>
          <w:tcPr>
            <w:tcW w:w="13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产出指标</w:t>
            </w:r>
          </w:p>
        </w:tc>
        <w:tc>
          <w:tcPr>
            <w:tcW w:w="1712" w:type="dxa"/>
            <w:vMerge w:val="restart"/>
            <w:tcBorders>
              <w:top w:val="single" w:sz="4" w:space="0" w:color="000000"/>
              <w:left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数量指标</w:t>
            </w:r>
          </w:p>
        </w:tc>
        <w:tc>
          <w:tcPr>
            <w:tcW w:w="3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建设规模（千米）</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完成公路里程</w:t>
            </w:r>
            <w:r>
              <w:rPr>
                <w:color w:val="000000"/>
                <w:kern w:val="0"/>
                <w:sz w:val="24"/>
                <w:lang w:bidi="ar"/>
              </w:rPr>
              <w:t>8</w:t>
            </w:r>
            <w:r>
              <w:rPr>
                <w:color w:val="000000"/>
                <w:kern w:val="0"/>
                <w:sz w:val="24"/>
                <w:lang w:bidi="ar"/>
              </w:rPr>
              <w:t>千米。</w:t>
            </w:r>
          </w:p>
        </w:tc>
      </w:tr>
      <w:tr w:rsidR="0029667E">
        <w:trPr>
          <w:trHeight w:val="567"/>
          <w:jc w:val="center"/>
        </w:trPr>
        <w:tc>
          <w:tcPr>
            <w:tcW w:w="13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29667E">
            <w:pPr>
              <w:widowControl/>
              <w:snapToGrid w:val="0"/>
              <w:spacing w:line="240" w:lineRule="auto"/>
              <w:ind w:firstLineChars="0" w:firstLine="0"/>
              <w:jc w:val="center"/>
              <w:textAlignment w:val="center"/>
              <w:rPr>
                <w:color w:val="000000"/>
                <w:kern w:val="0"/>
                <w:sz w:val="24"/>
                <w:lang w:bidi="ar"/>
              </w:rPr>
            </w:pPr>
          </w:p>
        </w:tc>
        <w:tc>
          <w:tcPr>
            <w:tcW w:w="1712" w:type="dxa"/>
            <w:vMerge/>
            <w:tcBorders>
              <w:left w:val="single" w:sz="4" w:space="0" w:color="000000"/>
              <w:bottom w:val="single" w:sz="4" w:space="0" w:color="000000"/>
              <w:right w:val="single" w:sz="4" w:space="0" w:color="000000"/>
            </w:tcBorders>
            <w:shd w:val="clear" w:color="auto" w:fill="auto"/>
            <w:vAlign w:val="center"/>
          </w:tcPr>
          <w:p w:rsidR="0029667E" w:rsidRDefault="0029667E">
            <w:pPr>
              <w:widowControl/>
              <w:snapToGrid w:val="0"/>
              <w:spacing w:line="240" w:lineRule="auto"/>
              <w:ind w:firstLineChars="0" w:firstLine="0"/>
              <w:jc w:val="center"/>
              <w:textAlignment w:val="center"/>
              <w:rPr>
                <w:color w:val="000000"/>
                <w:kern w:val="0"/>
                <w:sz w:val="24"/>
                <w:lang w:bidi="ar"/>
              </w:rPr>
            </w:pPr>
          </w:p>
        </w:tc>
        <w:tc>
          <w:tcPr>
            <w:tcW w:w="3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主体工程完成率（</w:t>
            </w:r>
            <w:r>
              <w:rPr>
                <w:color w:val="000000"/>
                <w:kern w:val="0"/>
                <w:sz w:val="24"/>
                <w:lang w:bidi="ar"/>
              </w:rPr>
              <w:t>%</w:t>
            </w:r>
            <w:r>
              <w:rPr>
                <w:color w:val="000000"/>
                <w:kern w:val="0"/>
                <w:sz w:val="24"/>
                <w:lang w:bidi="ar"/>
              </w:rPr>
              <w:t>）</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完成主体工程量的</w:t>
            </w:r>
            <w:r>
              <w:rPr>
                <w:color w:val="000000"/>
                <w:kern w:val="0"/>
                <w:sz w:val="24"/>
                <w:lang w:bidi="ar"/>
              </w:rPr>
              <w:t>80%</w:t>
            </w:r>
          </w:p>
        </w:tc>
      </w:tr>
      <w:tr w:rsidR="0029667E">
        <w:trPr>
          <w:trHeight w:val="567"/>
          <w:jc w:val="center"/>
        </w:trPr>
        <w:tc>
          <w:tcPr>
            <w:tcW w:w="13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29667E">
            <w:pPr>
              <w:widowControl/>
              <w:snapToGrid w:val="0"/>
              <w:spacing w:line="240" w:lineRule="auto"/>
              <w:ind w:firstLineChars="0" w:firstLine="0"/>
              <w:jc w:val="center"/>
              <w:textAlignment w:val="center"/>
              <w:rPr>
                <w:color w:val="000000"/>
                <w:kern w:val="0"/>
                <w:sz w:val="24"/>
                <w:lang w:bidi="ar"/>
              </w:rPr>
            </w:pP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时效指标</w:t>
            </w:r>
          </w:p>
        </w:tc>
        <w:tc>
          <w:tcPr>
            <w:tcW w:w="3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工程计量拨款及时率（</w:t>
            </w:r>
            <w:r>
              <w:rPr>
                <w:color w:val="000000"/>
                <w:kern w:val="0"/>
                <w:sz w:val="24"/>
                <w:lang w:bidi="ar"/>
              </w:rPr>
              <w:t>%</w:t>
            </w:r>
            <w:r>
              <w:rPr>
                <w:color w:val="000000"/>
                <w:kern w:val="0"/>
                <w:sz w:val="24"/>
                <w:lang w:bidi="ar"/>
              </w:rPr>
              <w:t>）</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100%</w:t>
            </w:r>
          </w:p>
        </w:tc>
      </w:tr>
      <w:tr w:rsidR="0029667E">
        <w:trPr>
          <w:trHeight w:val="567"/>
          <w:jc w:val="center"/>
        </w:trPr>
        <w:tc>
          <w:tcPr>
            <w:tcW w:w="13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效益指标</w:t>
            </w: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经济效益指标</w:t>
            </w:r>
          </w:p>
        </w:tc>
        <w:tc>
          <w:tcPr>
            <w:tcW w:w="3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保障农民工工资足额及时支付率</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100%</w:t>
            </w:r>
          </w:p>
        </w:tc>
      </w:tr>
      <w:tr w:rsidR="0029667E">
        <w:trPr>
          <w:trHeight w:val="567"/>
          <w:jc w:val="center"/>
        </w:trPr>
        <w:tc>
          <w:tcPr>
            <w:tcW w:w="13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29667E">
            <w:pPr>
              <w:widowControl/>
              <w:snapToGrid w:val="0"/>
              <w:spacing w:line="240" w:lineRule="auto"/>
              <w:ind w:firstLineChars="0" w:firstLine="0"/>
              <w:jc w:val="center"/>
              <w:textAlignment w:val="center"/>
              <w:rPr>
                <w:color w:val="000000"/>
                <w:kern w:val="0"/>
                <w:sz w:val="24"/>
                <w:lang w:bidi="ar"/>
              </w:rPr>
            </w:pPr>
          </w:p>
        </w:tc>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效益指标</w:t>
            </w:r>
          </w:p>
        </w:tc>
        <w:tc>
          <w:tcPr>
            <w:tcW w:w="3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设计功能实现率（</w:t>
            </w:r>
            <w:r>
              <w:rPr>
                <w:color w:val="000000"/>
                <w:kern w:val="0"/>
                <w:sz w:val="24"/>
                <w:lang w:bidi="ar"/>
              </w:rPr>
              <w:t>%</w:t>
            </w:r>
            <w:r>
              <w:rPr>
                <w:color w:val="000000"/>
                <w:kern w:val="0"/>
                <w:sz w:val="24"/>
                <w:lang w:bidi="ar"/>
              </w:rPr>
              <w:t>）</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100%</w:t>
            </w:r>
          </w:p>
        </w:tc>
      </w:tr>
    </w:tbl>
    <w:p w:rsidR="0029667E" w:rsidRDefault="0029667E">
      <w:pPr>
        <w:ind w:firstLine="640"/>
      </w:pPr>
    </w:p>
    <w:p w:rsidR="0029667E" w:rsidRDefault="005F36FF">
      <w:pPr>
        <w:ind w:firstLine="640"/>
      </w:pPr>
      <w:r>
        <w:t>根据区道路养护中心提供的绩效自评报告、绩效自评表等有关材料，项目自评阶段设置了</w:t>
      </w:r>
      <w:r>
        <w:t>7</w:t>
      </w:r>
      <w:r>
        <w:t>个绩效指标，其中产出指标</w:t>
      </w:r>
      <w:r>
        <w:t>4</w:t>
      </w:r>
      <w:r>
        <w:t>个，效益指标</w:t>
      </w:r>
      <w:r>
        <w:t>3</w:t>
      </w:r>
      <w:r>
        <w:t>个，详见下表。</w:t>
      </w:r>
    </w:p>
    <w:p w:rsidR="0029667E" w:rsidRDefault="005F36FF">
      <w:pPr>
        <w:pStyle w:val="20"/>
        <w:ind w:firstLineChars="0" w:firstLine="0"/>
        <w:jc w:val="center"/>
        <w:rPr>
          <w:rFonts w:eastAsia="黑体"/>
          <w:sz w:val="20"/>
          <w:szCs w:val="22"/>
        </w:rPr>
      </w:pPr>
      <w:r>
        <w:rPr>
          <w:rFonts w:eastAsia="黑体"/>
          <w:color w:val="000000"/>
          <w:sz w:val="28"/>
          <w:szCs w:val="28"/>
        </w:rPr>
        <w:t>表</w:t>
      </w:r>
      <w:r>
        <w:rPr>
          <w:rFonts w:eastAsia="黑体"/>
          <w:color w:val="000000"/>
          <w:sz w:val="28"/>
          <w:szCs w:val="28"/>
        </w:rPr>
        <w:t xml:space="preserve">3  </w:t>
      </w:r>
      <w:r>
        <w:rPr>
          <w:rFonts w:eastAsia="黑体"/>
          <w:color w:val="000000"/>
          <w:sz w:val="28"/>
          <w:szCs w:val="28"/>
        </w:rPr>
        <w:t>绩效自评阶段项目绩效指标明细表</w:t>
      </w:r>
    </w:p>
    <w:tbl>
      <w:tblPr>
        <w:tblW w:w="8576" w:type="dxa"/>
        <w:jc w:val="center"/>
        <w:tblLook w:val="04A0" w:firstRow="1" w:lastRow="0" w:firstColumn="1" w:lastColumn="0" w:noHBand="0" w:noVBand="1"/>
      </w:tblPr>
      <w:tblGrid>
        <w:gridCol w:w="1195"/>
        <w:gridCol w:w="2013"/>
        <w:gridCol w:w="3611"/>
        <w:gridCol w:w="1757"/>
      </w:tblGrid>
      <w:tr w:rsidR="0029667E">
        <w:trPr>
          <w:trHeight w:val="567"/>
          <w:tblHeader/>
          <w:jc w:val="center"/>
        </w:trPr>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b/>
                <w:bCs/>
                <w:color w:val="000000"/>
                <w:sz w:val="24"/>
              </w:rPr>
            </w:pPr>
            <w:r>
              <w:rPr>
                <w:b/>
                <w:bCs/>
                <w:color w:val="000000"/>
                <w:kern w:val="0"/>
                <w:sz w:val="24"/>
                <w:lang w:bidi="ar"/>
              </w:rPr>
              <w:t>一级指标</w:t>
            </w:r>
          </w:p>
        </w:tc>
        <w:tc>
          <w:tcPr>
            <w:tcW w:w="2013" w:type="dxa"/>
            <w:tcBorders>
              <w:top w:val="single" w:sz="4" w:space="0" w:color="000000"/>
              <w:left w:val="single" w:sz="4" w:space="0" w:color="000000"/>
              <w:bottom w:val="single" w:sz="4" w:space="0" w:color="auto"/>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b/>
                <w:bCs/>
                <w:color w:val="000000"/>
                <w:sz w:val="24"/>
              </w:rPr>
            </w:pPr>
            <w:r>
              <w:rPr>
                <w:b/>
                <w:bCs/>
                <w:color w:val="000000"/>
                <w:kern w:val="0"/>
                <w:sz w:val="24"/>
                <w:lang w:bidi="ar"/>
              </w:rPr>
              <w:t>二级指标</w:t>
            </w:r>
          </w:p>
        </w:tc>
        <w:tc>
          <w:tcPr>
            <w:tcW w:w="36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b/>
                <w:bCs/>
                <w:color w:val="000000"/>
                <w:sz w:val="24"/>
              </w:rPr>
            </w:pPr>
            <w:r>
              <w:rPr>
                <w:b/>
                <w:bCs/>
                <w:color w:val="000000"/>
                <w:kern w:val="0"/>
                <w:sz w:val="24"/>
                <w:lang w:bidi="ar"/>
              </w:rPr>
              <w:t>三级指标</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年度指标值</w:t>
            </w:r>
          </w:p>
        </w:tc>
      </w:tr>
      <w:tr w:rsidR="0029667E">
        <w:trPr>
          <w:trHeight w:val="567"/>
          <w:jc w:val="center"/>
        </w:trPr>
        <w:tc>
          <w:tcPr>
            <w:tcW w:w="1195"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产出指标</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数量指标</w:t>
            </w:r>
          </w:p>
        </w:tc>
        <w:tc>
          <w:tcPr>
            <w:tcW w:w="3611" w:type="dxa"/>
            <w:tcBorders>
              <w:top w:val="single" w:sz="4" w:space="0" w:color="000000"/>
              <w:left w:val="single" w:sz="4" w:space="0" w:color="auto"/>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sz w:val="24"/>
              </w:rPr>
              <w:t>建设规模（千米）</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sz w:val="24"/>
              </w:rPr>
              <w:t>完成公路里程</w:t>
            </w:r>
            <w:r>
              <w:rPr>
                <w:sz w:val="24"/>
              </w:rPr>
              <w:t>8</w:t>
            </w:r>
            <w:r>
              <w:rPr>
                <w:sz w:val="24"/>
              </w:rPr>
              <w:t>千米</w:t>
            </w:r>
          </w:p>
        </w:tc>
      </w:tr>
      <w:tr w:rsidR="0029667E">
        <w:trPr>
          <w:trHeight w:val="567"/>
          <w:jc w:val="center"/>
        </w:trPr>
        <w:tc>
          <w:tcPr>
            <w:tcW w:w="1195" w:type="dxa"/>
            <w:vMerge/>
            <w:tcBorders>
              <w:left w:val="single" w:sz="4" w:space="0" w:color="000000"/>
              <w:right w:val="single" w:sz="4" w:space="0" w:color="auto"/>
            </w:tcBorders>
            <w:shd w:val="clear" w:color="auto" w:fill="auto"/>
            <w:vAlign w:val="center"/>
          </w:tcPr>
          <w:p w:rsidR="0029667E" w:rsidRDefault="0029667E">
            <w:pPr>
              <w:widowControl/>
              <w:adjustRightInd w:val="0"/>
              <w:snapToGrid w:val="0"/>
              <w:spacing w:line="240" w:lineRule="auto"/>
              <w:ind w:firstLineChars="0" w:firstLine="0"/>
              <w:jc w:val="center"/>
              <w:textAlignment w:val="center"/>
              <w:rPr>
                <w:color w:val="000000"/>
                <w:kern w:val="0"/>
                <w:sz w:val="24"/>
                <w:lang w:bidi="ar"/>
              </w:rPr>
            </w:pPr>
          </w:p>
        </w:tc>
        <w:tc>
          <w:tcPr>
            <w:tcW w:w="201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9667E" w:rsidRDefault="0029667E">
            <w:pPr>
              <w:widowControl/>
              <w:adjustRightInd w:val="0"/>
              <w:snapToGrid w:val="0"/>
              <w:spacing w:line="240" w:lineRule="auto"/>
              <w:ind w:firstLineChars="0" w:firstLine="0"/>
              <w:jc w:val="center"/>
              <w:textAlignment w:val="center"/>
              <w:rPr>
                <w:color w:val="000000"/>
                <w:kern w:val="0"/>
                <w:sz w:val="24"/>
                <w:lang w:bidi="ar"/>
              </w:rPr>
            </w:pPr>
          </w:p>
        </w:tc>
        <w:tc>
          <w:tcPr>
            <w:tcW w:w="3611" w:type="dxa"/>
            <w:tcBorders>
              <w:top w:val="single" w:sz="4" w:space="0" w:color="000000"/>
              <w:left w:val="single" w:sz="4" w:space="0" w:color="auto"/>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sz w:val="24"/>
              </w:rPr>
              <w:t>主体工程完成率（</w:t>
            </w:r>
            <w:r>
              <w:rPr>
                <w:sz w:val="24"/>
              </w:rPr>
              <w:t>%</w:t>
            </w:r>
            <w:r>
              <w:rPr>
                <w:sz w:val="24"/>
              </w:rPr>
              <w:t>）</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sz w:val="24"/>
              </w:rPr>
              <w:t>完成主体工程量的</w:t>
            </w:r>
            <w:r>
              <w:rPr>
                <w:sz w:val="24"/>
              </w:rPr>
              <w:t>80%</w:t>
            </w:r>
          </w:p>
        </w:tc>
      </w:tr>
      <w:tr w:rsidR="0029667E">
        <w:trPr>
          <w:trHeight w:val="567"/>
          <w:jc w:val="center"/>
        </w:trPr>
        <w:tc>
          <w:tcPr>
            <w:tcW w:w="1195"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29667E" w:rsidRDefault="0029667E">
            <w:pPr>
              <w:widowControl/>
              <w:adjustRightInd w:val="0"/>
              <w:snapToGrid w:val="0"/>
              <w:spacing w:line="240" w:lineRule="auto"/>
              <w:ind w:firstLineChars="0" w:firstLine="0"/>
              <w:jc w:val="center"/>
              <w:textAlignment w:val="center"/>
              <w:rPr>
                <w:color w:val="000000"/>
                <w:kern w:val="0"/>
                <w:sz w:val="24"/>
                <w:lang w:bidi="ar"/>
              </w:rPr>
            </w:pPr>
          </w:p>
        </w:tc>
        <w:tc>
          <w:tcPr>
            <w:tcW w:w="201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9667E" w:rsidRDefault="0029667E">
            <w:pPr>
              <w:widowControl/>
              <w:adjustRightInd w:val="0"/>
              <w:snapToGrid w:val="0"/>
              <w:spacing w:line="240" w:lineRule="auto"/>
              <w:ind w:firstLineChars="0" w:firstLine="0"/>
              <w:jc w:val="center"/>
              <w:textAlignment w:val="center"/>
              <w:rPr>
                <w:color w:val="000000"/>
                <w:kern w:val="0"/>
                <w:sz w:val="24"/>
                <w:lang w:bidi="ar"/>
              </w:rPr>
            </w:pPr>
          </w:p>
        </w:tc>
        <w:tc>
          <w:tcPr>
            <w:tcW w:w="3611" w:type="dxa"/>
            <w:tcBorders>
              <w:top w:val="single" w:sz="4" w:space="0" w:color="000000"/>
              <w:left w:val="single" w:sz="4" w:space="0" w:color="auto"/>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sz w:val="24"/>
              </w:rPr>
              <w:t>附属工程完成率（</w:t>
            </w:r>
            <w:r>
              <w:rPr>
                <w:sz w:val="24"/>
              </w:rPr>
              <w:t>%</w:t>
            </w:r>
            <w:r>
              <w:rPr>
                <w:sz w:val="24"/>
              </w:rPr>
              <w:t>）</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sz w:val="24"/>
              </w:rPr>
              <w:t>完成附属工程量的</w:t>
            </w:r>
            <w:r>
              <w:rPr>
                <w:sz w:val="24"/>
              </w:rPr>
              <w:t>80%</w:t>
            </w:r>
          </w:p>
        </w:tc>
      </w:tr>
      <w:tr w:rsidR="0029667E">
        <w:trPr>
          <w:trHeight w:val="567"/>
          <w:jc w:val="center"/>
        </w:trPr>
        <w:tc>
          <w:tcPr>
            <w:tcW w:w="11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29667E">
            <w:pPr>
              <w:widowControl/>
              <w:adjustRightInd w:val="0"/>
              <w:snapToGrid w:val="0"/>
              <w:spacing w:line="240" w:lineRule="auto"/>
              <w:ind w:firstLineChars="0" w:firstLine="0"/>
              <w:jc w:val="center"/>
              <w:textAlignment w:val="center"/>
              <w:rPr>
                <w:color w:val="000000"/>
                <w:kern w:val="0"/>
                <w:sz w:val="24"/>
                <w:lang w:bidi="ar"/>
              </w:rPr>
            </w:pPr>
          </w:p>
        </w:tc>
        <w:tc>
          <w:tcPr>
            <w:tcW w:w="2013" w:type="dxa"/>
            <w:tcBorders>
              <w:top w:val="single" w:sz="4" w:space="0" w:color="auto"/>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时效指标</w:t>
            </w:r>
          </w:p>
        </w:tc>
        <w:tc>
          <w:tcPr>
            <w:tcW w:w="36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sz w:val="24"/>
              </w:rPr>
              <w:t>工程计量拨款及时率（</w:t>
            </w:r>
            <w:r>
              <w:rPr>
                <w:sz w:val="24"/>
              </w:rPr>
              <w:t>%</w:t>
            </w:r>
            <w:r>
              <w:rPr>
                <w:sz w:val="24"/>
              </w:rPr>
              <w:t>）</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sz w:val="24"/>
              </w:rPr>
              <w:t>100%</w:t>
            </w:r>
          </w:p>
        </w:tc>
      </w:tr>
      <w:tr w:rsidR="0029667E">
        <w:trPr>
          <w:trHeight w:val="567"/>
          <w:jc w:val="center"/>
        </w:trPr>
        <w:tc>
          <w:tcPr>
            <w:tcW w:w="1195" w:type="dxa"/>
            <w:vMerge w:val="restart"/>
            <w:tcBorders>
              <w:top w:val="single" w:sz="4" w:space="0" w:color="000000"/>
              <w:left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效益指标</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经济效益指标</w:t>
            </w:r>
          </w:p>
        </w:tc>
        <w:tc>
          <w:tcPr>
            <w:tcW w:w="36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sz w:val="24"/>
              </w:rPr>
              <w:t>保障农民工工资足额及时支付率</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sz w:val="24"/>
              </w:rPr>
              <w:t>100%</w:t>
            </w:r>
          </w:p>
        </w:tc>
      </w:tr>
      <w:tr w:rsidR="0029667E">
        <w:trPr>
          <w:trHeight w:val="567"/>
          <w:jc w:val="center"/>
        </w:trPr>
        <w:tc>
          <w:tcPr>
            <w:tcW w:w="1195" w:type="dxa"/>
            <w:vMerge/>
            <w:tcBorders>
              <w:left w:val="single" w:sz="4" w:space="0" w:color="000000"/>
              <w:right w:val="single" w:sz="4" w:space="0" w:color="000000"/>
            </w:tcBorders>
            <w:shd w:val="clear" w:color="auto" w:fill="auto"/>
            <w:vAlign w:val="center"/>
          </w:tcPr>
          <w:p w:rsidR="0029667E" w:rsidRDefault="0029667E">
            <w:pPr>
              <w:widowControl/>
              <w:adjustRightInd w:val="0"/>
              <w:snapToGrid w:val="0"/>
              <w:spacing w:line="240" w:lineRule="auto"/>
              <w:ind w:firstLineChars="0" w:firstLine="0"/>
              <w:jc w:val="center"/>
              <w:textAlignment w:val="center"/>
              <w:rPr>
                <w:color w:val="000000"/>
                <w:kern w:val="0"/>
                <w:sz w:val="24"/>
                <w:lang w:bidi="ar"/>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社会效益指标</w:t>
            </w:r>
          </w:p>
        </w:tc>
        <w:tc>
          <w:tcPr>
            <w:tcW w:w="36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sz w:val="24"/>
              </w:rPr>
              <w:t>设计功能实现率（</w:t>
            </w:r>
            <w:r>
              <w:rPr>
                <w:sz w:val="24"/>
              </w:rPr>
              <w:t>%</w:t>
            </w:r>
            <w:r>
              <w:rPr>
                <w:sz w:val="24"/>
              </w:rPr>
              <w:t>）</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sz w:val="24"/>
              </w:rPr>
              <w:t>100%</w:t>
            </w:r>
          </w:p>
        </w:tc>
      </w:tr>
      <w:tr w:rsidR="0029667E">
        <w:trPr>
          <w:trHeight w:val="567"/>
          <w:jc w:val="center"/>
        </w:trPr>
        <w:tc>
          <w:tcPr>
            <w:tcW w:w="1195" w:type="dxa"/>
            <w:vMerge/>
            <w:tcBorders>
              <w:left w:val="single" w:sz="4" w:space="0" w:color="000000"/>
              <w:bottom w:val="single" w:sz="4" w:space="0" w:color="000000"/>
              <w:right w:val="single" w:sz="4" w:space="0" w:color="000000"/>
            </w:tcBorders>
            <w:shd w:val="clear" w:color="auto" w:fill="auto"/>
            <w:vAlign w:val="center"/>
          </w:tcPr>
          <w:p w:rsidR="0029667E" w:rsidRDefault="0029667E">
            <w:pPr>
              <w:widowControl/>
              <w:adjustRightInd w:val="0"/>
              <w:snapToGrid w:val="0"/>
              <w:spacing w:line="240" w:lineRule="auto"/>
              <w:ind w:firstLineChars="0" w:firstLine="0"/>
              <w:jc w:val="center"/>
              <w:textAlignment w:val="center"/>
              <w:rPr>
                <w:color w:val="000000"/>
                <w:kern w:val="0"/>
                <w:sz w:val="24"/>
                <w:lang w:bidi="ar"/>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color w:val="000000"/>
                <w:kern w:val="0"/>
                <w:sz w:val="24"/>
                <w:lang w:bidi="ar"/>
              </w:rPr>
              <w:t>服务对象满意度</w:t>
            </w:r>
          </w:p>
        </w:tc>
        <w:tc>
          <w:tcPr>
            <w:tcW w:w="36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sz w:val="24"/>
              </w:rPr>
              <w:t>市民满意度（</w:t>
            </w:r>
            <w:r>
              <w:rPr>
                <w:sz w:val="24"/>
              </w:rPr>
              <w:t>%</w:t>
            </w:r>
            <w:r>
              <w:rPr>
                <w:sz w:val="24"/>
              </w:rPr>
              <w:t>）</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adjustRightInd w:val="0"/>
              <w:snapToGrid w:val="0"/>
              <w:spacing w:line="240" w:lineRule="auto"/>
              <w:ind w:firstLineChars="0" w:firstLine="0"/>
              <w:jc w:val="center"/>
              <w:textAlignment w:val="center"/>
              <w:rPr>
                <w:color w:val="000000"/>
                <w:kern w:val="0"/>
                <w:sz w:val="24"/>
                <w:lang w:bidi="ar"/>
              </w:rPr>
            </w:pPr>
            <w:r>
              <w:rPr>
                <w:sz w:val="24"/>
              </w:rPr>
              <w:t>≥90%</w:t>
            </w:r>
          </w:p>
        </w:tc>
      </w:tr>
    </w:tbl>
    <w:p w:rsidR="0029667E" w:rsidRDefault="0029667E">
      <w:pPr>
        <w:ind w:firstLine="640"/>
      </w:pPr>
    </w:p>
    <w:p w:rsidR="0029667E" w:rsidRDefault="005F36FF">
      <w:pPr>
        <w:ind w:firstLine="640"/>
      </w:pPr>
      <w:r>
        <w:t>结合</w:t>
      </w:r>
      <w:r>
        <w:rPr>
          <w:szCs w:val="32"/>
        </w:rPr>
        <w:t>《</w:t>
      </w:r>
      <w:r>
        <w:t>财政支出项目申报表</w:t>
      </w:r>
      <w:r>
        <w:rPr>
          <w:szCs w:val="32"/>
        </w:rPr>
        <w:t>》</w:t>
      </w:r>
      <w:r>
        <w:t>《项目支出绩效自评表》</w:t>
      </w:r>
      <w:r>
        <w:rPr>
          <w:szCs w:val="32"/>
        </w:rPr>
        <w:t>等有关材料，项目</w:t>
      </w:r>
      <w:r>
        <w:t>2023</w:t>
      </w:r>
      <w:r>
        <w:t>年年初申报阶段与绩效自评阶段设置的绩效目标保持一致，均为</w:t>
      </w:r>
      <w:r>
        <w:t>2023</w:t>
      </w:r>
      <w:r>
        <w:t>年计划完成项目主体工程</w:t>
      </w:r>
      <w:r>
        <w:t>80%</w:t>
      </w:r>
      <w:r>
        <w:t>工程量，配套设施的</w:t>
      </w:r>
      <w:r>
        <w:t>80%</w:t>
      </w:r>
      <w:r>
        <w:t>，完成工程进度的</w:t>
      </w:r>
      <w:r>
        <w:t>80%</w:t>
      </w:r>
      <w:r>
        <w:t>。社会效益方面完工验收通过率</w:t>
      </w:r>
      <w:r>
        <w:t>100%</w:t>
      </w:r>
      <w:r>
        <w:t>，严格履行国家劳保制度有施工安全制度和员工安全防护措施；施工单位无拖欠、克扣农民工工资现象。</w:t>
      </w:r>
    </w:p>
    <w:p w:rsidR="0029667E" w:rsidRDefault="005F36FF">
      <w:pPr>
        <w:ind w:firstLine="640"/>
      </w:pPr>
      <w:r>
        <w:t>本次绩效评价指标体系共性指标评价标准主要依据《广州市增城区财政局关于开展</w:t>
      </w:r>
      <w:r>
        <w:t>2024</w:t>
      </w:r>
      <w:r>
        <w:t>年财政评价工作的通知》（增财〔</w:t>
      </w:r>
      <w:r>
        <w:t>2024</w:t>
      </w:r>
      <w:r>
        <w:t>〕</w:t>
      </w:r>
      <w:r>
        <w:t>178</w:t>
      </w:r>
      <w:r>
        <w:t>号）、《广州市增城区关于印发</w:t>
      </w:r>
      <w:r>
        <w:t>2024</w:t>
      </w:r>
      <w:r>
        <w:t>年增城区区级财政资金支出绩效评价工作方案的通知》（增财〔</w:t>
      </w:r>
      <w:r>
        <w:t>2024</w:t>
      </w:r>
      <w:r>
        <w:t>〕</w:t>
      </w:r>
      <w:r>
        <w:t>212</w:t>
      </w:r>
      <w:r>
        <w:t>号</w:t>
      </w:r>
      <w:r>
        <w:t>）有关规定设置；个性化指标预期目标值主要依据《广州市增城区人民政府办公室关于轨道交通项目规划建设工作的会议纪要（二十五）》（</w:t>
      </w:r>
      <w:proofErr w:type="gramStart"/>
      <w:r>
        <w:t>增府会纪</w:t>
      </w:r>
      <w:proofErr w:type="gramEnd"/>
      <w:r>
        <w:t>〔</w:t>
      </w:r>
      <w:r>
        <w:t>2019</w:t>
      </w:r>
      <w:r>
        <w:t>〕</w:t>
      </w:r>
      <w:r>
        <w:t>27</w:t>
      </w:r>
      <w:r>
        <w:t>号）、《广州市发展和改革委员会关于推进新塘站、增城站周边道路前期工作的会议纪要》（</w:t>
      </w:r>
      <w:proofErr w:type="gramStart"/>
      <w:r>
        <w:t>穗发改会纪</w:t>
      </w:r>
      <w:proofErr w:type="gramEnd"/>
      <w:r>
        <w:t>〔</w:t>
      </w:r>
      <w:r>
        <w:t>2018</w:t>
      </w:r>
      <w:r>
        <w:t>〕</w:t>
      </w:r>
      <w:r>
        <w:t>18</w:t>
      </w:r>
      <w:r>
        <w:t>号）、《广州市增城区发展和改革局关于新塘站片区路网</w:t>
      </w:r>
      <w:r>
        <w:t>-</w:t>
      </w:r>
      <w:r>
        <w:t>纵一路、新源路及汽车城大道建设工程项目可行性研究报告的批复》（增发改投〔</w:t>
      </w:r>
      <w:r>
        <w:t>2019</w:t>
      </w:r>
      <w:r>
        <w:t>〕</w:t>
      </w:r>
      <w:r>
        <w:t>129</w:t>
      </w:r>
      <w:r>
        <w:t>号）及各项合同等材料设定，本次项目重点评价将个性化绩效指标完善设置为</w:t>
      </w:r>
      <w:r>
        <w:rPr>
          <w:rFonts w:hint="eastAsia"/>
        </w:rPr>
        <w:t>10</w:t>
      </w:r>
      <w:r>
        <w:t>个，其中产出指标</w:t>
      </w:r>
      <w:r>
        <w:rPr>
          <w:rFonts w:hint="eastAsia"/>
        </w:rPr>
        <w:t>6</w:t>
      </w:r>
      <w:r>
        <w:t>个，效益指标</w:t>
      </w:r>
      <w:r>
        <w:t>4</w:t>
      </w:r>
      <w:r>
        <w:t>个，详见下表</w:t>
      </w:r>
      <w:r>
        <w:t>。</w:t>
      </w:r>
    </w:p>
    <w:p w:rsidR="0029667E" w:rsidRDefault="005F36FF">
      <w:pPr>
        <w:keepNext/>
        <w:spacing w:line="240" w:lineRule="auto"/>
        <w:ind w:firstLineChars="0" w:firstLine="0"/>
        <w:jc w:val="center"/>
      </w:pPr>
      <w:r>
        <w:rPr>
          <w:rFonts w:eastAsia="黑体"/>
          <w:sz w:val="28"/>
          <w:szCs w:val="28"/>
        </w:rPr>
        <w:t>表</w:t>
      </w:r>
      <w:r>
        <w:rPr>
          <w:rFonts w:eastAsia="黑体"/>
          <w:sz w:val="28"/>
          <w:szCs w:val="28"/>
        </w:rPr>
        <w:t xml:space="preserve">4  </w:t>
      </w:r>
      <w:r>
        <w:rPr>
          <w:rFonts w:eastAsia="黑体"/>
          <w:sz w:val="28"/>
          <w:szCs w:val="28"/>
        </w:rPr>
        <w:t>项目个性化绩效指标表</w:t>
      </w:r>
    </w:p>
    <w:tbl>
      <w:tblPr>
        <w:tblW w:w="8985" w:type="dxa"/>
        <w:jc w:val="center"/>
        <w:tblBorders>
          <w:top w:val="single" w:sz="4" w:space="0" w:color="auto"/>
          <w:left w:val="single" w:sz="4" w:space="0" w:color="auto"/>
          <w:bottom w:val="single" w:sz="4" w:space="0" w:color="auto"/>
          <w:right w:val="single" w:sz="4" w:space="0" w:color="auto"/>
          <w:insideH w:val="none" w:sz="4" w:space="0" w:color="auto"/>
          <w:insideV w:val="none" w:sz="4" w:space="0" w:color="auto"/>
        </w:tblBorders>
        <w:tblLook w:val="04A0" w:firstRow="1" w:lastRow="0" w:firstColumn="1" w:lastColumn="0" w:noHBand="0" w:noVBand="1"/>
      </w:tblPr>
      <w:tblGrid>
        <w:gridCol w:w="733"/>
        <w:gridCol w:w="1080"/>
        <w:gridCol w:w="1185"/>
        <w:gridCol w:w="1350"/>
        <w:gridCol w:w="4637"/>
      </w:tblGrid>
      <w:tr w:rsidR="0029667E">
        <w:trPr>
          <w:trHeight w:val="567"/>
          <w:tblHeader/>
          <w:jc w:val="center"/>
        </w:trPr>
        <w:tc>
          <w:tcPr>
            <w:tcW w:w="733" w:type="dxa"/>
            <w:tcBorders>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一级指标</w:t>
            </w:r>
          </w:p>
        </w:tc>
        <w:tc>
          <w:tcPr>
            <w:tcW w:w="1080" w:type="dxa"/>
            <w:tcBorders>
              <w:left w:val="single" w:sz="4" w:space="0" w:color="000000"/>
              <w:bottom w:val="single" w:sz="4" w:space="0" w:color="auto"/>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二级</w:t>
            </w:r>
          </w:p>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指标</w:t>
            </w:r>
          </w:p>
        </w:tc>
        <w:tc>
          <w:tcPr>
            <w:tcW w:w="1185" w:type="dxa"/>
            <w:tcBorders>
              <w:left w:val="single" w:sz="4" w:space="0" w:color="000000"/>
              <w:bottom w:val="single" w:sz="4" w:space="0" w:color="auto"/>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三级指标</w:t>
            </w:r>
          </w:p>
        </w:tc>
        <w:tc>
          <w:tcPr>
            <w:tcW w:w="1350" w:type="dxa"/>
            <w:tcBorders>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四级指标</w:t>
            </w:r>
          </w:p>
        </w:tc>
        <w:tc>
          <w:tcPr>
            <w:tcW w:w="4637" w:type="dxa"/>
            <w:tcBorders>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评分标准</w:t>
            </w:r>
          </w:p>
        </w:tc>
      </w:tr>
      <w:tr w:rsidR="0029667E">
        <w:trPr>
          <w:trHeight w:val="90"/>
          <w:jc w:val="center"/>
        </w:trPr>
        <w:tc>
          <w:tcPr>
            <w:tcW w:w="733" w:type="dxa"/>
            <w:vMerge w:val="restart"/>
            <w:tcBorders>
              <w:top w:val="single" w:sz="4" w:space="0" w:color="000000"/>
              <w:right w:val="single" w:sz="4" w:space="0" w:color="auto"/>
            </w:tcBorders>
            <w:shd w:val="clear" w:color="auto" w:fill="auto"/>
            <w:vAlign w:val="center"/>
          </w:tcPr>
          <w:p w:rsidR="0029667E" w:rsidRDefault="005F36FF">
            <w:pPr>
              <w:snapToGrid w:val="0"/>
              <w:spacing w:line="240" w:lineRule="auto"/>
              <w:ind w:firstLineChars="0" w:firstLine="0"/>
              <w:jc w:val="center"/>
              <w:rPr>
                <w:sz w:val="24"/>
              </w:rPr>
            </w:pPr>
            <w:r>
              <w:rPr>
                <w:sz w:val="24"/>
              </w:rPr>
              <w:t>产出</w:t>
            </w:r>
          </w:p>
        </w:tc>
        <w:tc>
          <w:tcPr>
            <w:tcW w:w="1080" w:type="dxa"/>
            <w:vMerge w:val="restart"/>
            <w:tcBorders>
              <w:top w:val="single" w:sz="4" w:space="0" w:color="auto"/>
              <w:left w:val="single" w:sz="4" w:space="0" w:color="auto"/>
              <w:right w:val="single" w:sz="4" w:space="0" w:color="auto"/>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sz w:val="24"/>
              </w:rPr>
            </w:pPr>
            <w:r>
              <w:rPr>
                <w:color w:val="000000"/>
                <w:sz w:val="24"/>
              </w:rPr>
              <w:t>效率性</w:t>
            </w:r>
          </w:p>
        </w:tc>
        <w:tc>
          <w:tcPr>
            <w:tcW w:w="1185" w:type="dxa"/>
            <w:vMerge w:val="restart"/>
            <w:tcBorders>
              <w:top w:val="single" w:sz="4" w:space="0" w:color="auto"/>
              <w:left w:val="single" w:sz="4" w:space="0" w:color="auto"/>
              <w:right w:val="single" w:sz="4" w:space="0" w:color="auto"/>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sz w:val="24"/>
              </w:rPr>
            </w:pPr>
            <w:r>
              <w:rPr>
                <w:color w:val="000000"/>
                <w:sz w:val="24"/>
              </w:rPr>
              <w:t>完成进度</w:t>
            </w:r>
          </w:p>
        </w:tc>
        <w:tc>
          <w:tcPr>
            <w:tcW w:w="1350" w:type="dxa"/>
            <w:tcBorders>
              <w:top w:val="single" w:sz="4" w:space="0" w:color="000000"/>
              <w:left w:val="single" w:sz="4" w:space="0" w:color="auto"/>
              <w:bottom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sz w:val="24"/>
              </w:rPr>
            </w:pPr>
            <w:r>
              <w:rPr>
                <w:color w:val="000000"/>
                <w:kern w:val="0"/>
                <w:sz w:val="24"/>
                <w:lang w:bidi="ar"/>
              </w:rPr>
              <w:t>工程进度达标率</w:t>
            </w:r>
          </w:p>
        </w:tc>
        <w:tc>
          <w:tcPr>
            <w:tcW w:w="4637" w:type="dxa"/>
            <w:tcBorders>
              <w:top w:val="single" w:sz="4" w:space="0" w:color="000000"/>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jc w:val="left"/>
              <w:textAlignment w:val="center"/>
              <w:rPr>
                <w:color w:val="00000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100%</w:t>
            </w:r>
            <w:r>
              <w:rPr>
                <w:rFonts w:ascii="仿宋_GB2312" w:hint="eastAsia"/>
                <w:color w:val="000000"/>
                <w:kern w:val="0"/>
                <w:sz w:val="24"/>
                <w:lang w:bidi="ar"/>
              </w:rPr>
              <w:t>”</w:t>
            </w:r>
            <w:r>
              <w:rPr>
                <w:color w:val="000000"/>
                <w:kern w:val="0"/>
                <w:sz w:val="24"/>
                <w:lang w:bidi="ar"/>
              </w:rPr>
              <w:t>，根据工程建设进度实际情况进行评分，按照合同及可行性研究报告等文件约定的前期招投标、设计、施工、设备安装调试、竣工验收各阶段任务进度推进工程建设得满分，否则按照滞后情况酌情扣分。</w:t>
            </w:r>
          </w:p>
        </w:tc>
      </w:tr>
      <w:tr w:rsidR="0029667E">
        <w:trPr>
          <w:trHeight w:val="567"/>
          <w:jc w:val="center"/>
        </w:trPr>
        <w:tc>
          <w:tcPr>
            <w:tcW w:w="733" w:type="dxa"/>
            <w:vMerge/>
            <w:tcBorders>
              <w:right w:val="single" w:sz="4" w:space="0" w:color="000000"/>
            </w:tcBorders>
            <w:shd w:val="clear" w:color="auto" w:fill="auto"/>
            <w:vAlign w:val="center"/>
          </w:tcPr>
          <w:p w:rsidR="0029667E" w:rsidRDefault="0029667E">
            <w:pPr>
              <w:snapToGrid w:val="0"/>
              <w:spacing w:line="240" w:lineRule="auto"/>
              <w:ind w:firstLineChars="0" w:firstLine="472"/>
              <w:jc w:val="center"/>
              <w:rPr>
                <w:sz w:val="24"/>
              </w:rPr>
            </w:pPr>
          </w:p>
        </w:tc>
        <w:tc>
          <w:tcPr>
            <w:tcW w:w="1080" w:type="dxa"/>
            <w:vMerge/>
            <w:tcBorders>
              <w:left w:val="single" w:sz="4" w:space="0" w:color="auto"/>
              <w:right w:val="single" w:sz="4" w:space="0" w:color="auto"/>
            </w:tcBorders>
            <w:shd w:val="clear" w:color="auto" w:fill="auto"/>
            <w:vAlign w:val="center"/>
          </w:tcPr>
          <w:p w:rsidR="0029667E" w:rsidRDefault="0029667E">
            <w:pPr>
              <w:widowControl/>
              <w:snapToGrid w:val="0"/>
              <w:spacing w:line="240" w:lineRule="auto"/>
              <w:ind w:firstLineChars="0" w:firstLine="0"/>
              <w:jc w:val="center"/>
              <w:textAlignment w:val="center"/>
              <w:rPr>
                <w:color w:val="000000"/>
                <w:kern w:val="0"/>
                <w:sz w:val="24"/>
                <w:lang w:bidi="ar"/>
              </w:rPr>
            </w:pPr>
          </w:p>
        </w:tc>
        <w:tc>
          <w:tcPr>
            <w:tcW w:w="1185" w:type="dxa"/>
            <w:vMerge/>
            <w:tcBorders>
              <w:left w:val="single" w:sz="4" w:space="0" w:color="auto"/>
              <w:right w:val="single" w:sz="4" w:space="0" w:color="auto"/>
            </w:tcBorders>
            <w:shd w:val="clear" w:color="auto" w:fill="auto"/>
            <w:vAlign w:val="center"/>
          </w:tcPr>
          <w:p w:rsidR="0029667E" w:rsidRDefault="0029667E">
            <w:pPr>
              <w:widowControl/>
              <w:snapToGrid w:val="0"/>
              <w:spacing w:line="240" w:lineRule="auto"/>
              <w:ind w:firstLineChars="0" w:firstLine="0"/>
              <w:jc w:val="center"/>
              <w:textAlignment w:val="center"/>
              <w:rPr>
                <w:color w:val="000000"/>
                <w:kern w:val="0"/>
                <w:sz w:val="24"/>
                <w:lang w:bidi="ar"/>
              </w:rPr>
            </w:pPr>
          </w:p>
        </w:tc>
        <w:tc>
          <w:tcPr>
            <w:tcW w:w="1350" w:type="dxa"/>
            <w:tcBorders>
              <w:top w:val="single" w:sz="4" w:space="0" w:color="000000"/>
              <w:left w:val="single" w:sz="4" w:space="0" w:color="auto"/>
              <w:bottom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sz w:val="24"/>
              </w:rPr>
            </w:pPr>
            <w:r>
              <w:rPr>
                <w:color w:val="000000"/>
                <w:kern w:val="0"/>
                <w:sz w:val="24"/>
                <w:lang w:bidi="ar"/>
              </w:rPr>
              <w:t>新建道路里程</w:t>
            </w:r>
          </w:p>
        </w:tc>
        <w:tc>
          <w:tcPr>
            <w:tcW w:w="4637" w:type="dxa"/>
            <w:tcBorders>
              <w:top w:val="single" w:sz="4" w:space="0" w:color="000000"/>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jc w:val="left"/>
              <w:textAlignment w:val="center"/>
              <w:rPr>
                <w:color w:val="00000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6.374</w:t>
            </w:r>
            <w:r>
              <w:rPr>
                <w:color w:val="000000"/>
                <w:kern w:val="0"/>
                <w:sz w:val="24"/>
                <w:lang w:bidi="ar"/>
              </w:rPr>
              <w:t>公里</w:t>
            </w:r>
            <w:r>
              <w:rPr>
                <w:rFonts w:ascii="仿宋_GB2312" w:hint="eastAsia"/>
                <w:color w:val="000000"/>
                <w:kern w:val="0"/>
                <w:sz w:val="24"/>
                <w:lang w:bidi="ar"/>
              </w:rPr>
              <w:t>”</w:t>
            </w:r>
            <w:r>
              <w:rPr>
                <w:color w:val="000000"/>
                <w:kern w:val="0"/>
                <w:sz w:val="24"/>
                <w:lang w:bidi="ar"/>
              </w:rPr>
              <w:t>，根据工程施工图设计内容，规划新建道路里程共</w:t>
            </w:r>
            <w:r>
              <w:rPr>
                <w:color w:val="000000"/>
                <w:kern w:val="0"/>
                <w:sz w:val="24"/>
                <w:lang w:bidi="ar"/>
              </w:rPr>
              <w:t>6.374</w:t>
            </w:r>
            <w:r>
              <w:rPr>
                <w:color w:val="000000"/>
                <w:kern w:val="0"/>
                <w:sz w:val="24"/>
                <w:lang w:bidi="ar"/>
              </w:rPr>
              <w:t>公里，包括</w:t>
            </w:r>
            <w:proofErr w:type="gramStart"/>
            <w:r>
              <w:rPr>
                <w:color w:val="000000"/>
                <w:kern w:val="0"/>
                <w:sz w:val="24"/>
                <w:lang w:bidi="ar"/>
              </w:rPr>
              <w:t>纵</w:t>
            </w:r>
            <w:proofErr w:type="gramEnd"/>
            <w:r>
              <w:rPr>
                <w:color w:val="000000"/>
                <w:kern w:val="0"/>
                <w:sz w:val="24"/>
                <w:lang w:bidi="ar"/>
              </w:rPr>
              <w:t>一路（</w:t>
            </w:r>
            <w:r>
              <w:rPr>
                <w:color w:val="000000"/>
                <w:kern w:val="0"/>
                <w:sz w:val="24"/>
                <w:lang w:bidi="ar"/>
              </w:rPr>
              <w:t>1.0</w:t>
            </w:r>
            <w:r>
              <w:rPr>
                <w:color w:val="000000"/>
                <w:kern w:val="0"/>
                <w:sz w:val="24"/>
                <w:lang w:bidi="ar"/>
              </w:rPr>
              <w:t>公里）；站前路（</w:t>
            </w:r>
            <w:r>
              <w:rPr>
                <w:color w:val="000000"/>
                <w:kern w:val="0"/>
                <w:sz w:val="24"/>
                <w:lang w:bidi="ar"/>
              </w:rPr>
              <w:t>0.795</w:t>
            </w:r>
            <w:r>
              <w:rPr>
                <w:color w:val="000000"/>
                <w:kern w:val="0"/>
                <w:sz w:val="24"/>
                <w:lang w:bidi="ar"/>
              </w:rPr>
              <w:t>公里）；汽车城大道主线（</w:t>
            </w:r>
            <w:r>
              <w:rPr>
                <w:color w:val="000000"/>
                <w:kern w:val="0"/>
                <w:sz w:val="24"/>
                <w:lang w:bidi="ar"/>
              </w:rPr>
              <w:t>2.453</w:t>
            </w:r>
            <w:r>
              <w:rPr>
                <w:color w:val="000000"/>
                <w:kern w:val="0"/>
                <w:sz w:val="24"/>
                <w:lang w:bidi="ar"/>
              </w:rPr>
              <w:t>公里）、支线</w:t>
            </w:r>
            <w:r>
              <w:rPr>
                <w:color w:val="000000"/>
                <w:kern w:val="0"/>
                <w:sz w:val="24"/>
                <w:lang w:bidi="ar"/>
              </w:rPr>
              <w:t>1</w:t>
            </w:r>
            <w:r>
              <w:rPr>
                <w:color w:val="000000"/>
                <w:kern w:val="0"/>
                <w:sz w:val="24"/>
                <w:lang w:bidi="ar"/>
              </w:rPr>
              <w:t>（</w:t>
            </w:r>
            <w:r>
              <w:rPr>
                <w:color w:val="000000"/>
                <w:kern w:val="0"/>
                <w:sz w:val="24"/>
                <w:lang w:bidi="ar"/>
              </w:rPr>
              <w:t>0.212</w:t>
            </w:r>
            <w:r>
              <w:rPr>
                <w:color w:val="000000"/>
                <w:kern w:val="0"/>
                <w:sz w:val="24"/>
                <w:lang w:bidi="ar"/>
              </w:rPr>
              <w:t>公里）及支线</w:t>
            </w:r>
            <w:r>
              <w:rPr>
                <w:color w:val="000000"/>
                <w:kern w:val="0"/>
                <w:sz w:val="24"/>
                <w:lang w:bidi="ar"/>
              </w:rPr>
              <w:t>2</w:t>
            </w:r>
            <w:r>
              <w:rPr>
                <w:color w:val="000000"/>
                <w:kern w:val="0"/>
                <w:sz w:val="24"/>
                <w:lang w:bidi="ar"/>
              </w:rPr>
              <w:t>（</w:t>
            </w:r>
            <w:r>
              <w:rPr>
                <w:color w:val="000000"/>
                <w:kern w:val="0"/>
                <w:sz w:val="24"/>
                <w:lang w:bidi="ar"/>
              </w:rPr>
              <w:t>0.109</w:t>
            </w:r>
            <w:r>
              <w:rPr>
                <w:color w:val="000000"/>
                <w:kern w:val="0"/>
                <w:sz w:val="24"/>
                <w:lang w:bidi="ar"/>
              </w:rPr>
              <w:t>公里）；新源路（</w:t>
            </w:r>
            <w:r>
              <w:rPr>
                <w:color w:val="000000"/>
                <w:kern w:val="0"/>
                <w:sz w:val="24"/>
                <w:lang w:bidi="ar"/>
              </w:rPr>
              <w:t>1.5</w:t>
            </w:r>
            <w:r>
              <w:rPr>
                <w:color w:val="000000"/>
                <w:kern w:val="0"/>
                <w:sz w:val="24"/>
                <w:lang w:bidi="ar"/>
              </w:rPr>
              <w:t>公里）、新源路支线（</w:t>
            </w:r>
            <w:r>
              <w:rPr>
                <w:color w:val="000000"/>
                <w:kern w:val="0"/>
                <w:sz w:val="24"/>
                <w:lang w:bidi="ar"/>
              </w:rPr>
              <w:t>0.305</w:t>
            </w:r>
            <w:r>
              <w:rPr>
                <w:color w:val="000000"/>
                <w:kern w:val="0"/>
                <w:sz w:val="24"/>
                <w:lang w:bidi="ar"/>
              </w:rPr>
              <w:t>公里）。</w:t>
            </w:r>
          </w:p>
        </w:tc>
      </w:tr>
      <w:tr w:rsidR="0029667E">
        <w:trPr>
          <w:trHeight w:val="567"/>
          <w:jc w:val="center"/>
        </w:trPr>
        <w:tc>
          <w:tcPr>
            <w:tcW w:w="733" w:type="dxa"/>
            <w:vMerge/>
            <w:tcBorders>
              <w:right w:val="single" w:sz="4" w:space="0" w:color="000000"/>
            </w:tcBorders>
            <w:shd w:val="clear" w:color="auto" w:fill="auto"/>
            <w:vAlign w:val="center"/>
          </w:tcPr>
          <w:p w:rsidR="0029667E" w:rsidRDefault="0029667E">
            <w:pPr>
              <w:snapToGrid w:val="0"/>
              <w:spacing w:line="240" w:lineRule="auto"/>
              <w:ind w:firstLineChars="0" w:firstLine="472"/>
              <w:jc w:val="center"/>
              <w:rPr>
                <w:sz w:val="24"/>
              </w:rPr>
            </w:pPr>
          </w:p>
        </w:tc>
        <w:tc>
          <w:tcPr>
            <w:tcW w:w="1080" w:type="dxa"/>
            <w:vMerge/>
            <w:tcBorders>
              <w:left w:val="single" w:sz="4" w:space="0" w:color="auto"/>
              <w:right w:val="single" w:sz="4" w:space="0" w:color="auto"/>
            </w:tcBorders>
            <w:shd w:val="clear" w:color="auto" w:fill="auto"/>
            <w:vAlign w:val="center"/>
          </w:tcPr>
          <w:p w:rsidR="0029667E" w:rsidRDefault="0029667E">
            <w:pPr>
              <w:widowControl/>
              <w:snapToGrid w:val="0"/>
              <w:spacing w:line="240" w:lineRule="auto"/>
              <w:ind w:firstLineChars="0" w:firstLine="0"/>
              <w:jc w:val="center"/>
              <w:textAlignment w:val="center"/>
              <w:rPr>
                <w:color w:val="000000"/>
                <w:kern w:val="0"/>
                <w:sz w:val="24"/>
                <w:lang w:bidi="ar"/>
              </w:rPr>
            </w:pPr>
          </w:p>
        </w:tc>
        <w:tc>
          <w:tcPr>
            <w:tcW w:w="1185" w:type="dxa"/>
            <w:vMerge/>
            <w:tcBorders>
              <w:left w:val="single" w:sz="4" w:space="0" w:color="auto"/>
              <w:right w:val="single" w:sz="4" w:space="0" w:color="auto"/>
            </w:tcBorders>
            <w:shd w:val="clear" w:color="auto" w:fill="auto"/>
            <w:vAlign w:val="center"/>
          </w:tcPr>
          <w:p w:rsidR="0029667E" w:rsidRDefault="0029667E">
            <w:pPr>
              <w:widowControl/>
              <w:snapToGrid w:val="0"/>
              <w:spacing w:line="240" w:lineRule="auto"/>
              <w:ind w:firstLineChars="0" w:firstLine="0"/>
              <w:jc w:val="center"/>
              <w:textAlignment w:val="center"/>
              <w:rPr>
                <w:color w:val="000000"/>
                <w:kern w:val="0"/>
                <w:sz w:val="24"/>
                <w:lang w:bidi="ar"/>
              </w:rPr>
            </w:pPr>
          </w:p>
        </w:tc>
        <w:tc>
          <w:tcPr>
            <w:tcW w:w="1350" w:type="dxa"/>
            <w:tcBorders>
              <w:top w:val="single" w:sz="4" w:space="0" w:color="000000"/>
              <w:left w:val="single" w:sz="4" w:space="0" w:color="auto"/>
              <w:bottom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sz w:val="24"/>
              </w:rPr>
            </w:pPr>
            <w:r>
              <w:rPr>
                <w:color w:val="000000"/>
                <w:kern w:val="0"/>
                <w:sz w:val="24"/>
                <w:lang w:bidi="ar"/>
              </w:rPr>
              <w:t>改造道路里程</w:t>
            </w:r>
          </w:p>
        </w:tc>
        <w:tc>
          <w:tcPr>
            <w:tcW w:w="4637" w:type="dxa"/>
            <w:tcBorders>
              <w:top w:val="single" w:sz="4" w:space="0" w:color="000000"/>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jc w:val="left"/>
              <w:textAlignment w:val="center"/>
              <w:rPr>
                <w:color w:val="000000"/>
                <w:sz w:val="24"/>
              </w:rPr>
            </w:pPr>
            <w:r>
              <w:rPr>
                <w:color w:val="000000"/>
                <w:sz w:val="24"/>
              </w:rPr>
              <w:t>预期目标值为</w:t>
            </w:r>
            <w:r>
              <w:rPr>
                <w:rFonts w:ascii="仿宋_GB2312" w:hint="eastAsia"/>
                <w:color w:val="000000"/>
                <w:sz w:val="24"/>
              </w:rPr>
              <w:t>“</w:t>
            </w:r>
            <w:r>
              <w:rPr>
                <w:color w:val="000000"/>
                <w:sz w:val="24"/>
              </w:rPr>
              <w:t>2.618</w:t>
            </w:r>
            <w:r>
              <w:rPr>
                <w:color w:val="000000"/>
                <w:sz w:val="24"/>
              </w:rPr>
              <w:t>公里</w:t>
            </w:r>
            <w:r>
              <w:rPr>
                <w:rFonts w:ascii="仿宋_GB2312" w:hint="eastAsia"/>
                <w:color w:val="000000"/>
                <w:sz w:val="24"/>
              </w:rPr>
              <w:t>”</w:t>
            </w:r>
            <w:r>
              <w:rPr>
                <w:color w:val="000000"/>
                <w:sz w:val="24"/>
              </w:rPr>
              <w:t>，</w:t>
            </w:r>
            <w:r>
              <w:rPr>
                <w:color w:val="000000"/>
                <w:kern w:val="0"/>
                <w:sz w:val="24"/>
                <w:lang w:bidi="ar"/>
              </w:rPr>
              <w:t>根据工程施工图设计内容，规划</w:t>
            </w:r>
            <w:r>
              <w:rPr>
                <w:color w:val="000000"/>
                <w:sz w:val="24"/>
              </w:rPr>
              <w:t>改造道路里程共</w:t>
            </w:r>
            <w:r>
              <w:rPr>
                <w:color w:val="000000"/>
                <w:sz w:val="24"/>
              </w:rPr>
              <w:t>2.618</w:t>
            </w:r>
            <w:r>
              <w:rPr>
                <w:color w:val="000000"/>
                <w:sz w:val="24"/>
              </w:rPr>
              <w:t>公里，包括环城路（</w:t>
            </w:r>
            <w:r>
              <w:rPr>
                <w:color w:val="000000"/>
                <w:sz w:val="24"/>
              </w:rPr>
              <w:t>1.7</w:t>
            </w:r>
            <w:r>
              <w:rPr>
                <w:color w:val="000000"/>
                <w:sz w:val="24"/>
              </w:rPr>
              <w:t>公里）；新新公路（</w:t>
            </w:r>
            <w:r>
              <w:rPr>
                <w:color w:val="000000"/>
                <w:sz w:val="24"/>
              </w:rPr>
              <w:t>0.918</w:t>
            </w:r>
            <w:r>
              <w:rPr>
                <w:color w:val="000000"/>
                <w:sz w:val="24"/>
              </w:rPr>
              <w:t>公里）。</w:t>
            </w:r>
          </w:p>
        </w:tc>
      </w:tr>
      <w:tr w:rsidR="0029667E">
        <w:trPr>
          <w:trHeight w:val="567"/>
          <w:jc w:val="center"/>
        </w:trPr>
        <w:tc>
          <w:tcPr>
            <w:tcW w:w="733" w:type="dxa"/>
            <w:vMerge/>
            <w:tcBorders>
              <w:right w:val="single" w:sz="4" w:space="0" w:color="000000"/>
            </w:tcBorders>
            <w:shd w:val="clear" w:color="auto" w:fill="auto"/>
            <w:vAlign w:val="center"/>
          </w:tcPr>
          <w:p w:rsidR="0029667E" w:rsidRDefault="0029667E">
            <w:pPr>
              <w:snapToGrid w:val="0"/>
              <w:spacing w:line="240" w:lineRule="auto"/>
              <w:ind w:firstLineChars="0" w:firstLine="472"/>
              <w:jc w:val="center"/>
              <w:rPr>
                <w:sz w:val="24"/>
              </w:rPr>
            </w:pPr>
          </w:p>
        </w:tc>
        <w:tc>
          <w:tcPr>
            <w:tcW w:w="1080" w:type="dxa"/>
            <w:vMerge/>
            <w:tcBorders>
              <w:left w:val="single" w:sz="4" w:space="0" w:color="auto"/>
              <w:right w:val="single" w:sz="4" w:space="0" w:color="auto"/>
            </w:tcBorders>
            <w:shd w:val="clear" w:color="auto" w:fill="auto"/>
            <w:vAlign w:val="center"/>
          </w:tcPr>
          <w:p w:rsidR="0029667E" w:rsidRDefault="0029667E">
            <w:pPr>
              <w:widowControl/>
              <w:snapToGrid w:val="0"/>
              <w:spacing w:line="240" w:lineRule="auto"/>
              <w:ind w:firstLineChars="0" w:firstLine="0"/>
              <w:jc w:val="center"/>
              <w:textAlignment w:val="center"/>
              <w:rPr>
                <w:color w:val="000000"/>
                <w:kern w:val="0"/>
                <w:sz w:val="24"/>
                <w:lang w:bidi="ar"/>
              </w:rPr>
            </w:pPr>
          </w:p>
        </w:tc>
        <w:tc>
          <w:tcPr>
            <w:tcW w:w="1185" w:type="dxa"/>
            <w:vMerge/>
            <w:tcBorders>
              <w:left w:val="single" w:sz="4" w:space="0" w:color="auto"/>
              <w:bottom w:val="single" w:sz="4" w:space="0" w:color="auto"/>
              <w:right w:val="single" w:sz="4" w:space="0" w:color="auto"/>
            </w:tcBorders>
            <w:shd w:val="clear" w:color="auto" w:fill="auto"/>
            <w:vAlign w:val="center"/>
          </w:tcPr>
          <w:p w:rsidR="0029667E" w:rsidRDefault="0029667E">
            <w:pPr>
              <w:widowControl/>
              <w:snapToGrid w:val="0"/>
              <w:spacing w:line="240" w:lineRule="auto"/>
              <w:ind w:firstLineChars="0" w:firstLine="0"/>
              <w:jc w:val="center"/>
              <w:textAlignment w:val="center"/>
              <w:rPr>
                <w:color w:val="000000"/>
                <w:kern w:val="0"/>
                <w:sz w:val="24"/>
                <w:lang w:bidi="ar"/>
              </w:rPr>
            </w:pPr>
          </w:p>
        </w:tc>
        <w:tc>
          <w:tcPr>
            <w:tcW w:w="1350" w:type="dxa"/>
            <w:tcBorders>
              <w:top w:val="single" w:sz="4" w:space="0" w:color="000000"/>
              <w:left w:val="single" w:sz="4" w:space="0" w:color="auto"/>
              <w:bottom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sz w:val="24"/>
              </w:rPr>
            </w:pPr>
            <w:r>
              <w:rPr>
                <w:color w:val="000000"/>
                <w:kern w:val="0"/>
                <w:sz w:val="24"/>
                <w:lang w:bidi="ar"/>
              </w:rPr>
              <w:t>配套工程建设完成率</w:t>
            </w:r>
          </w:p>
        </w:tc>
        <w:tc>
          <w:tcPr>
            <w:tcW w:w="4637" w:type="dxa"/>
            <w:tcBorders>
              <w:top w:val="single" w:sz="4" w:space="0" w:color="000000"/>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jc w:val="left"/>
              <w:textAlignment w:val="center"/>
              <w:rPr>
                <w:color w:val="000000"/>
                <w:sz w:val="24"/>
              </w:rPr>
            </w:pPr>
            <w:r>
              <w:rPr>
                <w:color w:val="000000"/>
                <w:sz w:val="24"/>
              </w:rPr>
              <w:t>预期目标值为</w:t>
            </w:r>
            <w:r>
              <w:rPr>
                <w:rFonts w:ascii="仿宋_GB2312" w:hint="eastAsia"/>
                <w:color w:val="000000"/>
                <w:sz w:val="24"/>
              </w:rPr>
              <w:t>“</w:t>
            </w:r>
            <w:r>
              <w:rPr>
                <w:color w:val="000000"/>
                <w:sz w:val="24"/>
              </w:rPr>
              <w:t>100%</w:t>
            </w:r>
            <w:r>
              <w:rPr>
                <w:rFonts w:ascii="仿宋_GB2312" w:hint="eastAsia"/>
                <w:color w:val="000000"/>
                <w:sz w:val="24"/>
              </w:rPr>
              <w:t>”</w:t>
            </w:r>
            <w:r>
              <w:rPr>
                <w:color w:val="000000"/>
                <w:sz w:val="24"/>
              </w:rPr>
              <w:t>，根据配套工程实际完成情况进行评分，按照合同及可行性研究报告等文件约定的隧道工程、给排水工程、交通工程、通信电力工程、照明工程、绿化景观工程等各项配套工程完成建设的得满分，否则按照实际情况酌情扣分。</w:t>
            </w:r>
          </w:p>
        </w:tc>
      </w:tr>
      <w:tr w:rsidR="0029667E">
        <w:trPr>
          <w:trHeight w:val="567"/>
          <w:jc w:val="center"/>
        </w:trPr>
        <w:tc>
          <w:tcPr>
            <w:tcW w:w="733" w:type="dxa"/>
            <w:vMerge/>
            <w:tcBorders>
              <w:right w:val="single" w:sz="4" w:space="0" w:color="000000"/>
            </w:tcBorders>
            <w:shd w:val="clear" w:color="auto" w:fill="auto"/>
            <w:vAlign w:val="center"/>
          </w:tcPr>
          <w:p w:rsidR="0029667E" w:rsidRDefault="0029667E">
            <w:pPr>
              <w:widowControl/>
              <w:snapToGrid w:val="0"/>
              <w:spacing w:line="240" w:lineRule="auto"/>
              <w:ind w:firstLineChars="0" w:firstLine="472"/>
              <w:jc w:val="center"/>
              <w:textAlignment w:val="center"/>
              <w:rPr>
                <w:color w:val="000000"/>
                <w:kern w:val="0"/>
                <w:sz w:val="24"/>
                <w:lang w:bidi="ar"/>
              </w:rPr>
            </w:pPr>
          </w:p>
        </w:tc>
        <w:tc>
          <w:tcPr>
            <w:tcW w:w="1080" w:type="dxa"/>
            <w:vMerge/>
            <w:tcBorders>
              <w:left w:val="single" w:sz="4" w:space="0" w:color="auto"/>
              <w:right w:val="single" w:sz="4" w:space="0" w:color="auto"/>
            </w:tcBorders>
            <w:shd w:val="clear" w:color="auto" w:fill="auto"/>
            <w:vAlign w:val="center"/>
          </w:tcPr>
          <w:p w:rsidR="0029667E" w:rsidRDefault="0029667E">
            <w:pPr>
              <w:widowControl/>
              <w:snapToGrid w:val="0"/>
              <w:spacing w:line="240" w:lineRule="auto"/>
              <w:ind w:firstLineChars="0" w:firstLine="0"/>
              <w:jc w:val="center"/>
              <w:textAlignment w:val="center"/>
              <w:rPr>
                <w:color w:val="000000"/>
                <w:sz w:val="24"/>
              </w:rPr>
            </w:pPr>
          </w:p>
        </w:tc>
        <w:tc>
          <w:tcPr>
            <w:tcW w:w="1185" w:type="dxa"/>
            <w:vMerge w:val="restart"/>
            <w:tcBorders>
              <w:top w:val="single" w:sz="4" w:space="0" w:color="auto"/>
              <w:left w:val="single" w:sz="4" w:space="0" w:color="auto"/>
              <w:right w:val="single" w:sz="4" w:space="0" w:color="auto"/>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sz w:val="24"/>
              </w:rPr>
            </w:pPr>
            <w:r>
              <w:rPr>
                <w:color w:val="000000"/>
                <w:kern w:val="0"/>
                <w:sz w:val="24"/>
                <w:lang w:bidi="ar"/>
              </w:rPr>
              <w:t>完成质量</w:t>
            </w:r>
          </w:p>
        </w:tc>
        <w:tc>
          <w:tcPr>
            <w:tcW w:w="1350" w:type="dxa"/>
            <w:tcBorders>
              <w:top w:val="single" w:sz="4" w:space="0" w:color="000000"/>
              <w:left w:val="single" w:sz="4" w:space="0" w:color="auto"/>
              <w:bottom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sz w:val="24"/>
              </w:rPr>
            </w:pPr>
            <w:r>
              <w:rPr>
                <w:color w:val="000000"/>
                <w:kern w:val="0"/>
                <w:sz w:val="24"/>
                <w:lang w:bidi="ar"/>
              </w:rPr>
              <w:t>建设质量达标率</w:t>
            </w:r>
          </w:p>
        </w:tc>
        <w:tc>
          <w:tcPr>
            <w:tcW w:w="4637" w:type="dxa"/>
            <w:tcBorders>
              <w:top w:val="single" w:sz="4" w:space="0" w:color="000000"/>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textAlignment w:val="center"/>
              <w:rPr>
                <w:color w:val="00000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100%</w:t>
            </w:r>
            <w:r>
              <w:rPr>
                <w:rFonts w:ascii="仿宋_GB2312" w:hint="eastAsia"/>
                <w:color w:val="000000"/>
                <w:kern w:val="0"/>
                <w:sz w:val="24"/>
                <w:lang w:bidi="ar"/>
              </w:rPr>
              <w:t>”</w:t>
            </w:r>
            <w:r>
              <w:rPr>
                <w:color w:val="000000"/>
                <w:kern w:val="0"/>
                <w:sz w:val="24"/>
                <w:lang w:bidi="ar"/>
              </w:rPr>
              <w:t>，根据项目验收报告、工程建设各项材料检测、建设质量检测、分项分部工程验收等情况进行评分，各类建设质量均达标得满分，否则不得分。</w:t>
            </w:r>
          </w:p>
        </w:tc>
      </w:tr>
      <w:tr w:rsidR="0029667E">
        <w:trPr>
          <w:trHeight w:val="567"/>
          <w:jc w:val="center"/>
        </w:trPr>
        <w:tc>
          <w:tcPr>
            <w:tcW w:w="733" w:type="dxa"/>
            <w:vMerge/>
            <w:tcBorders>
              <w:bottom w:val="single" w:sz="4" w:space="0" w:color="000000"/>
              <w:right w:val="single" w:sz="4" w:space="0" w:color="000000"/>
            </w:tcBorders>
            <w:shd w:val="clear" w:color="auto" w:fill="auto"/>
            <w:vAlign w:val="center"/>
          </w:tcPr>
          <w:p w:rsidR="0029667E" w:rsidRDefault="0029667E">
            <w:pPr>
              <w:snapToGrid w:val="0"/>
              <w:spacing w:line="240" w:lineRule="auto"/>
              <w:ind w:firstLineChars="0" w:firstLine="472"/>
              <w:jc w:val="center"/>
              <w:rPr>
                <w:color w:val="000000"/>
                <w:sz w:val="24"/>
              </w:rPr>
            </w:pPr>
          </w:p>
        </w:tc>
        <w:tc>
          <w:tcPr>
            <w:tcW w:w="1080" w:type="dxa"/>
            <w:vMerge/>
            <w:tcBorders>
              <w:left w:val="single" w:sz="4" w:space="0" w:color="auto"/>
              <w:bottom w:val="single" w:sz="4" w:space="0" w:color="auto"/>
              <w:right w:val="single" w:sz="4" w:space="0" w:color="auto"/>
            </w:tcBorders>
            <w:shd w:val="clear" w:color="auto" w:fill="auto"/>
            <w:vAlign w:val="center"/>
          </w:tcPr>
          <w:p w:rsidR="0029667E" w:rsidRDefault="0029667E">
            <w:pPr>
              <w:snapToGrid w:val="0"/>
              <w:spacing w:line="240" w:lineRule="auto"/>
              <w:ind w:firstLineChars="0" w:firstLine="0"/>
              <w:jc w:val="center"/>
              <w:rPr>
                <w:color w:val="000000"/>
                <w:sz w:val="24"/>
              </w:rPr>
            </w:pPr>
          </w:p>
        </w:tc>
        <w:tc>
          <w:tcPr>
            <w:tcW w:w="1185" w:type="dxa"/>
            <w:vMerge/>
            <w:tcBorders>
              <w:left w:val="single" w:sz="4" w:space="0" w:color="auto"/>
              <w:bottom w:val="single" w:sz="4" w:space="0" w:color="000000"/>
              <w:right w:val="single" w:sz="4" w:space="0" w:color="auto"/>
            </w:tcBorders>
            <w:shd w:val="clear" w:color="auto" w:fill="auto"/>
            <w:vAlign w:val="center"/>
          </w:tcPr>
          <w:p w:rsidR="0029667E" w:rsidRDefault="0029667E">
            <w:pPr>
              <w:widowControl/>
              <w:snapToGrid w:val="0"/>
              <w:spacing w:line="240" w:lineRule="auto"/>
              <w:ind w:firstLineChars="0" w:firstLine="0"/>
              <w:jc w:val="center"/>
              <w:textAlignment w:val="center"/>
              <w:rPr>
                <w:color w:val="000000"/>
                <w:sz w:val="24"/>
              </w:rPr>
            </w:pPr>
          </w:p>
        </w:tc>
        <w:tc>
          <w:tcPr>
            <w:tcW w:w="1350" w:type="dxa"/>
            <w:tcBorders>
              <w:top w:val="single" w:sz="4" w:space="0" w:color="000000"/>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sz w:val="24"/>
              </w:rPr>
            </w:pPr>
            <w:r>
              <w:rPr>
                <w:color w:val="000000"/>
                <w:kern w:val="0"/>
                <w:sz w:val="24"/>
                <w:lang w:bidi="ar"/>
              </w:rPr>
              <w:t>变更合</w:t>
            </w:r>
            <w:proofErr w:type="gramStart"/>
            <w:r>
              <w:rPr>
                <w:color w:val="000000"/>
                <w:kern w:val="0"/>
                <w:sz w:val="24"/>
                <w:lang w:bidi="ar"/>
              </w:rPr>
              <w:t>规</w:t>
            </w:r>
            <w:proofErr w:type="gramEnd"/>
            <w:r>
              <w:rPr>
                <w:color w:val="000000"/>
                <w:kern w:val="0"/>
                <w:sz w:val="24"/>
                <w:lang w:bidi="ar"/>
              </w:rPr>
              <w:t>率</w:t>
            </w:r>
          </w:p>
        </w:tc>
        <w:tc>
          <w:tcPr>
            <w:tcW w:w="4637" w:type="dxa"/>
            <w:tcBorders>
              <w:top w:val="single" w:sz="4" w:space="0" w:color="000000"/>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textAlignment w:val="center"/>
              <w:rPr>
                <w:color w:val="00000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100%</w:t>
            </w:r>
            <w:r>
              <w:rPr>
                <w:rFonts w:ascii="仿宋_GB2312" w:hint="eastAsia"/>
                <w:color w:val="000000"/>
                <w:kern w:val="0"/>
                <w:sz w:val="24"/>
                <w:lang w:bidi="ar"/>
              </w:rPr>
              <w:t>”</w:t>
            </w:r>
            <w:r>
              <w:rPr>
                <w:color w:val="000000"/>
                <w:kern w:val="0"/>
                <w:sz w:val="24"/>
                <w:lang w:bidi="ar"/>
              </w:rPr>
              <w:t>，根据工程建设各项变更手续、程序合</w:t>
            </w:r>
            <w:proofErr w:type="gramStart"/>
            <w:r>
              <w:rPr>
                <w:color w:val="000000"/>
                <w:kern w:val="0"/>
                <w:sz w:val="24"/>
                <w:lang w:bidi="ar"/>
              </w:rPr>
              <w:t>规</w:t>
            </w:r>
            <w:proofErr w:type="gramEnd"/>
            <w:r>
              <w:rPr>
                <w:color w:val="000000"/>
                <w:kern w:val="0"/>
                <w:sz w:val="24"/>
                <w:lang w:bidi="ar"/>
              </w:rPr>
              <w:t>实际情况进行评分，按照有关规定履行变更程序且变更合</w:t>
            </w:r>
            <w:proofErr w:type="gramStart"/>
            <w:r>
              <w:rPr>
                <w:color w:val="000000"/>
                <w:kern w:val="0"/>
                <w:sz w:val="24"/>
                <w:lang w:bidi="ar"/>
              </w:rPr>
              <w:t>规</w:t>
            </w:r>
            <w:proofErr w:type="gramEnd"/>
            <w:r>
              <w:rPr>
                <w:color w:val="000000"/>
                <w:kern w:val="0"/>
                <w:sz w:val="24"/>
                <w:lang w:bidi="ar"/>
              </w:rPr>
              <w:t>得满分，否则不得分。</w:t>
            </w:r>
          </w:p>
        </w:tc>
      </w:tr>
      <w:tr w:rsidR="0029667E">
        <w:trPr>
          <w:trHeight w:val="397"/>
          <w:jc w:val="center"/>
        </w:trPr>
        <w:tc>
          <w:tcPr>
            <w:tcW w:w="733" w:type="dxa"/>
            <w:vMerge w:val="restart"/>
            <w:tcBorders>
              <w:right w:val="single" w:sz="4" w:space="0" w:color="auto"/>
            </w:tcBorders>
            <w:shd w:val="clear" w:color="auto" w:fill="auto"/>
            <w:vAlign w:val="center"/>
          </w:tcPr>
          <w:p w:rsidR="0029667E" w:rsidRDefault="005F36FF">
            <w:pPr>
              <w:snapToGrid w:val="0"/>
              <w:spacing w:line="240" w:lineRule="auto"/>
              <w:ind w:firstLineChars="0" w:firstLine="0"/>
              <w:jc w:val="center"/>
              <w:rPr>
                <w:color w:val="000000"/>
                <w:sz w:val="24"/>
              </w:rPr>
            </w:pPr>
            <w:r>
              <w:rPr>
                <w:color w:val="000000"/>
                <w:sz w:val="24"/>
              </w:rPr>
              <w:t>效益</w:t>
            </w:r>
          </w:p>
        </w:tc>
        <w:tc>
          <w:tcPr>
            <w:tcW w:w="1080" w:type="dxa"/>
            <w:vMerge w:val="restart"/>
            <w:tcBorders>
              <w:top w:val="single" w:sz="4" w:space="0" w:color="auto"/>
              <w:left w:val="single" w:sz="4" w:space="0" w:color="auto"/>
              <w:right w:val="single" w:sz="4" w:space="0" w:color="auto"/>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sz w:val="24"/>
              </w:rPr>
              <w:t>效果性</w:t>
            </w:r>
          </w:p>
        </w:tc>
        <w:tc>
          <w:tcPr>
            <w:tcW w:w="1185" w:type="dxa"/>
            <w:tcBorders>
              <w:top w:val="single" w:sz="4" w:space="0" w:color="000000"/>
              <w:left w:val="single" w:sz="4" w:space="0" w:color="auto"/>
              <w:bottom w:val="single" w:sz="4" w:space="0" w:color="000000"/>
              <w:right w:val="single" w:sz="4" w:space="0" w:color="000000"/>
            </w:tcBorders>
            <w:shd w:val="clear" w:color="auto" w:fill="auto"/>
            <w:vAlign w:val="center"/>
          </w:tcPr>
          <w:p w:rsidR="0029667E" w:rsidRDefault="005F36FF">
            <w:pPr>
              <w:snapToGrid w:val="0"/>
              <w:spacing w:line="240" w:lineRule="auto"/>
              <w:ind w:firstLineChars="0" w:firstLine="0"/>
              <w:jc w:val="center"/>
              <w:rPr>
                <w:color w:val="000000"/>
                <w:sz w:val="24"/>
              </w:rPr>
            </w:pPr>
            <w:r>
              <w:rPr>
                <w:color w:val="000000"/>
                <w:sz w:val="24"/>
              </w:rPr>
              <w:t>经济效益</w:t>
            </w:r>
          </w:p>
        </w:tc>
        <w:tc>
          <w:tcPr>
            <w:tcW w:w="1350" w:type="dxa"/>
            <w:tcBorders>
              <w:top w:val="single" w:sz="4" w:space="0" w:color="000000"/>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sz w:val="24"/>
              </w:rPr>
            </w:pPr>
            <w:r>
              <w:rPr>
                <w:color w:val="000000"/>
                <w:kern w:val="0"/>
                <w:sz w:val="24"/>
                <w:lang w:bidi="ar"/>
              </w:rPr>
              <w:t>改善区域经济环境</w:t>
            </w:r>
          </w:p>
        </w:tc>
        <w:tc>
          <w:tcPr>
            <w:tcW w:w="4637" w:type="dxa"/>
            <w:tcBorders>
              <w:top w:val="single" w:sz="4" w:space="0" w:color="000000"/>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jc w:val="left"/>
              <w:textAlignment w:val="center"/>
              <w:rPr>
                <w:color w:val="00000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提高交通效率，促进经济发展</w:t>
            </w:r>
            <w:r>
              <w:rPr>
                <w:rFonts w:ascii="仿宋_GB2312" w:hint="eastAsia"/>
                <w:color w:val="000000"/>
                <w:kern w:val="0"/>
                <w:sz w:val="24"/>
                <w:lang w:bidi="ar"/>
              </w:rPr>
              <w:t>”</w:t>
            </w:r>
            <w:r>
              <w:rPr>
                <w:color w:val="000000"/>
                <w:kern w:val="0"/>
                <w:sz w:val="24"/>
                <w:lang w:bidi="ar"/>
              </w:rPr>
              <w:t>，根据项目实际情况综合评分。</w:t>
            </w:r>
          </w:p>
        </w:tc>
      </w:tr>
      <w:tr w:rsidR="0029667E">
        <w:trPr>
          <w:trHeight w:val="567"/>
          <w:jc w:val="center"/>
        </w:trPr>
        <w:tc>
          <w:tcPr>
            <w:tcW w:w="733" w:type="dxa"/>
            <w:vMerge/>
            <w:tcBorders>
              <w:right w:val="single" w:sz="4" w:space="0" w:color="auto"/>
            </w:tcBorders>
            <w:shd w:val="clear" w:color="auto" w:fill="auto"/>
            <w:vAlign w:val="center"/>
          </w:tcPr>
          <w:p w:rsidR="0029667E" w:rsidRDefault="0029667E">
            <w:pPr>
              <w:widowControl/>
              <w:snapToGrid w:val="0"/>
              <w:spacing w:line="240" w:lineRule="auto"/>
              <w:ind w:firstLineChars="0" w:firstLine="472"/>
              <w:jc w:val="center"/>
              <w:textAlignment w:val="center"/>
              <w:rPr>
                <w:color w:val="000000"/>
                <w:kern w:val="0"/>
                <w:sz w:val="24"/>
                <w:lang w:bidi="ar"/>
              </w:rPr>
            </w:pPr>
          </w:p>
        </w:tc>
        <w:tc>
          <w:tcPr>
            <w:tcW w:w="1080" w:type="dxa"/>
            <w:vMerge/>
            <w:tcBorders>
              <w:left w:val="single" w:sz="4" w:space="0" w:color="auto"/>
              <w:right w:val="single" w:sz="4" w:space="0" w:color="auto"/>
            </w:tcBorders>
            <w:shd w:val="clear" w:color="auto" w:fill="auto"/>
            <w:vAlign w:val="center"/>
          </w:tcPr>
          <w:p w:rsidR="0029667E" w:rsidRDefault="0029667E">
            <w:pPr>
              <w:widowControl/>
              <w:snapToGrid w:val="0"/>
              <w:spacing w:line="240" w:lineRule="auto"/>
              <w:ind w:firstLineChars="0" w:firstLine="0"/>
              <w:jc w:val="center"/>
              <w:textAlignment w:val="center"/>
              <w:rPr>
                <w:color w:val="000000"/>
                <w:sz w:val="24"/>
              </w:rPr>
            </w:pPr>
          </w:p>
        </w:tc>
        <w:tc>
          <w:tcPr>
            <w:tcW w:w="1185" w:type="dxa"/>
            <w:tcBorders>
              <w:top w:val="nil"/>
              <w:left w:val="nil"/>
              <w:right w:val="nil"/>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sz w:val="24"/>
              </w:rPr>
            </w:pPr>
            <w:r>
              <w:rPr>
                <w:color w:val="000000"/>
                <w:sz w:val="24"/>
              </w:rPr>
              <w:t>社会效益</w:t>
            </w:r>
          </w:p>
        </w:tc>
        <w:tc>
          <w:tcPr>
            <w:tcW w:w="1350" w:type="dxa"/>
            <w:tcBorders>
              <w:top w:val="single" w:sz="4" w:space="0" w:color="000000"/>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sz w:val="24"/>
              </w:rPr>
            </w:pPr>
            <w:r>
              <w:rPr>
                <w:color w:val="000000"/>
                <w:kern w:val="0"/>
                <w:sz w:val="24"/>
                <w:lang w:bidi="ar"/>
              </w:rPr>
              <w:t>完善区域交通路网</w:t>
            </w:r>
          </w:p>
        </w:tc>
        <w:tc>
          <w:tcPr>
            <w:tcW w:w="4637" w:type="dxa"/>
            <w:tcBorders>
              <w:top w:val="single" w:sz="4" w:space="0" w:color="000000"/>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jc w:val="left"/>
              <w:textAlignment w:val="center"/>
              <w:rPr>
                <w:color w:val="000000"/>
                <w:sz w:val="24"/>
              </w:rPr>
            </w:pPr>
            <w:r>
              <w:rPr>
                <w:color w:val="000000"/>
                <w:kern w:val="0"/>
                <w:sz w:val="24"/>
                <w:lang w:bidi="ar"/>
              </w:rPr>
              <w:t>预期指标值为</w:t>
            </w:r>
            <w:r>
              <w:rPr>
                <w:rFonts w:ascii="仿宋_GB2312" w:hint="eastAsia"/>
                <w:color w:val="000000"/>
                <w:kern w:val="0"/>
                <w:sz w:val="24"/>
                <w:lang w:bidi="ar"/>
              </w:rPr>
              <w:t>“</w:t>
            </w:r>
            <w:r>
              <w:rPr>
                <w:color w:val="000000"/>
                <w:kern w:val="0"/>
                <w:sz w:val="24"/>
                <w:lang w:bidi="ar"/>
              </w:rPr>
              <w:t>提高区域交通路网密度，完善区域路网建设</w:t>
            </w:r>
            <w:r>
              <w:rPr>
                <w:rFonts w:ascii="仿宋_GB2312" w:hint="eastAsia"/>
                <w:color w:val="000000"/>
                <w:kern w:val="0"/>
                <w:sz w:val="24"/>
                <w:lang w:bidi="ar"/>
              </w:rPr>
              <w:t>”</w:t>
            </w:r>
            <w:r>
              <w:rPr>
                <w:color w:val="000000"/>
                <w:kern w:val="0"/>
                <w:sz w:val="24"/>
                <w:lang w:bidi="ar"/>
              </w:rPr>
              <w:t>，则视实际情况综合评分。</w:t>
            </w:r>
          </w:p>
        </w:tc>
      </w:tr>
      <w:tr w:rsidR="0029667E">
        <w:trPr>
          <w:trHeight w:val="567"/>
          <w:jc w:val="center"/>
        </w:trPr>
        <w:tc>
          <w:tcPr>
            <w:tcW w:w="733" w:type="dxa"/>
            <w:vMerge/>
            <w:tcBorders>
              <w:right w:val="single" w:sz="4" w:space="0" w:color="auto"/>
            </w:tcBorders>
            <w:shd w:val="clear" w:color="auto" w:fill="auto"/>
            <w:vAlign w:val="center"/>
          </w:tcPr>
          <w:p w:rsidR="0029667E" w:rsidRDefault="0029667E">
            <w:pPr>
              <w:widowControl/>
              <w:snapToGrid w:val="0"/>
              <w:spacing w:line="240" w:lineRule="auto"/>
              <w:ind w:firstLineChars="0" w:firstLine="472"/>
              <w:jc w:val="center"/>
              <w:textAlignment w:val="center"/>
              <w:rPr>
                <w:color w:val="000000"/>
                <w:kern w:val="0"/>
                <w:sz w:val="24"/>
                <w:lang w:bidi="ar"/>
              </w:rPr>
            </w:pPr>
          </w:p>
        </w:tc>
        <w:tc>
          <w:tcPr>
            <w:tcW w:w="1080" w:type="dxa"/>
            <w:vMerge/>
            <w:tcBorders>
              <w:left w:val="single" w:sz="4" w:space="0" w:color="auto"/>
              <w:bottom w:val="single" w:sz="4" w:space="0" w:color="000000"/>
              <w:right w:val="single" w:sz="4" w:space="0" w:color="auto"/>
            </w:tcBorders>
            <w:shd w:val="clear" w:color="auto" w:fill="auto"/>
            <w:vAlign w:val="center"/>
          </w:tcPr>
          <w:p w:rsidR="0029667E" w:rsidRDefault="0029667E">
            <w:pPr>
              <w:widowControl/>
              <w:snapToGrid w:val="0"/>
              <w:spacing w:line="240" w:lineRule="auto"/>
              <w:ind w:firstLineChars="0" w:firstLine="0"/>
              <w:jc w:val="center"/>
              <w:textAlignment w:val="center"/>
              <w:rPr>
                <w:color w:val="000000"/>
                <w:kern w:val="0"/>
                <w:sz w:val="24"/>
                <w:lang w:bidi="ar"/>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生态效益</w:t>
            </w:r>
          </w:p>
        </w:tc>
        <w:tc>
          <w:tcPr>
            <w:tcW w:w="1350" w:type="dxa"/>
            <w:tcBorders>
              <w:top w:val="single" w:sz="4" w:space="0" w:color="000000"/>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提高区域绿化水平</w:t>
            </w:r>
          </w:p>
        </w:tc>
        <w:tc>
          <w:tcPr>
            <w:tcW w:w="4637" w:type="dxa"/>
            <w:tcBorders>
              <w:top w:val="single" w:sz="4" w:space="0" w:color="000000"/>
              <w:left w:val="single" w:sz="4" w:space="0" w:color="000000"/>
              <w:bottom w:val="single" w:sz="4" w:space="0" w:color="000000"/>
            </w:tcBorders>
            <w:shd w:val="clear" w:color="auto" w:fill="auto"/>
            <w:vAlign w:val="center"/>
          </w:tcPr>
          <w:p w:rsidR="0029667E" w:rsidRDefault="005F36FF">
            <w:pPr>
              <w:widowControl/>
              <w:snapToGrid w:val="0"/>
              <w:spacing w:line="240" w:lineRule="auto"/>
              <w:ind w:firstLineChars="0" w:firstLine="0"/>
              <w:jc w:val="left"/>
              <w:textAlignment w:val="center"/>
              <w:rPr>
                <w:color w:val="000000"/>
                <w:kern w:val="0"/>
                <w:sz w:val="24"/>
                <w:lang w:bidi="ar"/>
              </w:rPr>
            </w:pPr>
            <w:r>
              <w:rPr>
                <w:color w:val="000000"/>
                <w:kern w:val="0"/>
                <w:sz w:val="24"/>
                <w:lang w:bidi="ar"/>
              </w:rPr>
              <w:t>预期指标值为</w:t>
            </w:r>
            <w:r>
              <w:rPr>
                <w:rFonts w:ascii="仿宋_GB2312" w:hint="eastAsia"/>
                <w:color w:val="000000"/>
                <w:kern w:val="0"/>
                <w:sz w:val="24"/>
                <w:lang w:bidi="ar"/>
              </w:rPr>
              <w:t>“</w:t>
            </w:r>
            <w:r>
              <w:rPr>
                <w:color w:val="000000"/>
                <w:kern w:val="0"/>
                <w:sz w:val="24"/>
                <w:lang w:bidi="ar"/>
              </w:rPr>
              <w:t>增加道路绿化面积，提高区域绿化水平</w:t>
            </w:r>
            <w:r>
              <w:rPr>
                <w:rFonts w:ascii="仿宋_GB2312" w:hint="eastAsia"/>
                <w:color w:val="000000"/>
                <w:kern w:val="0"/>
                <w:sz w:val="24"/>
                <w:lang w:bidi="ar"/>
              </w:rPr>
              <w:t>”</w:t>
            </w:r>
            <w:r>
              <w:rPr>
                <w:color w:val="000000"/>
                <w:kern w:val="0"/>
                <w:sz w:val="24"/>
                <w:lang w:bidi="ar"/>
              </w:rPr>
              <w:t>，</w:t>
            </w:r>
            <w:r>
              <w:rPr>
                <w:rStyle w:val="font11"/>
                <w:rFonts w:ascii="Times New Roman" w:cs="Times New Roman"/>
                <w:sz w:val="24"/>
                <w:szCs w:val="24"/>
                <w:lang w:bidi="ar"/>
              </w:rPr>
              <w:t>根据道路植被是否根据要求种植、道路植被覆盖情况等综合评分。</w:t>
            </w:r>
          </w:p>
        </w:tc>
      </w:tr>
      <w:tr w:rsidR="0029667E">
        <w:trPr>
          <w:trHeight w:val="567"/>
          <w:jc w:val="center"/>
        </w:trPr>
        <w:tc>
          <w:tcPr>
            <w:tcW w:w="733" w:type="dxa"/>
            <w:vMerge/>
            <w:tcBorders>
              <w:bottom w:val="single" w:sz="4" w:space="0" w:color="auto"/>
              <w:right w:val="single" w:sz="4" w:space="0" w:color="auto"/>
            </w:tcBorders>
            <w:shd w:val="clear" w:color="auto" w:fill="auto"/>
            <w:vAlign w:val="center"/>
          </w:tcPr>
          <w:p w:rsidR="0029667E" w:rsidRDefault="0029667E">
            <w:pPr>
              <w:widowControl/>
              <w:snapToGrid w:val="0"/>
              <w:spacing w:line="240" w:lineRule="auto"/>
              <w:ind w:firstLineChars="0" w:firstLine="472"/>
              <w:jc w:val="center"/>
              <w:textAlignment w:val="center"/>
              <w:rPr>
                <w:color w:val="000000"/>
                <w:kern w:val="0"/>
                <w:sz w:val="24"/>
                <w:lang w:bidi="ar"/>
              </w:rPr>
            </w:pPr>
          </w:p>
        </w:tc>
        <w:tc>
          <w:tcPr>
            <w:tcW w:w="1080" w:type="dxa"/>
            <w:tcBorders>
              <w:top w:val="single" w:sz="4" w:space="0" w:color="000000"/>
              <w:left w:val="single" w:sz="4" w:space="0" w:color="000000"/>
              <w:bottom w:val="single" w:sz="4" w:space="0" w:color="auto"/>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公平性</w:t>
            </w:r>
          </w:p>
        </w:tc>
        <w:tc>
          <w:tcPr>
            <w:tcW w:w="1185" w:type="dxa"/>
            <w:tcBorders>
              <w:top w:val="single" w:sz="4" w:space="0" w:color="000000"/>
              <w:left w:val="single" w:sz="4" w:space="0" w:color="000000"/>
              <w:bottom w:val="single" w:sz="4" w:space="0" w:color="auto"/>
              <w:right w:val="single" w:sz="4" w:space="0" w:color="000000"/>
            </w:tcBorders>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满意度</w:t>
            </w:r>
          </w:p>
        </w:tc>
        <w:tc>
          <w:tcPr>
            <w:tcW w:w="1350" w:type="dxa"/>
            <w:tcBorders>
              <w:top w:val="single" w:sz="4" w:space="0" w:color="000000"/>
              <w:left w:val="single" w:sz="4" w:space="0" w:color="000000"/>
              <w:bottom w:val="single" w:sz="4" w:space="0" w:color="auto"/>
            </w:tcBorders>
            <w:shd w:val="clear" w:color="auto" w:fill="auto"/>
            <w:vAlign w:val="center"/>
          </w:tcPr>
          <w:p w:rsidR="0029667E" w:rsidRDefault="005F36FF">
            <w:pPr>
              <w:widowControl/>
              <w:snapToGrid w:val="0"/>
              <w:spacing w:line="240" w:lineRule="auto"/>
              <w:ind w:firstLineChars="0" w:firstLine="0"/>
              <w:jc w:val="center"/>
              <w:rPr>
                <w:color w:val="000000"/>
                <w:kern w:val="0"/>
                <w:sz w:val="24"/>
                <w:lang w:bidi="ar"/>
              </w:rPr>
            </w:pPr>
            <w:r>
              <w:rPr>
                <w:kern w:val="0"/>
                <w:sz w:val="24"/>
              </w:rPr>
              <w:t>服务对象满意度</w:t>
            </w:r>
          </w:p>
        </w:tc>
        <w:tc>
          <w:tcPr>
            <w:tcW w:w="4637" w:type="dxa"/>
            <w:tcBorders>
              <w:top w:val="single" w:sz="4" w:space="0" w:color="000000"/>
              <w:left w:val="single" w:sz="4" w:space="0" w:color="000000"/>
              <w:bottom w:val="single" w:sz="4" w:space="0" w:color="auto"/>
            </w:tcBorders>
            <w:shd w:val="clear" w:color="auto" w:fill="auto"/>
            <w:vAlign w:val="center"/>
          </w:tcPr>
          <w:p w:rsidR="0029667E" w:rsidRDefault="005F36FF">
            <w:pPr>
              <w:widowControl/>
              <w:snapToGrid w:val="0"/>
              <w:spacing w:line="240" w:lineRule="auto"/>
              <w:ind w:firstLineChars="0" w:firstLine="0"/>
              <w:rPr>
                <w:color w:val="000000"/>
                <w:kern w:val="0"/>
                <w:sz w:val="24"/>
                <w:lang w:bidi="ar"/>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90%</w:t>
            </w:r>
            <w:r>
              <w:rPr>
                <w:rFonts w:ascii="仿宋_GB2312" w:hint="eastAsia"/>
                <w:color w:val="000000"/>
                <w:kern w:val="0"/>
                <w:sz w:val="24"/>
                <w:lang w:bidi="ar"/>
              </w:rPr>
              <w:t>”</w:t>
            </w:r>
            <w:r>
              <w:rPr>
                <w:color w:val="000000"/>
                <w:kern w:val="0"/>
                <w:sz w:val="24"/>
                <w:lang w:bidi="ar"/>
              </w:rPr>
              <w:t>，反映项目实施周边区域居民、服务对象对于本项目实施产生效益的满意度情况，根据满意度调查问卷回收数据进行评分，达到预期目标得满分，每减少</w:t>
            </w:r>
            <w:r>
              <w:rPr>
                <w:color w:val="000000"/>
                <w:kern w:val="0"/>
                <w:sz w:val="24"/>
                <w:lang w:bidi="ar"/>
              </w:rPr>
              <w:t>5%</w:t>
            </w:r>
            <w:r>
              <w:rPr>
                <w:color w:val="000000"/>
                <w:kern w:val="0"/>
                <w:sz w:val="24"/>
                <w:lang w:bidi="ar"/>
              </w:rPr>
              <w:t>扣</w:t>
            </w:r>
            <w:r>
              <w:rPr>
                <w:color w:val="000000"/>
                <w:kern w:val="0"/>
                <w:sz w:val="24"/>
                <w:lang w:bidi="ar"/>
              </w:rPr>
              <w:t>1</w:t>
            </w:r>
            <w:r>
              <w:rPr>
                <w:color w:val="000000"/>
                <w:kern w:val="0"/>
                <w:sz w:val="24"/>
                <w:lang w:bidi="ar"/>
              </w:rPr>
              <w:t>分，扣完即止。</w:t>
            </w:r>
          </w:p>
        </w:tc>
      </w:tr>
    </w:tbl>
    <w:p w:rsidR="0029667E" w:rsidRDefault="0029667E">
      <w:pPr>
        <w:ind w:firstLine="640"/>
        <w:rPr>
          <w:snapToGrid w:val="0"/>
        </w:rPr>
      </w:pPr>
    </w:p>
    <w:p w:rsidR="0029667E" w:rsidRDefault="005F36FF">
      <w:pPr>
        <w:pStyle w:val="2"/>
        <w:ind w:firstLine="640"/>
        <w:rPr>
          <w:rFonts w:cs="Times New Roman"/>
          <w:snapToGrid w:val="0"/>
        </w:rPr>
      </w:pPr>
      <w:bookmarkStart w:id="17" w:name="_Toc11776"/>
      <w:bookmarkStart w:id="18" w:name="_Toc16120"/>
      <w:bookmarkStart w:id="19" w:name="_Toc13359"/>
      <w:bookmarkStart w:id="20" w:name="_Toc22844"/>
      <w:r>
        <w:rPr>
          <w:rFonts w:cs="Times New Roman"/>
          <w:snapToGrid w:val="0"/>
        </w:rPr>
        <w:t>（四）项目资金来源及使用情况。</w:t>
      </w:r>
      <w:bookmarkEnd w:id="17"/>
      <w:bookmarkEnd w:id="18"/>
      <w:bookmarkEnd w:id="19"/>
      <w:bookmarkEnd w:id="20"/>
    </w:p>
    <w:p w:rsidR="0029667E" w:rsidRDefault="005F36FF">
      <w:pPr>
        <w:ind w:firstLine="640"/>
        <w:rPr>
          <w:color w:val="000000"/>
          <w:szCs w:val="32"/>
        </w:rPr>
      </w:pPr>
      <w:r>
        <w:rPr>
          <w:color w:val="000000"/>
          <w:szCs w:val="32"/>
        </w:rPr>
        <w:t>本项目</w:t>
      </w:r>
      <w:r>
        <w:rPr>
          <w:color w:val="000000"/>
          <w:szCs w:val="32"/>
        </w:rPr>
        <w:t>2023</w:t>
      </w:r>
      <w:r>
        <w:rPr>
          <w:color w:val="000000"/>
          <w:szCs w:val="32"/>
        </w:rPr>
        <w:t>年年度预算金额为</w:t>
      </w:r>
      <w:r>
        <w:t>67281.55</w:t>
      </w:r>
      <w:r>
        <w:rPr>
          <w:color w:val="000000"/>
          <w:szCs w:val="32"/>
        </w:rPr>
        <w:t>万元，分别来源财政资金和地方政府债券资金。</w:t>
      </w:r>
    </w:p>
    <w:p w:rsidR="0029667E" w:rsidRDefault="005F36FF">
      <w:pPr>
        <w:ind w:firstLineChars="0" w:firstLine="640"/>
      </w:pPr>
      <w:r>
        <w:rPr>
          <w:b/>
          <w:bCs/>
        </w:rPr>
        <w:t>一是</w:t>
      </w:r>
      <w:r>
        <w:t>根据《广州市增城区财政局关于广州市增城区交通运输局</w:t>
      </w:r>
      <w:r>
        <w:t>2023</w:t>
      </w:r>
      <w:r>
        <w:t>年预算的通知》（增财〔</w:t>
      </w:r>
      <w:r>
        <w:t>2023</w:t>
      </w:r>
      <w:r>
        <w:t>〕</w:t>
      </w:r>
      <w:r>
        <w:t>231</w:t>
      </w:r>
      <w:r>
        <w:t>号）、《广州市增城区财政局关于批复</w:t>
      </w:r>
      <w:r>
        <w:t>2023</w:t>
      </w:r>
      <w:r>
        <w:t>年第一次预算调整指标的通知》（增财〔</w:t>
      </w:r>
      <w:r>
        <w:t>2023</w:t>
      </w:r>
      <w:r>
        <w:t>〕</w:t>
      </w:r>
      <w:r>
        <w:t>452</w:t>
      </w:r>
      <w:r>
        <w:t>号）、《广州市增城区财政局关于批复</w:t>
      </w:r>
      <w:r>
        <w:t>2023</w:t>
      </w:r>
      <w:r>
        <w:t>年第二次预算调整指标的通知》（增财〔</w:t>
      </w:r>
      <w:r>
        <w:t>2023</w:t>
      </w:r>
      <w:r>
        <w:t>〕</w:t>
      </w:r>
      <w:r>
        <w:t>680</w:t>
      </w:r>
      <w:r>
        <w:t>号）、区级预算调整情况系统截图及相关说明，项目年初预算下达财政资金</w:t>
      </w:r>
      <w:r>
        <w:t>250</w:t>
      </w:r>
      <w:r>
        <w:t>万元，年中共调减</w:t>
      </w:r>
      <w:r>
        <w:t>121.3</w:t>
      </w:r>
      <w:r>
        <w:rPr>
          <w:rFonts w:hint="eastAsia"/>
        </w:rPr>
        <w:t>1</w:t>
      </w:r>
      <w:r>
        <w:t>万元，调整后项目年度预算财政资金</w:t>
      </w:r>
      <w:r>
        <w:t>128.69</w:t>
      </w:r>
      <w:r>
        <w:t>万元，财政资金支出</w:t>
      </w:r>
      <w:r>
        <w:t>128.69</w:t>
      </w:r>
      <w:r>
        <w:t>万元。</w:t>
      </w:r>
    </w:p>
    <w:p w:rsidR="0029667E" w:rsidRDefault="005F36FF">
      <w:pPr>
        <w:ind w:firstLine="643"/>
      </w:pPr>
      <w:r>
        <w:rPr>
          <w:b/>
          <w:bCs/>
          <w:color w:val="000000"/>
          <w:szCs w:val="32"/>
        </w:rPr>
        <w:t>二是</w:t>
      </w:r>
      <w:r>
        <w:rPr>
          <w:color w:val="000000"/>
          <w:szCs w:val="32"/>
        </w:rPr>
        <w:t>根据</w:t>
      </w:r>
      <w:r>
        <w:t>《广州市增城区财政局关于转发广州市财政</w:t>
      </w:r>
      <w:r>
        <w:t>局关于下达</w:t>
      </w:r>
      <w:r>
        <w:t>2023</w:t>
      </w:r>
      <w:r>
        <w:t>年</w:t>
      </w:r>
      <w:r>
        <w:t>1</w:t>
      </w:r>
      <w:r>
        <w:t>月地方政府新增债券转贷资金的通知》（增财〔</w:t>
      </w:r>
      <w:r>
        <w:t>2023</w:t>
      </w:r>
      <w:r>
        <w:t>〕</w:t>
      </w:r>
      <w:r>
        <w:t>65</w:t>
      </w:r>
      <w:r>
        <w:t>号）、《广州市增城区财政局关于转发广州市财政局关于下达</w:t>
      </w:r>
      <w:r>
        <w:t>2023</w:t>
      </w:r>
      <w:r>
        <w:t>年</w:t>
      </w:r>
      <w:r>
        <w:t>4</w:t>
      </w:r>
      <w:r>
        <w:t>月地方政府新增债券转贷资金的通知》（增财〔</w:t>
      </w:r>
      <w:r>
        <w:t>2023</w:t>
      </w:r>
      <w:r>
        <w:t>〕</w:t>
      </w:r>
      <w:r>
        <w:t>251</w:t>
      </w:r>
      <w:r>
        <w:t>号）、《广州市增城区财政局关于转发广州市财政局关于下达</w:t>
      </w:r>
      <w:r>
        <w:t>2023</w:t>
      </w:r>
      <w:r>
        <w:t>年</w:t>
      </w:r>
      <w:r>
        <w:t>8</w:t>
      </w:r>
      <w:r>
        <w:t>月地方政府新增债券转贷资金的通知》（增财〔</w:t>
      </w:r>
      <w:r>
        <w:t>2023</w:t>
      </w:r>
      <w:r>
        <w:t>〕</w:t>
      </w:r>
      <w:r>
        <w:t>408</w:t>
      </w:r>
      <w:r>
        <w:t>号）以及单位指标情况表等文件，项目共使用债券资金</w:t>
      </w:r>
      <w:r>
        <w:t>67152.86</w:t>
      </w:r>
      <w:r>
        <w:t>万元。根据项目资金明细账与单位指标情况表，其中</w:t>
      </w:r>
      <w:r>
        <w:t>66807.54</w:t>
      </w:r>
      <w:r>
        <w:t>万元用于项目工人工资、工程进度款等支出，</w:t>
      </w:r>
      <w:r>
        <w:t>345.32</w:t>
      </w:r>
      <w:r>
        <w:t>万元转移</w:t>
      </w:r>
      <w:r>
        <w:t>支付至镇</w:t>
      </w:r>
      <w:proofErr w:type="gramStart"/>
      <w:r>
        <w:t>街支付</w:t>
      </w:r>
      <w:proofErr w:type="gramEnd"/>
      <w:r>
        <w:t>征地拆迁款。</w:t>
      </w:r>
    </w:p>
    <w:p w:rsidR="0029667E" w:rsidRDefault="005F36FF">
      <w:pPr>
        <w:pStyle w:val="21"/>
        <w:ind w:firstLine="560"/>
        <w:jc w:val="center"/>
        <w:rPr>
          <w:sz w:val="28"/>
          <w:szCs w:val="22"/>
        </w:rPr>
      </w:pPr>
      <w:r>
        <w:rPr>
          <w:rFonts w:eastAsia="黑体"/>
          <w:sz w:val="28"/>
          <w:szCs w:val="22"/>
        </w:rPr>
        <w:t>表</w:t>
      </w:r>
      <w:r>
        <w:rPr>
          <w:rFonts w:eastAsia="黑体"/>
          <w:sz w:val="28"/>
          <w:szCs w:val="22"/>
        </w:rPr>
        <w:t xml:space="preserve">5  </w:t>
      </w:r>
      <w:r>
        <w:rPr>
          <w:rFonts w:eastAsia="黑体"/>
          <w:sz w:val="28"/>
          <w:szCs w:val="22"/>
        </w:rPr>
        <w:t>债券资金使用情况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5355"/>
        <w:gridCol w:w="1470"/>
        <w:gridCol w:w="1565"/>
      </w:tblGrid>
      <w:tr w:rsidR="0029667E">
        <w:trPr>
          <w:trHeight w:val="567"/>
          <w:tblHeader/>
          <w:jc w:val="center"/>
        </w:trPr>
        <w:tc>
          <w:tcPr>
            <w:tcW w:w="703" w:type="dxa"/>
            <w:vAlign w:val="center"/>
          </w:tcPr>
          <w:p w:rsidR="0029667E" w:rsidRDefault="005F36FF">
            <w:pPr>
              <w:widowControl/>
              <w:adjustRightInd w:val="0"/>
              <w:snapToGrid w:val="0"/>
              <w:spacing w:line="240" w:lineRule="auto"/>
              <w:ind w:firstLineChars="0" w:firstLine="0"/>
              <w:jc w:val="center"/>
              <w:rPr>
                <w:b/>
                <w:kern w:val="0"/>
                <w:sz w:val="24"/>
              </w:rPr>
            </w:pPr>
            <w:r>
              <w:rPr>
                <w:b/>
                <w:kern w:val="0"/>
                <w:sz w:val="24"/>
              </w:rPr>
              <w:t>序号</w:t>
            </w:r>
          </w:p>
        </w:tc>
        <w:tc>
          <w:tcPr>
            <w:tcW w:w="5355" w:type="dxa"/>
            <w:vAlign w:val="center"/>
          </w:tcPr>
          <w:p w:rsidR="0029667E" w:rsidRDefault="005F36FF">
            <w:pPr>
              <w:widowControl/>
              <w:adjustRightInd w:val="0"/>
              <w:snapToGrid w:val="0"/>
              <w:spacing w:line="240" w:lineRule="auto"/>
              <w:ind w:firstLineChars="0" w:firstLine="0"/>
              <w:jc w:val="center"/>
              <w:rPr>
                <w:b/>
                <w:kern w:val="0"/>
                <w:sz w:val="24"/>
              </w:rPr>
            </w:pPr>
            <w:r>
              <w:rPr>
                <w:b/>
                <w:kern w:val="0"/>
                <w:sz w:val="24"/>
              </w:rPr>
              <w:t>文件名称</w:t>
            </w:r>
          </w:p>
        </w:tc>
        <w:tc>
          <w:tcPr>
            <w:tcW w:w="1470" w:type="dxa"/>
            <w:vAlign w:val="center"/>
          </w:tcPr>
          <w:p w:rsidR="0029667E" w:rsidRDefault="005F36FF">
            <w:pPr>
              <w:widowControl/>
              <w:adjustRightInd w:val="0"/>
              <w:snapToGrid w:val="0"/>
              <w:spacing w:line="240" w:lineRule="auto"/>
              <w:ind w:firstLineChars="0" w:firstLine="0"/>
              <w:jc w:val="center"/>
              <w:rPr>
                <w:b/>
                <w:kern w:val="0"/>
                <w:sz w:val="24"/>
              </w:rPr>
            </w:pPr>
            <w:r>
              <w:rPr>
                <w:b/>
                <w:kern w:val="0"/>
                <w:sz w:val="24"/>
              </w:rPr>
              <w:t>使用金额</w:t>
            </w:r>
          </w:p>
          <w:p w:rsidR="0029667E" w:rsidRDefault="005F36FF">
            <w:pPr>
              <w:widowControl/>
              <w:adjustRightInd w:val="0"/>
              <w:snapToGrid w:val="0"/>
              <w:spacing w:line="240" w:lineRule="auto"/>
              <w:ind w:firstLineChars="0" w:firstLine="0"/>
              <w:jc w:val="center"/>
              <w:rPr>
                <w:b/>
                <w:kern w:val="0"/>
                <w:sz w:val="24"/>
              </w:rPr>
            </w:pPr>
            <w:r>
              <w:rPr>
                <w:b/>
                <w:kern w:val="0"/>
                <w:sz w:val="24"/>
              </w:rPr>
              <w:t>（万元）</w:t>
            </w:r>
          </w:p>
        </w:tc>
        <w:tc>
          <w:tcPr>
            <w:tcW w:w="1565" w:type="dxa"/>
            <w:vAlign w:val="center"/>
          </w:tcPr>
          <w:p w:rsidR="0029667E" w:rsidRDefault="005F36FF">
            <w:pPr>
              <w:widowControl/>
              <w:snapToGrid w:val="0"/>
              <w:spacing w:line="240" w:lineRule="auto"/>
              <w:ind w:firstLineChars="0" w:firstLine="0"/>
              <w:jc w:val="center"/>
              <w:textAlignment w:val="center"/>
              <w:rPr>
                <w:b/>
                <w:kern w:val="0"/>
                <w:sz w:val="24"/>
              </w:rPr>
            </w:pPr>
            <w:r>
              <w:rPr>
                <w:b/>
                <w:bCs/>
                <w:color w:val="000000"/>
                <w:kern w:val="0"/>
                <w:sz w:val="24"/>
                <w:lang w:bidi="ar"/>
              </w:rPr>
              <w:t>分配至镇街金额（万元）</w:t>
            </w:r>
          </w:p>
        </w:tc>
      </w:tr>
      <w:tr w:rsidR="0029667E">
        <w:trPr>
          <w:trHeight w:val="90"/>
          <w:jc w:val="center"/>
        </w:trPr>
        <w:tc>
          <w:tcPr>
            <w:tcW w:w="703" w:type="dxa"/>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w:t>
            </w:r>
          </w:p>
        </w:tc>
        <w:tc>
          <w:tcPr>
            <w:tcW w:w="5355" w:type="dxa"/>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《广州市增城区财政局关于转发广州市财政局关于下达</w:t>
            </w:r>
            <w:r>
              <w:rPr>
                <w:kern w:val="0"/>
                <w:sz w:val="24"/>
              </w:rPr>
              <w:t>2023</w:t>
            </w:r>
            <w:r>
              <w:rPr>
                <w:kern w:val="0"/>
                <w:sz w:val="24"/>
              </w:rPr>
              <w:t>年</w:t>
            </w:r>
            <w:r>
              <w:rPr>
                <w:kern w:val="0"/>
                <w:sz w:val="24"/>
              </w:rPr>
              <w:t>1</w:t>
            </w:r>
            <w:r>
              <w:rPr>
                <w:kern w:val="0"/>
                <w:sz w:val="24"/>
              </w:rPr>
              <w:t>月地方政府新增债券转贷资金的通知》（增财〔</w:t>
            </w:r>
            <w:r>
              <w:rPr>
                <w:kern w:val="0"/>
                <w:sz w:val="24"/>
              </w:rPr>
              <w:t>2023</w:t>
            </w:r>
            <w:r>
              <w:rPr>
                <w:kern w:val="0"/>
                <w:sz w:val="24"/>
              </w:rPr>
              <w:t>〕</w:t>
            </w:r>
            <w:r>
              <w:rPr>
                <w:kern w:val="0"/>
                <w:sz w:val="24"/>
              </w:rPr>
              <w:t>65</w:t>
            </w:r>
            <w:r>
              <w:rPr>
                <w:kern w:val="0"/>
                <w:sz w:val="24"/>
              </w:rPr>
              <w:t>号）</w:t>
            </w:r>
          </w:p>
        </w:tc>
        <w:tc>
          <w:tcPr>
            <w:tcW w:w="1470" w:type="dxa"/>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23545.93</w:t>
            </w:r>
          </w:p>
        </w:tc>
        <w:tc>
          <w:tcPr>
            <w:tcW w:w="1565" w:type="dxa"/>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330.68</w:t>
            </w:r>
          </w:p>
        </w:tc>
      </w:tr>
      <w:tr w:rsidR="0029667E">
        <w:trPr>
          <w:trHeight w:val="90"/>
          <w:jc w:val="center"/>
        </w:trPr>
        <w:tc>
          <w:tcPr>
            <w:tcW w:w="703" w:type="dxa"/>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2</w:t>
            </w:r>
          </w:p>
        </w:tc>
        <w:tc>
          <w:tcPr>
            <w:tcW w:w="5355" w:type="dxa"/>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《广州市增城区财政局关于转发广州市财政局关于下达</w:t>
            </w:r>
            <w:r>
              <w:rPr>
                <w:kern w:val="0"/>
                <w:sz w:val="24"/>
              </w:rPr>
              <w:t>2023</w:t>
            </w:r>
            <w:r>
              <w:rPr>
                <w:kern w:val="0"/>
                <w:sz w:val="24"/>
              </w:rPr>
              <w:t>年</w:t>
            </w:r>
            <w:r>
              <w:rPr>
                <w:kern w:val="0"/>
                <w:sz w:val="24"/>
              </w:rPr>
              <w:t>4</w:t>
            </w:r>
            <w:r>
              <w:rPr>
                <w:kern w:val="0"/>
                <w:sz w:val="24"/>
              </w:rPr>
              <w:t>月地方政府新增债券转贷资金的通知》（增财〔</w:t>
            </w:r>
            <w:r>
              <w:rPr>
                <w:kern w:val="0"/>
                <w:sz w:val="24"/>
              </w:rPr>
              <w:t>2023</w:t>
            </w:r>
            <w:r>
              <w:rPr>
                <w:kern w:val="0"/>
                <w:sz w:val="24"/>
              </w:rPr>
              <w:t>〕</w:t>
            </w:r>
            <w:r>
              <w:rPr>
                <w:kern w:val="0"/>
                <w:sz w:val="24"/>
              </w:rPr>
              <w:t>251</w:t>
            </w:r>
            <w:r>
              <w:rPr>
                <w:kern w:val="0"/>
                <w:sz w:val="24"/>
              </w:rPr>
              <w:t>号）</w:t>
            </w:r>
          </w:p>
        </w:tc>
        <w:tc>
          <w:tcPr>
            <w:tcW w:w="1470" w:type="dxa"/>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17566.16</w:t>
            </w:r>
          </w:p>
        </w:tc>
        <w:tc>
          <w:tcPr>
            <w:tcW w:w="1565" w:type="dxa"/>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14.64</w:t>
            </w:r>
          </w:p>
        </w:tc>
      </w:tr>
      <w:tr w:rsidR="0029667E">
        <w:trPr>
          <w:trHeight w:val="567"/>
          <w:jc w:val="center"/>
        </w:trPr>
        <w:tc>
          <w:tcPr>
            <w:tcW w:w="703" w:type="dxa"/>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3</w:t>
            </w:r>
          </w:p>
        </w:tc>
        <w:tc>
          <w:tcPr>
            <w:tcW w:w="5355" w:type="dxa"/>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《广州市增城区财政局关于转发广州市财政局关于下达</w:t>
            </w:r>
            <w:r>
              <w:rPr>
                <w:kern w:val="0"/>
                <w:sz w:val="24"/>
              </w:rPr>
              <w:t>2023</w:t>
            </w:r>
            <w:r>
              <w:rPr>
                <w:kern w:val="0"/>
                <w:sz w:val="24"/>
              </w:rPr>
              <w:t>年</w:t>
            </w:r>
            <w:r>
              <w:rPr>
                <w:kern w:val="0"/>
                <w:sz w:val="24"/>
              </w:rPr>
              <w:t>8</w:t>
            </w:r>
            <w:r>
              <w:rPr>
                <w:kern w:val="0"/>
                <w:sz w:val="24"/>
              </w:rPr>
              <w:t>月地方政府新增债券转贷资金的通知》（增财〔</w:t>
            </w:r>
            <w:r>
              <w:rPr>
                <w:kern w:val="0"/>
                <w:sz w:val="24"/>
              </w:rPr>
              <w:t>2023</w:t>
            </w:r>
            <w:r>
              <w:rPr>
                <w:kern w:val="0"/>
                <w:sz w:val="24"/>
              </w:rPr>
              <w:t>〕</w:t>
            </w:r>
            <w:r>
              <w:rPr>
                <w:kern w:val="0"/>
                <w:sz w:val="24"/>
              </w:rPr>
              <w:t>408</w:t>
            </w:r>
            <w:r>
              <w:rPr>
                <w:kern w:val="0"/>
                <w:sz w:val="24"/>
              </w:rPr>
              <w:t>号）</w:t>
            </w:r>
          </w:p>
        </w:tc>
        <w:tc>
          <w:tcPr>
            <w:tcW w:w="1470" w:type="dxa"/>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13800.00</w:t>
            </w:r>
          </w:p>
        </w:tc>
        <w:tc>
          <w:tcPr>
            <w:tcW w:w="1565" w:type="dxa"/>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w:t>
            </w:r>
          </w:p>
        </w:tc>
      </w:tr>
      <w:tr w:rsidR="0029667E">
        <w:trPr>
          <w:trHeight w:val="567"/>
          <w:jc w:val="center"/>
        </w:trPr>
        <w:tc>
          <w:tcPr>
            <w:tcW w:w="703" w:type="dxa"/>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4</w:t>
            </w:r>
          </w:p>
        </w:tc>
        <w:tc>
          <w:tcPr>
            <w:tcW w:w="5355" w:type="dxa"/>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《广州市增城区财政局关于转发〈广州市财政局关于下达</w:t>
            </w:r>
            <w:r>
              <w:rPr>
                <w:kern w:val="0"/>
                <w:sz w:val="24"/>
              </w:rPr>
              <w:t>2023</w:t>
            </w:r>
            <w:r>
              <w:rPr>
                <w:kern w:val="0"/>
                <w:sz w:val="24"/>
              </w:rPr>
              <w:t>年</w:t>
            </w:r>
            <w:r>
              <w:rPr>
                <w:kern w:val="0"/>
                <w:sz w:val="24"/>
              </w:rPr>
              <w:t>8</w:t>
            </w:r>
            <w:r>
              <w:rPr>
                <w:kern w:val="0"/>
                <w:sz w:val="24"/>
              </w:rPr>
              <w:t>月下地方政府新增债券转贷资金的通知〉的通知》（增财〔</w:t>
            </w:r>
            <w:r>
              <w:rPr>
                <w:kern w:val="0"/>
                <w:sz w:val="24"/>
              </w:rPr>
              <w:t>2023</w:t>
            </w:r>
            <w:r>
              <w:rPr>
                <w:kern w:val="0"/>
                <w:sz w:val="24"/>
              </w:rPr>
              <w:t>〕</w:t>
            </w:r>
            <w:r>
              <w:rPr>
                <w:kern w:val="0"/>
                <w:sz w:val="24"/>
              </w:rPr>
              <w:t>536</w:t>
            </w:r>
            <w:r>
              <w:rPr>
                <w:kern w:val="0"/>
                <w:sz w:val="24"/>
              </w:rPr>
              <w:t>号）</w:t>
            </w:r>
          </w:p>
        </w:tc>
        <w:tc>
          <w:tcPr>
            <w:tcW w:w="1470" w:type="dxa"/>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11895.46</w:t>
            </w:r>
          </w:p>
        </w:tc>
        <w:tc>
          <w:tcPr>
            <w:tcW w:w="1565" w:type="dxa"/>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w:t>
            </w:r>
          </w:p>
        </w:tc>
      </w:tr>
      <w:tr w:rsidR="0029667E">
        <w:trPr>
          <w:trHeight w:val="567"/>
          <w:jc w:val="center"/>
        </w:trPr>
        <w:tc>
          <w:tcPr>
            <w:tcW w:w="6058" w:type="dxa"/>
            <w:gridSpan w:val="2"/>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小计</w:t>
            </w:r>
          </w:p>
        </w:tc>
        <w:tc>
          <w:tcPr>
            <w:tcW w:w="1470" w:type="dxa"/>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66807.54</w:t>
            </w:r>
          </w:p>
        </w:tc>
        <w:tc>
          <w:tcPr>
            <w:tcW w:w="1565" w:type="dxa"/>
            <w:vAlign w:val="center"/>
          </w:tcPr>
          <w:p w:rsidR="0029667E" w:rsidRDefault="005F36FF">
            <w:pPr>
              <w:widowControl/>
              <w:adjustRightInd w:val="0"/>
              <w:snapToGrid w:val="0"/>
              <w:spacing w:line="240" w:lineRule="auto"/>
              <w:ind w:firstLineChars="0" w:firstLine="0"/>
              <w:jc w:val="center"/>
              <w:rPr>
                <w:b/>
                <w:bCs/>
                <w:kern w:val="0"/>
                <w:sz w:val="24"/>
              </w:rPr>
            </w:pPr>
            <w:r>
              <w:rPr>
                <w:b/>
                <w:bCs/>
                <w:color w:val="000000"/>
                <w:kern w:val="0"/>
                <w:sz w:val="24"/>
                <w:lang w:bidi="ar"/>
              </w:rPr>
              <w:t>345.32</w:t>
            </w:r>
          </w:p>
        </w:tc>
      </w:tr>
      <w:tr w:rsidR="0029667E">
        <w:trPr>
          <w:trHeight w:val="567"/>
          <w:jc w:val="center"/>
        </w:trPr>
        <w:tc>
          <w:tcPr>
            <w:tcW w:w="6058" w:type="dxa"/>
            <w:gridSpan w:val="2"/>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合计</w:t>
            </w:r>
          </w:p>
        </w:tc>
        <w:tc>
          <w:tcPr>
            <w:tcW w:w="3035" w:type="dxa"/>
            <w:gridSpan w:val="2"/>
            <w:vAlign w:val="center"/>
          </w:tcPr>
          <w:p w:rsidR="0029667E" w:rsidRDefault="005F36FF">
            <w:pPr>
              <w:widowControl/>
              <w:adjustRightInd w:val="0"/>
              <w:snapToGrid w:val="0"/>
              <w:spacing w:line="240" w:lineRule="auto"/>
              <w:ind w:firstLineChars="0" w:firstLine="0"/>
              <w:jc w:val="center"/>
              <w:rPr>
                <w:b/>
                <w:bCs/>
                <w:color w:val="000000"/>
                <w:kern w:val="0"/>
                <w:sz w:val="24"/>
                <w:lang w:bidi="ar"/>
              </w:rPr>
            </w:pPr>
            <w:r>
              <w:rPr>
                <w:b/>
                <w:bCs/>
                <w:color w:val="000000"/>
                <w:kern w:val="0"/>
                <w:sz w:val="24"/>
                <w:lang w:bidi="ar"/>
              </w:rPr>
              <w:t>67152.86</w:t>
            </w:r>
          </w:p>
        </w:tc>
      </w:tr>
    </w:tbl>
    <w:p w:rsidR="0029667E" w:rsidRDefault="0029667E">
      <w:pPr>
        <w:ind w:firstLine="640"/>
        <w:rPr>
          <w:snapToGrid w:val="0"/>
        </w:rPr>
      </w:pPr>
    </w:p>
    <w:p w:rsidR="0029667E" w:rsidRDefault="005F36FF">
      <w:pPr>
        <w:pStyle w:val="2"/>
        <w:ind w:firstLine="640"/>
        <w:rPr>
          <w:rFonts w:cs="Times New Roman"/>
          <w:snapToGrid w:val="0"/>
        </w:rPr>
      </w:pPr>
      <w:bookmarkStart w:id="21" w:name="_Toc10758"/>
      <w:bookmarkStart w:id="22" w:name="_Toc32259"/>
      <w:bookmarkStart w:id="23" w:name="_Toc13118"/>
      <w:bookmarkStart w:id="24" w:name="_Toc27392"/>
      <w:r>
        <w:rPr>
          <w:rFonts w:cs="Times New Roman"/>
          <w:snapToGrid w:val="0"/>
        </w:rPr>
        <w:t>（五）项目实施情况。</w:t>
      </w:r>
      <w:bookmarkEnd w:id="21"/>
      <w:bookmarkEnd w:id="22"/>
      <w:bookmarkEnd w:id="23"/>
      <w:bookmarkEnd w:id="24"/>
    </w:p>
    <w:p w:rsidR="0029667E" w:rsidRDefault="005F36FF">
      <w:pPr>
        <w:ind w:firstLine="640"/>
      </w:pPr>
      <w:r>
        <w:t>项目主管部门为区交通运输局，具体实施单位为区道路养护中心，主要依据《广州东部交通枢纽中心片区基础设施配套项目管理办法（试行）》对项目进行实施与管理。</w:t>
      </w:r>
    </w:p>
    <w:p w:rsidR="0029667E" w:rsidRDefault="005F36FF">
      <w:pPr>
        <w:ind w:firstLine="640"/>
      </w:pPr>
      <w:r>
        <w:t>根据《广州市增城区发展和改革局关于新塘站片区路网</w:t>
      </w:r>
      <w:r>
        <w:t>-</w:t>
      </w:r>
      <w:r>
        <w:t>纵一路、新源路及汽车城大道建设工程项目可行性研究报告的批复》（增发改投〔</w:t>
      </w:r>
      <w:r>
        <w:t>2019</w:t>
      </w:r>
      <w:r>
        <w:t>〕</w:t>
      </w:r>
      <w:r>
        <w:t>129</w:t>
      </w:r>
      <w:r>
        <w:t>号），项目于</w:t>
      </w:r>
      <w:r>
        <w:t>2019</w:t>
      </w:r>
      <w:r>
        <w:t>年</w:t>
      </w:r>
      <w:r>
        <w:t>4</w:t>
      </w:r>
      <w:r>
        <w:t>月</w:t>
      </w:r>
      <w:r>
        <w:t>18</w:t>
      </w:r>
      <w:r>
        <w:t>日取得</w:t>
      </w:r>
      <w:r>
        <w:rPr>
          <w:rFonts w:ascii="仿宋_GB2312" w:hint="eastAsia"/>
        </w:rPr>
        <w:t>区发展</w:t>
      </w:r>
      <w:proofErr w:type="gramStart"/>
      <w:r>
        <w:rPr>
          <w:rFonts w:ascii="仿宋_GB2312" w:hint="eastAsia"/>
        </w:rPr>
        <w:t>改革局</w:t>
      </w:r>
      <w:proofErr w:type="gramEnd"/>
      <w:r>
        <w:t>对可行性研究报告的批复，采用公开招标方式选取项目勘察、设计、施工、监理等承包单位。</w:t>
      </w:r>
    </w:p>
    <w:p w:rsidR="0029667E" w:rsidRDefault="005F36FF">
      <w:pPr>
        <w:ind w:firstLine="640"/>
      </w:pPr>
      <w:r>
        <w:t>根据《广州市增城区交通运输局关于新塘站片区路网一纵一路、新源路及汽车城大道建设工程初步设计的批复》（增交函〔</w:t>
      </w:r>
      <w:r>
        <w:t>2019</w:t>
      </w:r>
      <w:r>
        <w:t>〕</w:t>
      </w:r>
      <w:r>
        <w:t>675</w:t>
      </w:r>
      <w:r>
        <w:t>号），区道路养护中心报送的项目初步设计方案于</w:t>
      </w:r>
      <w:r>
        <w:t>2019</w:t>
      </w:r>
      <w:r>
        <w:t>年</w:t>
      </w:r>
      <w:r>
        <w:t>11</w:t>
      </w:r>
      <w:r>
        <w:t>月</w:t>
      </w:r>
      <w:r>
        <w:t>11</w:t>
      </w:r>
      <w:r>
        <w:t>日取得了区交通运输局的批复。</w:t>
      </w:r>
    </w:p>
    <w:p w:rsidR="0029667E" w:rsidRDefault="005F36FF">
      <w:pPr>
        <w:ind w:firstLine="640"/>
      </w:pPr>
      <w:r>
        <w:t>项目根据工程内容分为一、二标段，分别以施工设计总承包方式公开招标，一标段主要施工范围为：</w:t>
      </w:r>
      <w:proofErr w:type="gramStart"/>
      <w:r>
        <w:t>纵</w:t>
      </w:r>
      <w:proofErr w:type="gramEnd"/>
      <w:r>
        <w:t>一路、站前路下穿</w:t>
      </w:r>
      <w:proofErr w:type="gramStart"/>
      <w:r>
        <w:t>纵</w:t>
      </w:r>
      <w:proofErr w:type="gramEnd"/>
      <w:r>
        <w:t>一路隧道、汽车城大道及其</w:t>
      </w:r>
      <w:r>
        <w:t>2</w:t>
      </w:r>
      <w:r>
        <w:t>条支线的新建工程；二标段主要施工范围为：新源路、环城路改造工程。区道路养护中心委托广东建瀚工程管理有限公司开展项目设计施工总承包单位的招标工作，</w:t>
      </w:r>
      <w:r>
        <w:t>2019</w:t>
      </w:r>
      <w:r>
        <w:t>年</w:t>
      </w:r>
      <w:r>
        <w:t>11</w:t>
      </w:r>
      <w:r>
        <w:t>月</w:t>
      </w:r>
      <w:r>
        <w:t>8</w:t>
      </w:r>
      <w:r>
        <w:t>日发布《新塘站片区路网</w:t>
      </w:r>
      <w:r>
        <w:t>-</w:t>
      </w:r>
      <w:r>
        <w:t>纵一路、新源路及汽车城大道建设工程（一标）设计施工总承包招标公告》，</w:t>
      </w:r>
      <w:r>
        <w:t>2019</w:t>
      </w:r>
      <w:r>
        <w:t>年</w:t>
      </w:r>
      <w:r>
        <w:t>12</w:t>
      </w:r>
      <w:r>
        <w:t>月</w:t>
      </w:r>
      <w:r>
        <w:t>17</w:t>
      </w:r>
      <w:r>
        <w:t>日发布《新塘站片区路网</w:t>
      </w:r>
      <w:r>
        <w:t>-</w:t>
      </w:r>
      <w:r>
        <w:t>纵一路、新源路及汽车城大道建设工程（二标）设计施工总承包招标公告》，经过供应商投标、专家评标、中标候选人公示等流程，最终确定中标单位，于</w:t>
      </w:r>
      <w:r>
        <w:t>2020</w:t>
      </w:r>
      <w:r>
        <w:t>年</w:t>
      </w:r>
      <w:r>
        <w:t>2</w:t>
      </w:r>
      <w:r>
        <w:t>月</w:t>
      </w:r>
      <w:r>
        <w:t>19</w:t>
      </w:r>
      <w:r>
        <w:t>日发出一标段中标通知书，</w:t>
      </w:r>
      <w:r>
        <w:t>2020</w:t>
      </w:r>
      <w:r>
        <w:t>年</w:t>
      </w:r>
      <w:r>
        <w:t>4</w:t>
      </w:r>
      <w:r>
        <w:t>月</w:t>
      </w:r>
      <w:r>
        <w:t>7</w:t>
      </w:r>
      <w:r>
        <w:t>日发出二标段中标通知书。</w:t>
      </w:r>
    </w:p>
    <w:p w:rsidR="0029667E" w:rsidRDefault="005F36FF">
      <w:pPr>
        <w:ind w:firstLine="640"/>
      </w:pPr>
      <w:r>
        <w:t>根据《广州市增城区交通运输局关于新塘站片区路网</w:t>
      </w:r>
      <w:r>
        <w:t>-</w:t>
      </w:r>
      <w:r>
        <w:t>纵一路、新源路及汽车城大道建设工程（一标、二标）施工图设计的批复》（增交函〔</w:t>
      </w:r>
      <w:r>
        <w:t>2020</w:t>
      </w:r>
      <w:r>
        <w:t>〕</w:t>
      </w:r>
      <w:r>
        <w:t>747</w:t>
      </w:r>
      <w:r>
        <w:t>号），区道路养</w:t>
      </w:r>
      <w:r>
        <w:t>护中心报送的项目一、二标段施工图设计于</w:t>
      </w:r>
      <w:r>
        <w:t>2020</w:t>
      </w:r>
      <w:r>
        <w:t>年</w:t>
      </w:r>
      <w:r>
        <w:t>8</w:t>
      </w:r>
      <w:r>
        <w:t>月</w:t>
      </w:r>
      <w:r>
        <w:t>21</w:t>
      </w:r>
      <w:r>
        <w:t>日取得区交通运输局的批复。</w:t>
      </w:r>
    </w:p>
    <w:p w:rsidR="0029667E" w:rsidRDefault="005F36FF">
      <w:pPr>
        <w:ind w:firstLine="640"/>
      </w:pPr>
      <w:r>
        <w:t>2020</w:t>
      </w:r>
      <w:r>
        <w:t>年</w:t>
      </w:r>
      <w:r>
        <w:t>4</w:t>
      </w:r>
      <w:r>
        <w:t>月，区道路养护中心委托广州建筑工程监理有限公司开展项目监理单位的招标工作，</w:t>
      </w:r>
      <w:r>
        <w:t>2020</w:t>
      </w:r>
      <w:r>
        <w:t>年</w:t>
      </w:r>
      <w:r>
        <w:t>5</w:t>
      </w:r>
      <w:r>
        <w:t>月</w:t>
      </w:r>
      <w:r>
        <w:t>6</w:t>
      </w:r>
      <w:r>
        <w:t>日发布《新塘站片区路网</w:t>
      </w:r>
      <w:r>
        <w:t>-</w:t>
      </w:r>
      <w:r>
        <w:t>纵一路、新源路及汽车城大道建设工程监理招标公告》，</w:t>
      </w:r>
      <w:r>
        <w:t>2020</w:t>
      </w:r>
      <w:r>
        <w:t>年</w:t>
      </w:r>
      <w:r>
        <w:t>6</w:t>
      </w:r>
      <w:r>
        <w:t>月</w:t>
      </w:r>
      <w:r>
        <w:t>12</w:t>
      </w:r>
      <w:r>
        <w:t>日发出一、二标段监理单位中标通知书。</w:t>
      </w:r>
    </w:p>
    <w:p w:rsidR="0029667E" w:rsidRDefault="005F36FF">
      <w:pPr>
        <w:ind w:firstLine="640"/>
      </w:pPr>
      <w:r>
        <w:t>施工中标单位、监理中标单位以及合同签订时间见下表。</w:t>
      </w:r>
    </w:p>
    <w:p w:rsidR="0029667E" w:rsidRDefault="005F36FF">
      <w:pPr>
        <w:pStyle w:val="20"/>
        <w:ind w:firstLineChars="0" w:firstLine="0"/>
        <w:jc w:val="center"/>
        <w:rPr>
          <w:rFonts w:eastAsia="黑体"/>
          <w:sz w:val="28"/>
          <w:szCs w:val="22"/>
        </w:rPr>
      </w:pPr>
      <w:r>
        <w:rPr>
          <w:rFonts w:eastAsia="黑体"/>
          <w:sz w:val="28"/>
          <w:szCs w:val="22"/>
        </w:rPr>
        <w:t>表</w:t>
      </w:r>
      <w:r>
        <w:rPr>
          <w:rFonts w:eastAsia="黑体"/>
          <w:sz w:val="28"/>
          <w:szCs w:val="22"/>
        </w:rPr>
        <w:t xml:space="preserve">6  </w:t>
      </w:r>
      <w:r>
        <w:rPr>
          <w:rFonts w:eastAsia="黑体"/>
          <w:sz w:val="28"/>
          <w:szCs w:val="22"/>
        </w:rPr>
        <w:t>中标单位及合同签订时间</w:t>
      </w:r>
    </w:p>
    <w:tbl>
      <w:tblPr>
        <w:tblStyle w:val="ac"/>
        <w:tblW w:w="0" w:type="auto"/>
        <w:jc w:val="center"/>
        <w:tblLook w:val="04A0" w:firstRow="1" w:lastRow="0" w:firstColumn="1" w:lastColumn="0" w:noHBand="0" w:noVBand="1"/>
      </w:tblPr>
      <w:tblGrid>
        <w:gridCol w:w="1182"/>
        <w:gridCol w:w="2115"/>
        <w:gridCol w:w="1680"/>
        <w:gridCol w:w="2268"/>
        <w:gridCol w:w="1812"/>
      </w:tblGrid>
      <w:tr w:rsidR="0029667E">
        <w:trPr>
          <w:trHeight w:val="567"/>
          <w:tblHeader/>
          <w:jc w:val="center"/>
        </w:trPr>
        <w:tc>
          <w:tcPr>
            <w:tcW w:w="1182" w:type="dxa"/>
            <w:vMerge w:val="restart"/>
            <w:vAlign w:val="center"/>
          </w:tcPr>
          <w:p w:rsidR="0029667E" w:rsidRDefault="005F36FF">
            <w:pPr>
              <w:snapToGrid w:val="0"/>
              <w:spacing w:line="240" w:lineRule="auto"/>
              <w:ind w:firstLineChars="0" w:firstLine="0"/>
              <w:jc w:val="center"/>
              <w:rPr>
                <w:b/>
                <w:bCs/>
                <w:sz w:val="24"/>
              </w:rPr>
            </w:pPr>
            <w:r>
              <w:rPr>
                <w:b/>
                <w:bCs/>
                <w:sz w:val="24"/>
              </w:rPr>
              <w:t>标段</w:t>
            </w:r>
          </w:p>
        </w:tc>
        <w:tc>
          <w:tcPr>
            <w:tcW w:w="3795" w:type="dxa"/>
            <w:gridSpan w:val="2"/>
            <w:vAlign w:val="center"/>
          </w:tcPr>
          <w:p w:rsidR="0029667E" w:rsidRDefault="005F36FF">
            <w:pPr>
              <w:snapToGrid w:val="0"/>
              <w:spacing w:line="240" w:lineRule="auto"/>
              <w:ind w:firstLineChars="0" w:firstLine="0"/>
              <w:jc w:val="center"/>
              <w:rPr>
                <w:b/>
                <w:bCs/>
                <w:sz w:val="24"/>
              </w:rPr>
            </w:pPr>
            <w:r>
              <w:rPr>
                <w:b/>
                <w:bCs/>
                <w:sz w:val="24"/>
              </w:rPr>
              <w:t>施工单位</w:t>
            </w:r>
          </w:p>
        </w:tc>
        <w:tc>
          <w:tcPr>
            <w:tcW w:w="4080" w:type="dxa"/>
            <w:gridSpan w:val="2"/>
            <w:vAlign w:val="center"/>
          </w:tcPr>
          <w:p w:rsidR="0029667E" w:rsidRDefault="005F36FF">
            <w:pPr>
              <w:snapToGrid w:val="0"/>
              <w:spacing w:line="240" w:lineRule="auto"/>
              <w:ind w:firstLineChars="0" w:firstLine="0"/>
              <w:jc w:val="center"/>
              <w:rPr>
                <w:b/>
                <w:bCs/>
                <w:sz w:val="24"/>
              </w:rPr>
            </w:pPr>
            <w:r>
              <w:rPr>
                <w:b/>
                <w:bCs/>
                <w:sz w:val="24"/>
              </w:rPr>
              <w:t>监理单位</w:t>
            </w:r>
          </w:p>
        </w:tc>
      </w:tr>
      <w:tr w:rsidR="0029667E">
        <w:trPr>
          <w:trHeight w:val="567"/>
          <w:tblHeader/>
          <w:jc w:val="center"/>
        </w:trPr>
        <w:tc>
          <w:tcPr>
            <w:tcW w:w="1182" w:type="dxa"/>
            <w:vMerge/>
            <w:vAlign w:val="center"/>
          </w:tcPr>
          <w:p w:rsidR="0029667E" w:rsidRDefault="0029667E">
            <w:pPr>
              <w:snapToGrid w:val="0"/>
              <w:spacing w:line="240" w:lineRule="auto"/>
              <w:ind w:firstLineChars="0" w:firstLine="0"/>
              <w:jc w:val="center"/>
              <w:rPr>
                <w:b/>
                <w:bCs/>
                <w:sz w:val="24"/>
              </w:rPr>
            </w:pPr>
          </w:p>
        </w:tc>
        <w:tc>
          <w:tcPr>
            <w:tcW w:w="2115" w:type="dxa"/>
            <w:vAlign w:val="center"/>
          </w:tcPr>
          <w:p w:rsidR="0029667E" w:rsidRDefault="005F36FF">
            <w:pPr>
              <w:snapToGrid w:val="0"/>
              <w:spacing w:line="240" w:lineRule="auto"/>
              <w:ind w:firstLineChars="0" w:firstLine="0"/>
              <w:jc w:val="center"/>
              <w:rPr>
                <w:b/>
                <w:bCs/>
                <w:sz w:val="24"/>
              </w:rPr>
            </w:pPr>
            <w:r>
              <w:rPr>
                <w:b/>
                <w:bCs/>
                <w:sz w:val="24"/>
              </w:rPr>
              <w:t>中标单位</w:t>
            </w:r>
          </w:p>
        </w:tc>
        <w:tc>
          <w:tcPr>
            <w:tcW w:w="1680" w:type="dxa"/>
            <w:vAlign w:val="center"/>
          </w:tcPr>
          <w:p w:rsidR="0029667E" w:rsidRDefault="005F36FF">
            <w:pPr>
              <w:snapToGrid w:val="0"/>
              <w:spacing w:line="240" w:lineRule="auto"/>
              <w:ind w:firstLineChars="0" w:firstLine="0"/>
              <w:jc w:val="center"/>
              <w:rPr>
                <w:b/>
                <w:bCs/>
                <w:sz w:val="24"/>
              </w:rPr>
            </w:pPr>
            <w:r>
              <w:rPr>
                <w:b/>
                <w:bCs/>
                <w:sz w:val="24"/>
              </w:rPr>
              <w:t>合同签订时间</w:t>
            </w:r>
          </w:p>
        </w:tc>
        <w:tc>
          <w:tcPr>
            <w:tcW w:w="2268" w:type="dxa"/>
            <w:vAlign w:val="center"/>
          </w:tcPr>
          <w:p w:rsidR="0029667E" w:rsidRDefault="005F36FF">
            <w:pPr>
              <w:snapToGrid w:val="0"/>
              <w:spacing w:line="240" w:lineRule="auto"/>
              <w:ind w:firstLineChars="0" w:firstLine="0"/>
              <w:jc w:val="center"/>
              <w:rPr>
                <w:b/>
                <w:bCs/>
                <w:sz w:val="24"/>
              </w:rPr>
            </w:pPr>
            <w:r>
              <w:rPr>
                <w:b/>
                <w:bCs/>
                <w:sz w:val="24"/>
              </w:rPr>
              <w:t>中标单位</w:t>
            </w:r>
          </w:p>
        </w:tc>
        <w:tc>
          <w:tcPr>
            <w:tcW w:w="1812" w:type="dxa"/>
            <w:vAlign w:val="center"/>
          </w:tcPr>
          <w:p w:rsidR="0029667E" w:rsidRDefault="005F36FF">
            <w:pPr>
              <w:snapToGrid w:val="0"/>
              <w:spacing w:line="240" w:lineRule="auto"/>
              <w:ind w:firstLineChars="0" w:firstLine="0"/>
              <w:jc w:val="center"/>
              <w:rPr>
                <w:b/>
                <w:bCs/>
                <w:sz w:val="24"/>
              </w:rPr>
            </w:pPr>
            <w:r>
              <w:rPr>
                <w:b/>
                <w:bCs/>
                <w:sz w:val="24"/>
              </w:rPr>
              <w:t>合同签订时间</w:t>
            </w:r>
          </w:p>
        </w:tc>
      </w:tr>
      <w:tr w:rsidR="0029667E">
        <w:trPr>
          <w:trHeight w:val="567"/>
          <w:jc w:val="center"/>
        </w:trPr>
        <w:tc>
          <w:tcPr>
            <w:tcW w:w="1182" w:type="dxa"/>
            <w:vAlign w:val="center"/>
          </w:tcPr>
          <w:p w:rsidR="0029667E" w:rsidRDefault="005F36FF">
            <w:pPr>
              <w:snapToGrid w:val="0"/>
              <w:spacing w:line="240" w:lineRule="auto"/>
              <w:ind w:firstLineChars="0" w:firstLine="0"/>
              <w:jc w:val="center"/>
              <w:rPr>
                <w:sz w:val="24"/>
              </w:rPr>
            </w:pPr>
            <w:proofErr w:type="gramStart"/>
            <w:r>
              <w:rPr>
                <w:sz w:val="24"/>
              </w:rPr>
              <w:t>一</w:t>
            </w:r>
            <w:proofErr w:type="gramEnd"/>
            <w:r>
              <w:rPr>
                <w:sz w:val="24"/>
              </w:rPr>
              <w:t>标</w:t>
            </w:r>
          </w:p>
        </w:tc>
        <w:tc>
          <w:tcPr>
            <w:tcW w:w="2115" w:type="dxa"/>
            <w:vAlign w:val="center"/>
          </w:tcPr>
          <w:p w:rsidR="0029667E" w:rsidRDefault="005F36FF">
            <w:pPr>
              <w:snapToGrid w:val="0"/>
              <w:spacing w:line="240" w:lineRule="auto"/>
              <w:ind w:firstLineChars="0" w:firstLine="0"/>
              <w:jc w:val="center"/>
              <w:rPr>
                <w:sz w:val="24"/>
              </w:rPr>
            </w:pPr>
            <w:r>
              <w:rPr>
                <w:sz w:val="24"/>
              </w:rPr>
              <w:t>广州市市政集团有限公司</w:t>
            </w:r>
          </w:p>
        </w:tc>
        <w:tc>
          <w:tcPr>
            <w:tcW w:w="1680" w:type="dxa"/>
            <w:vAlign w:val="center"/>
          </w:tcPr>
          <w:p w:rsidR="0029667E" w:rsidRDefault="005F36FF">
            <w:pPr>
              <w:snapToGrid w:val="0"/>
              <w:spacing w:line="240" w:lineRule="auto"/>
              <w:ind w:firstLineChars="0" w:firstLine="0"/>
              <w:jc w:val="center"/>
              <w:rPr>
                <w:sz w:val="24"/>
              </w:rPr>
            </w:pPr>
            <w:r>
              <w:rPr>
                <w:sz w:val="24"/>
              </w:rPr>
              <w:t>2020.4.21</w:t>
            </w:r>
          </w:p>
        </w:tc>
        <w:tc>
          <w:tcPr>
            <w:tcW w:w="2268" w:type="dxa"/>
            <w:vAlign w:val="center"/>
          </w:tcPr>
          <w:p w:rsidR="0029667E" w:rsidRDefault="005F36FF">
            <w:pPr>
              <w:snapToGrid w:val="0"/>
              <w:spacing w:line="240" w:lineRule="auto"/>
              <w:ind w:firstLineChars="0" w:firstLine="0"/>
              <w:jc w:val="center"/>
              <w:rPr>
                <w:sz w:val="24"/>
              </w:rPr>
            </w:pPr>
            <w:r>
              <w:rPr>
                <w:sz w:val="24"/>
              </w:rPr>
              <w:t>广州诚信公路建设监理咨询有限公司</w:t>
            </w:r>
          </w:p>
        </w:tc>
        <w:tc>
          <w:tcPr>
            <w:tcW w:w="1812" w:type="dxa"/>
            <w:vAlign w:val="center"/>
          </w:tcPr>
          <w:p w:rsidR="0029667E" w:rsidRDefault="005F36FF">
            <w:pPr>
              <w:snapToGrid w:val="0"/>
              <w:spacing w:line="240" w:lineRule="auto"/>
              <w:ind w:firstLineChars="0" w:firstLine="0"/>
              <w:jc w:val="center"/>
              <w:rPr>
                <w:sz w:val="24"/>
              </w:rPr>
            </w:pPr>
            <w:r>
              <w:rPr>
                <w:sz w:val="24"/>
              </w:rPr>
              <w:t>2020.7.8</w:t>
            </w:r>
          </w:p>
        </w:tc>
      </w:tr>
      <w:tr w:rsidR="0029667E">
        <w:trPr>
          <w:trHeight w:val="567"/>
          <w:jc w:val="center"/>
        </w:trPr>
        <w:tc>
          <w:tcPr>
            <w:tcW w:w="1182" w:type="dxa"/>
            <w:vAlign w:val="center"/>
          </w:tcPr>
          <w:p w:rsidR="0029667E" w:rsidRDefault="005F36FF">
            <w:pPr>
              <w:snapToGrid w:val="0"/>
              <w:spacing w:line="240" w:lineRule="auto"/>
              <w:ind w:firstLineChars="0" w:firstLine="0"/>
              <w:jc w:val="center"/>
              <w:rPr>
                <w:sz w:val="24"/>
              </w:rPr>
            </w:pPr>
            <w:r>
              <w:rPr>
                <w:sz w:val="24"/>
              </w:rPr>
              <w:t>二标</w:t>
            </w:r>
          </w:p>
        </w:tc>
        <w:tc>
          <w:tcPr>
            <w:tcW w:w="2115" w:type="dxa"/>
            <w:vAlign w:val="center"/>
          </w:tcPr>
          <w:p w:rsidR="0029667E" w:rsidRDefault="005F36FF">
            <w:pPr>
              <w:snapToGrid w:val="0"/>
              <w:spacing w:line="240" w:lineRule="auto"/>
              <w:ind w:firstLineChars="0" w:firstLine="0"/>
              <w:jc w:val="center"/>
              <w:rPr>
                <w:sz w:val="24"/>
              </w:rPr>
            </w:pPr>
            <w:r>
              <w:rPr>
                <w:sz w:val="24"/>
              </w:rPr>
              <w:t>广东冠粤路桥有限公司</w:t>
            </w:r>
          </w:p>
        </w:tc>
        <w:tc>
          <w:tcPr>
            <w:tcW w:w="1680" w:type="dxa"/>
            <w:vAlign w:val="center"/>
          </w:tcPr>
          <w:p w:rsidR="0029667E" w:rsidRDefault="005F36FF">
            <w:pPr>
              <w:snapToGrid w:val="0"/>
              <w:spacing w:line="240" w:lineRule="auto"/>
              <w:ind w:firstLineChars="0" w:firstLine="0"/>
              <w:jc w:val="center"/>
              <w:rPr>
                <w:sz w:val="24"/>
              </w:rPr>
            </w:pPr>
            <w:r>
              <w:rPr>
                <w:sz w:val="24"/>
              </w:rPr>
              <w:t>2020.4.21</w:t>
            </w:r>
          </w:p>
        </w:tc>
        <w:tc>
          <w:tcPr>
            <w:tcW w:w="2268" w:type="dxa"/>
            <w:vAlign w:val="center"/>
          </w:tcPr>
          <w:p w:rsidR="0029667E" w:rsidRDefault="005F36FF">
            <w:pPr>
              <w:snapToGrid w:val="0"/>
              <w:spacing w:line="240" w:lineRule="auto"/>
              <w:ind w:firstLineChars="0" w:firstLine="0"/>
              <w:jc w:val="center"/>
              <w:rPr>
                <w:sz w:val="24"/>
              </w:rPr>
            </w:pPr>
            <w:r>
              <w:rPr>
                <w:sz w:val="24"/>
              </w:rPr>
              <w:t>北京华路顺工程咨询有限公司</w:t>
            </w:r>
          </w:p>
        </w:tc>
        <w:tc>
          <w:tcPr>
            <w:tcW w:w="1812" w:type="dxa"/>
            <w:vAlign w:val="center"/>
          </w:tcPr>
          <w:p w:rsidR="0029667E" w:rsidRDefault="005F36FF">
            <w:pPr>
              <w:snapToGrid w:val="0"/>
              <w:spacing w:line="240" w:lineRule="auto"/>
              <w:ind w:firstLineChars="0" w:firstLine="0"/>
              <w:jc w:val="center"/>
              <w:rPr>
                <w:sz w:val="24"/>
              </w:rPr>
            </w:pPr>
            <w:r>
              <w:rPr>
                <w:sz w:val="24"/>
              </w:rPr>
              <w:t>2020.7.8</w:t>
            </w:r>
          </w:p>
        </w:tc>
      </w:tr>
    </w:tbl>
    <w:p w:rsidR="0029667E" w:rsidRDefault="0029667E">
      <w:pPr>
        <w:ind w:firstLine="640"/>
      </w:pPr>
    </w:p>
    <w:p w:rsidR="0029667E" w:rsidRDefault="005F36FF">
      <w:pPr>
        <w:ind w:firstLine="640"/>
      </w:pPr>
      <w:r>
        <w:t>根据一、二标段施工合同，一、二标段施工计划工期均为</w:t>
      </w:r>
      <w:r>
        <w:t>18</w:t>
      </w:r>
      <w:r>
        <w:t>个月，总工期均为</w:t>
      </w:r>
      <w:r>
        <w:t>22</w:t>
      </w:r>
      <w:r>
        <w:t>个月，建设内容均含道路工程、桥梁工程、隧道工程、给排水工程、交通工程、通信电力工程、照明工程、绿化景观工程等。</w:t>
      </w:r>
    </w:p>
    <w:p w:rsidR="0029667E" w:rsidRDefault="005F36FF">
      <w:pPr>
        <w:ind w:firstLine="640"/>
      </w:pPr>
      <w:r>
        <w:t>根据《广州市增城区交通运输局关于新塘站片区路网</w:t>
      </w:r>
      <w:r>
        <w:t>-</w:t>
      </w:r>
      <w:r>
        <w:t>纵一路、新源路及汽车城大道建设工程（一标）施工许可的批复》（增交函〔</w:t>
      </w:r>
      <w:r>
        <w:t>2020</w:t>
      </w:r>
      <w:r>
        <w:t>〕</w:t>
      </w:r>
      <w:r>
        <w:t>767</w:t>
      </w:r>
      <w:r>
        <w:t>号）、《广州市增城区交通运输局关于新塘站片区路网</w:t>
      </w:r>
      <w:r>
        <w:t>-</w:t>
      </w:r>
      <w:r>
        <w:t>纵一路、新源路及汽车城大道建设工程（二标）施工许可的批复》（增交函〔</w:t>
      </w:r>
      <w:r>
        <w:t>2020</w:t>
      </w:r>
      <w:r>
        <w:t>〕</w:t>
      </w:r>
      <w:r>
        <w:t>768</w:t>
      </w:r>
      <w:r>
        <w:t>号），</w:t>
      </w:r>
      <w:r>
        <w:t>2020</w:t>
      </w:r>
      <w:r>
        <w:t>年</w:t>
      </w:r>
      <w:r>
        <w:t>9</w:t>
      </w:r>
      <w:r>
        <w:t>月</w:t>
      </w:r>
      <w:r>
        <w:t>2</w:t>
      </w:r>
      <w:r>
        <w:t>日区道路养护中心取得了区交通运输局对项目的施工许可批复，施工设计图中的建设规模见下表。</w:t>
      </w:r>
    </w:p>
    <w:p w:rsidR="0029667E" w:rsidRDefault="005F36FF">
      <w:pPr>
        <w:pStyle w:val="21"/>
        <w:spacing w:after="0" w:line="240" w:lineRule="auto"/>
        <w:ind w:firstLine="560"/>
        <w:jc w:val="center"/>
        <w:rPr>
          <w:rFonts w:eastAsia="黑体"/>
          <w:bCs/>
        </w:rPr>
      </w:pPr>
      <w:r>
        <w:rPr>
          <w:rFonts w:eastAsia="黑体"/>
          <w:bCs/>
          <w:sz w:val="28"/>
          <w:szCs w:val="22"/>
        </w:rPr>
        <w:t>表</w:t>
      </w:r>
      <w:r>
        <w:rPr>
          <w:rFonts w:eastAsia="黑体"/>
          <w:bCs/>
          <w:sz w:val="28"/>
          <w:szCs w:val="22"/>
        </w:rPr>
        <w:t xml:space="preserve">7  </w:t>
      </w:r>
      <w:r>
        <w:rPr>
          <w:rFonts w:eastAsia="黑体"/>
          <w:bCs/>
          <w:sz w:val="28"/>
          <w:szCs w:val="22"/>
        </w:rPr>
        <w:t>施工设计图道路建设规模</w:t>
      </w:r>
    </w:p>
    <w:tbl>
      <w:tblPr>
        <w:tblStyle w:val="ac"/>
        <w:tblW w:w="8871" w:type="dxa"/>
        <w:jc w:val="center"/>
        <w:tblLook w:val="04A0" w:firstRow="1" w:lastRow="0" w:firstColumn="1" w:lastColumn="0" w:noHBand="0" w:noVBand="1"/>
      </w:tblPr>
      <w:tblGrid>
        <w:gridCol w:w="941"/>
        <w:gridCol w:w="873"/>
        <w:gridCol w:w="3067"/>
        <w:gridCol w:w="1410"/>
        <w:gridCol w:w="1290"/>
        <w:gridCol w:w="1290"/>
      </w:tblGrid>
      <w:tr w:rsidR="0029667E">
        <w:trPr>
          <w:trHeight w:val="567"/>
          <w:tblHeader/>
          <w:jc w:val="center"/>
        </w:trPr>
        <w:tc>
          <w:tcPr>
            <w:tcW w:w="1814" w:type="dxa"/>
            <w:gridSpan w:val="2"/>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道路名称</w:t>
            </w:r>
          </w:p>
        </w:tc>
        <w:tc>
          <w:tcPr>
            <w:tcW w:w="3067" w:type="dxa"/>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道路等级</w:t>
            </w:r>
          </w:p>
        </w:tc>
        <w:tc>
          <w:tcPr>
            <w:tcW w:w="1410" w:type="dxa"/>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长度（</w:t>
            </w:r>
            <w:r>
              <w:rPr>
                <w:b/>
                <w:bCs/>
                <w:color w:val="000000"/>
                <w:kern w:val="0"/>
                <w:sz w:val="24"/>
                <w:lang w:bidi="ar"/>
              </w:rPr>
              <w:t>km</w:t>
            </w:r>
            <w:r>
              <w:rPr>
                <w:b/>
                <w:bCs/>
                <w:color w:val="000000"/>
                <w:kern w:val="0"/>
                <w:sz w:val="24"/>
                <w:lang w:bidi="ar"/>
              </w:rPr>
              <w:t>）</w:t>
            </w:r>
          </w:p>
        </w:tc>
        <w:tc>
          <w:tcPr>
            <w:tcW w:w="1290" w:type="dxa"/>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红线宽度</w:t>
            </w:r>
          </w:p>
        </w:tc>
        <w:tc>
          <w:tcPr>
            <w:tcW w:w="1290" w:type="dxa"/>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建设性质</w:t>
            </w:r>
          </w:p>
        </w:tc>
      </w:tr>
      <w:tr w:rsidR="0029667E">
        <w:trPr>
          <w:trHeight w:val="567"/>
          <w:jc w:val="center"/>
        </w:trPr>
        <w:tc>
          <w:tcPr>
            <w:tcW w:w="1814" w:type="dxa"/>
            <w:gridSpan w:val="2"/>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proofErr w:type="gramStart"/>
            <w:r>
              <w:rPr>
                <w:b/>
                <w:bCs/>
                <w:color w:val="000000"/>
                <w:kern w:val="0"/>
                <w:sz w:val="24"/>
                <w:lang w:bidi="ar"/>
              </w:rPr>
              <w:t>纵</w:t>
            </w:r>
            <w:proofErr w:type="gramEnd"/>
            <w:r>
              <w:rPr>
                <w:b/>
                <w:bCs/>
                <w:color w:val="000000"/>
                <w:kern w:val="0"/>
                <w:sz w:val="24"/>
                <w:lang w:bidi="ar"/>
              </w:rPr>
              <w:t>一路</w:t>
            </w:r>
          </w:p>
        </w:tc>
        <w:tc>
          <w:tcPr>
            <w:tcW w:w="3067"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41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1.0</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50</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新建</w:t>
            </w:r>
          </w:p>
        </w:tc>
      </w:tr>
      <w:tr w:rsidR="0029667E">
        <w:trPr>
          <w:trHeight w:val="567"/>
          <w:jc w:val="center"/>
        </w:trPr>
        <w:tc>
          <w:tcPr>
            <w:tcW w:w="1814" w:type="dxa"/>
            <w:gridSpan w:val="2"/>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站前路</w:t>
            </w:r>
          </w:p>
        </w:tc>
        <w:tc>
          <w:tcPr>
            <w:tcW w:w="3067"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41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0.795</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50</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新建</w:t>
            </w:r>
          </w:p>
        </w:tc>
      </w:tr>
      <w:tr w:rsidR="0029667E">
        <w:trPr>
          <w:trHeight w:val="567"/>
          <w:jc w:val="center"/>
        </w:trPr>
        <w:tc>
          <w:tcPr>
            <w:tcW w:w="941" w:type="dxa"/>
            <w:vMerge w:val="restart"/>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汽车城大道</w:t>
            </w:r>
          </w:p>
        </w:tc>
        <w:tc>
          <w:tcPr>
            <w:tcW w:w="873" w:type="dxa"/>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主线</w:t>
            </w:r>
          </w:p>
        </w:tc>
        <w:tc>
          <w:tcPr>
            <w:tcW w:w="3067"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41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2.453</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48</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新建</w:t>
            </w:r>
          </w:p>
        </w:tc>
      </w:tr>
      <w:tr w:rsidR="0029667E">
        <w:trPr>
          <w:trHeight w:val="567"/>
          <w:jc w:val="center"/>
        </w:trPr>
        <w:tc>
          <w:tcPr>
            <w:tcW w:w="941" w:type="dxa"/>
            <w:vMerge/>
            <w:vAlign w:val="center"/>
          </w:tcPr>
          <w:p w:rsidR="0029667E" w:rsidRDefault="0029667E">
            <w:pPr>
              <w:widowControl/>
              <w:snapToGrid w:val="0"/>
              <w:spacing w:line="240" w:lineRule="auto"/>
              <w:ind w:firstLineChars="0" w:firstLine="0"/>
              <w:jc w:val="center"/>
              <w:textAlignment w:val="center"/>
              <w:rPr>
                <w:b/>
                <w:bCs/>
                <w:color w:val="000000"/>
                <w:kern w:val="0"/>
                <w:sz w:val="24"/>
                <w:lang w:bidi="ar"/>
              </w:rPr>
            </w:pPr>
          </w:p>
        </w:tc>
        <w:tc>
          <w:tcPr>
            <w:tcW w:w="873" w:type="dxa"/>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支线</w:t>
            </w:r>
            <w:r>
              <w:rPr>
                <w:b/>
                <w:bCs/>
                <w:color w:val="000000"/>
                <w:kern w:val="0"/>
                <w:sz w:val="24"/>
                <w:lang w:bidi="ar"/>
              </w:rPr>
              <w:t>1</w:t>
            </w:r>
          </w:p>
        </w:tc>
        <w:tc>
          <w:tcPr>
            <w:tcW w:w="3067"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三级公路结合城市支路</w:t>
            </w:r>
          </w:p>
        </w:tc>
        <w:tc>
          <w:tcPr>
            <w:tcW w:w="141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0.212</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20</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新建</w:t>
            </w:r>
          </w:p>
        </w:tc>
      </w:tr>
      <w:tr w:rsidR="0029667E">
        <w:trPr>
          <w:trHeight w:val="567"/>
          <w:jc w:val="center"/>
        </w:trPr>
        <w:tc>
          <w:tcPr>
            <w:tcW w:w="941" w:type="dxa"/>
            <w:vMerge/>
            <w:vAlign w:val="center"/>
          </w:tcPr>
          <w:p w:rsidR="0029667E" w:rsidRDefault="0029667E">
            <w:pPr>
              <w:widowControl/>
              <w:snapToGrid w:val="0"/>
              <w:spacing w:line="240" w:lineRule="auto"/>
              <w:ind w:firstLineChars="0" w:firstLine="0"/>
              <w:jc w:val="center"/>
              <w:textAlignment w:val="center"/>
              <w:rPr>
                <w:b/>
                <w:bCs/>
                <w:color w:val="000000"/>
                <w:kern w:val="0"/>
                <w:sz w:val="24"/>
                <w:lang w:bidi="ar"/>
              </w:rPr>
            </w:pPr>
          </w:p>
        </w:tc>
        <w:tc>
          <w:tcPr>
            <w:tcW w:w="873" w:type="dxa"/>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支线</w:t>
            </w:r>
            <w:r>
              <w:rPr>
                <w:b/>
                <w:bCs/>
                <w:color w:val="000000"/>
                <w:kern w:val="0"/>
                <w:sz w:val="24"/>
                <w:lang w:bidi="ar"/>
              </w:rPr>
              <w:t>2</w:t>
            </w:r>
          </w:p>
        </w:tc>
        <w:tc>
          <w:tcPr>
            <w:tcW w:w="3067"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三级公路结合城市支路</w:t>
            </w:r>
          </w:p>
        </w:tc>
        <w:tc>
          <w:tcPr>
            <w:tcW w:w="141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0.109</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rFonts w:hint="eastAsia"/>
                <w:color w:val="000000"/>
                <w:kern w:val="0"/>
                <w:sz w:val="24"/>
                <w:lang w:bidi="ar"/>
              </w:rPr>
              <w:t>20</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新建</w:t>
            </w:r>
          </w:p>
        </w:tc>
      </w:tr>
      <w:tr w:rsidR="0029667E">
        <w:trPr>
          <w:trHeight w:val="567"/>
          <w:jc w:val="center"/>
        </w:trPr>
        <w:tc>
          <w:tcPr>
            <w:tcW w:w="1814" w:type="dxa"/>
            <w:gridSpan w:val="2"/>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新新大道</w:t>
            </w:r>
          </w:p>
        </w:tc>
        <w:tc>
          <w:tcPr>
            <w:tcW w:w="3067"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41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0.918</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60</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改造</w:t>
            </w:r>
          </w:p>
        </w:tc>
      </w:tr>
      <w:tr w:rsidR="0029667E">
        <w:trPr>
          <w:trHeight w:val="567"/>
          <w:jc w:val="center"/>
        </w:trPr>
        <w:tc>
          <w:tcPr>
            <w:tcW w:w="1814" w:type="dxa"/>
            <w:gridSpan w:val="2"/>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新源路</w:t>
            </w:r>
          </w:p>
        </w:tc>
        <w:tc>
          <w:tcPr>
            <w:tcW w:w="3067"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41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1.5</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40</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新建</w:t>
            </w:r>
          </w:p>
        </w:tc>
      </w:tr>
      <w:tr w:rsidR="0029667E">
        <w:trPr>
          <w:trHeight w:val="567"/>
          <w:jc w:val="center"/>
        </w:trPr>
        <w:tc>
          <w:tcPr>
            <w:tcW w:w="1814" w:type="dxa"/>
            <w:gridSpan w:val="2"/>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新源路支线</w:t>
            </w:r>
          </w:p>
        </w:tc>
        <w:tc>
          <w:tcPr>
            <w:tcW w:w="3067"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三级公路结合城市支路</w:t>
            </w:r>
          </w:p>
        </w:tc>
        <w:tc>
          <w:tcPr>
            <w:tcW w:w="141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0.305</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30</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新建</w:t>
            </w:r>
          </w:p>
        </w:tc>
      </w:tr>
      <w:tr w:rsidR="0029667E">
        <w:trPr>
          <w:trHeight w:val="567"/>
          <w:jc w:val="center"/>
        </w:trPr>
        <w:tc>
          <w:tcPr>
            <w:tcW w:w="1814" w:type="dxa"/>
            <w:gridSpan w:val="2"/>
            <w:vAlign w:val="center"/>
          </w:tcPr>
          <w:p w:rsidR="0029667E" w:rsidRDefault="005F36FF">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环城路</w:t>
            </w:r>
          </w:p>
        </w:tc>
        <w:tc>
          <w:tcPr>
            <w:tcW w:w="3067"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41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1.7</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60</w:t>
            </w:r>
          </w:p>
        </w:tc>
        <w:tc>
          <w:tcPr>
            <w:tcW w:w="1290" w:type="dxa"/>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改造</w:t>
            </w:r>
          </w:p>
        </w:tc>
      </w:tr>
    </w:tbl>
    <w:p w:rsidR="0029667E" w:rsidRDefault="0029667E">
      <w:pPr>
        <w:ind w:firstLine="640"/>
      </w:pPr>
    </w:p>
    <w:p w:rsidR="0029667E" w:rsidRDefault="005F36FF">
      <w:pPr>
        <w:ind w:firstLine="640"/>
      </w:pPr>
      <w:r>
        <w:t>根据一、二标段开工申请报告及开</w:t>
      </w:r>
      <w:proofErr w:type="gramStart"/>
      <w:r>
        <w:t>工令</w:t>
      </w:r>
      <w:proofErr w:type="gramEnd"/>
      <w:r>
        <w:t>，一、二标段均于</w:t>
      </w:r>
      <w:r>
        <w:t>2020</w:t>
      </w:r>
      <w:r>
        <w:t>年</w:t>
      </w:r>
      <w:r>
        <w:t>9</w:t>
      </w:r>
      <w:r>
        <w:t>月</w:t>
      </w:r>
      <w:r>
        <w:t>11</w:t>
      </w:r>
      <w:r>
        <w:t>日开始施工。</w:t>
      </w:r>
    </w:p>
    <w:p w:rsidR="0029667E" w:rsidRDefault="005F36FF">
      <w:pPr>
        <w:ind w:firstLine="640"/>
      </w:pPr>
      <w:r>
        <w:t>2021</w:t>
      </w:r>
      <w:r>
        <w:t>年</w:t>
      </w:r>
      <w:r>
        <w:t>3</w:t>
      </w:r>
      <w:r>
        <w:t>月</w:t>
      </w:r>
      <w:r>
        <w:t>15</w:t>
      </w:r>
      <w:r>
        <w:t>日区道路养护中心向</w:t>
      </w:r>
      <w:r>
        <w:rPr>
          <w:rFonts w:ascii="仿宋_GB2312" w:hint="eastAsia"/>
        </w:rPr>
        <w:t>区发展</w:t>
      </w:r>
      <w:proofErr w:type="gramStart"/>
      <w:r>
        <w:rPr>
          <w:rFonts w:ascii="仿宋_GB2312" w:hint="eastAsia"/>
        </w:rPr>
        <w:t>改革局</w:t>
      </w:r>
      <w:proofErr w:type="gramEnd"/>
      <w:r>
        <w:t>报送</w:t>
      </w:r>
      <w:r>
        <w:rPr>
          <w:snapToGrid w:val="0"/>
          <w:kern w:val="0"/>
          <w:szCs w:val="32"/>
        </w:rPr>
        <w:t>《广州市增城区道路养护中心关于申请调整新塘站片区路网一纵一路、新源路及汽车城大道建设工程项目可行性研究报告建设内容的函》（</w:t>
      </w:r>
      <w:proofErr w:type="gramStart"/>
      <w:r>
        <w:rPr>
          <w:snapToGrid w:val="0"/>
          <w:kern w:val="0"/>
          <w:szCs w:val="32"/>
        </w:rPr>
        <w:t>增道函〔</w:t>
      </w:r>
      <w:r>
        <w:rPr>
          <w:snapToGrid w:val="0"/>
          <w:kern w:val="0"/>
          <w:szCs w:val="32"/>
        </w:rPr>
        <w:t>2021</w:t>
      </w:r>
      <w:r>
        <w:rPr>
          <w:snapToGrid w:val="0"/>
          <w:kern w:val="0"/>
          <w:szCs w:val="32"/>
        </w:rPr>
        <w:t>〕</w:t>
      </w:r>
      <w:proofErr w:type="gramEnd"/>
      <w:r>
        <w:rPr>
          <w:snapToGrid w:val="0"/>
          <w:kern w:val="0"/>
          <w:szCs w:val="32"/>
        </w:rPr>
        <w:t>24</w:t>
      </w:r>
      <w:r>
        <w:rPr>
          <w:snapToGrid w:val="0"/>
          <w:kern w:val="0"/>
          <w:szCs w:val="32"/>
        </w:rPr>
        <w:t>号），因新源路广</w:t>
      </w:r>
      <w:proofErr w:type="gramStart"/>
      <w:r>
        <w:rPr>
          <w:snapToGrid w:val="0"/>
          <w:kern w:val="0"/>
          <w:szCs w:val="32"/>
        </w:rPr>
        <w:t>园快速</w:t>
      </w:r>
      <w:proofErr w:type="gramEnd"/>
      <w:r>
        <w:rPr>
          <w:snapToGrid w:val="0"/>
          <w:kern w:val="0"/>
          <w:szCs w:val="32"/>
        </w:rPr>
        <w:t>路以北段拆迁量较大，当时难以实施，区道路养护中心计划取消新源路快速路及北段的施工计划，并将新新大道纳入项目实施范围，同时优化项目设计方案，</w:t>
      </w:r>
      <w:r>
        <w:t>调整内容如下：一是新源路起点调整为北接</w:t>
      </w:r>
      <w:proofErr w:type="gramStart"/>
      <w:r>
        <w:t>现状广园快速</w:t>
      </w:r>
      <w:proofErr w:type="gramEnd"/>
      <w:r>
        <w:t>路下穿通道，南接驳现状汇</w:t>
      </w:r>
      <w:proofErr w:type="gramStart"/>
      <w:r>
        <w:t>太</w:t>
      </w:r>
      <w:proofErr w:type="gramEnd"/>
      <w:r>
        <w:t>路，新源路道路长度由</w:t>
      </w:r>
      <w:r>
        <w:t>2.03km</w:t>
      </w:r>
      <w:r>
        <w:t>调整为</w:t>
      </w:r>
      <w:r>
        <w:t>1.5km</w:t>
      </w:r>
      <w:r>
        <w:t>；二是增加新新大道改造工程，新新大道</w:t>
      </w:r>
      <w:proofErr w:type="gramStart"/>
      <w:r>
        <w:t>起点北</w:t>
      </w:r>
      <w:proofErr w:type="gramEnd"/>
      <w:r>
        <w:t>下穿广</w:t>
      </w:r>
      <w:proofErr w:type="gramStart"/>
      <w:r>
        <w:t>园快速</w:t>
      </w:r>
      <w:proofErr w:type="gramEnd"/>
      <w:r>
        <w:t>路，</w:t>
      </w:r>
      <w:proofErr w:type="gramStart"/>
      <w:r>
        <w:t>终点南接站</w:t>
      </w:r>
      <w:proofErr w:type="gramEnd"/>
      <w:r>
        <w:t>前路，道路长度约</w:t>
      </w:r>
      <w:r>
        <w:t>0.918km</w:t>
      </w:r>
      <w:r>
        <w:t>，规划红线宽度</w:t>
      </w:r>
      <w:r>
        <w:t>60m</w:t>
      </w:r>
      <w:r>
        <w:t>；三是汽车城大道支线</w:t>
      </w:r>
      <w:r>
        <w:t>2</w:t>
      </w:r>
      <w:r>
        <w:t>规划红线宽度根据最新控</w:t>
      </w:r>
      <w:proofErr w:type="gramStart"/>
      <w:r>
        <w:t>规</w:t>
      </w:r>
      <w:proofErr w:type="gramEnd"/>
      <w:r>
        <w:t>由</w:t>
      </w:r>
      <w:r>
        <w:t>15m</w:t>
      </w:r>
      <w:r>
        <w:t>调整为</w:t>
      </w:r>
      <w:r>
        <w:t>20m</w:t>
      </w:r>
      <w:r>
        <w:t>，原可行性研究报告批复总投资等其它内容不变。根据《广州市增城区发展和改革局关于调整新塘站片区路网一纵一路、新源路及汽车城大道建设工程项目建设规模和建设内容的复函》（穗</w:t>
      </w:r>
      <w:proofErr w:type="gramStart"/>
      <w:r>
        <w:t>增发改函〔</w:t>
      </w:r>
      <w:r>
        <w:t>2021</w:t>
      </w:r>
      <w:r>
        <w:t>〕</w:t>
      </w:r>
      <w:proofErr w:type="gramEnd"/>
      <w:r>
        <w:t>412</w:t>
      </w:r>
      <w:r>
        <w:t>号）文件，</w:t>
      </w:r>
      <w:r>
        <w:rPr>
          <w:rFonts w:ascii="仿宋_GB2312" w:hint="eastAsia"/>
        </w:rPr>
        <w:t>区</w:t>
      </w:r>
      <w:r>
        <w:rPr>
          <w:rFonts w:ascii="仿宋_GB2312" w:hint="eastAsia"/>
        </w:rPr>
        <w:t>发展</w:t>
      </w:r>
      <w:proofErr w:type="gramStart"/>
      <w:r>
        <w:rPr>
          <w:rFonts w:ascii="仿宋_GB2312" w:hint="eastAsia"/>
        </w:rPr>
        <w:t>改革局</w:t>
      </w:r>
      <w:proofErr w:type="gramEnd"/>
      <w:r>
        <w:t>2021</w:t>
      </w:r>
      <w:r>
        <w:t>年</w:t>
      </w:r>
      <w:r>
        <w:t>3</w:t>
      </w:r>
      <w:r>
        <w:t>月</w:t>
      </w:r>
      <w:r>
        <w:t>19</w:t>
      </w:r>
      <w:r>
        <w:t>日批复同意。</w:t>
      </w:r>
    </w:p>
    <w:p w:rsidR="0029667E" w:rsidRDefault="005F36FF">
      <w:pPr>
        <w:ind w:firstLine="640"/>
      </w:pPr>
      <w:r>
        <w:t>根据《广州市增城区交通运输局党组会议纪要》（增交</w:t>
      </w:r>
      <w:proofErr w:type="gramStart"/>
      <w:r>
        <w:t>党会纪〔</w:t>
      </w:r>
      <w:r>
        <w:t>2021</w:t>
      </w:r>
      <w:r>
        <w:t>〕</w:t>
      </w:r>
      <w:proofErr w:type="gramEnd"/>
      <w:r>
        <w:t>27</w:t>
      </w:r>
      <w:r>
        <w:t>号），鉴于市场材料价格大幅上涨，为缓解施工企业资金负担，区交通运输局党组会议研究决定根据《财政部关于印发〈建设工程价款结算暂行办法〉的通知》（</w:t>
      </w:r>
      <w:proofErr w:type="gramStart"/>
      <w:r>
        <w:t>财建〔</w:t>
      </w:r>
      <w:r>
        <w:t>2004</w:t>
      </w:r>
      <w:r>
        <w:t>〕</w:t>
      </w:r>
      <w:proofErr w:type="gramEnd"/>
      <w:r>
        <w:t>369</w:t>
      </w:r>
      <w:r>
        <w:t>号）文件精神，将合同进度款支付按完成工程量的</w:t>
      </w:r>
      <w:r>
        <w:t>80%</w:t>
      </w:r>
      <w:r>
        <w:t>支付变更为按完成工程量的</w:t>
      </w:r>
      <w:r>
        <w:t>90%</w:t>
      </w:r>
      <w:r>
        <w:t>支付，并强调当所有款项累计支付达到签约合同款项（扣除暂列金）的</w:t>
      </w:r>
      <w:r>
        <w:t>80%</w:t>
      </w:r>
      <w:r>
        <w:t>时，暂停支付所有款项。</w:t>
      </w:r>
      <w:r>
        <w:t>2021</w:t>
      </w:r>
      <w:r>
        <w:t>年</w:t>
      </w:r>
      <w:r>
        <w:t>11</w:t>
      </w:r>
      <w:r>
        <w:t>月</w:t>
      </w:r>
      <w:r>
        <w:t>25</w:t>
      </w:r>
      <w:r>
        <w:t>日，区道路养护中心分别与广州市市政集团有限公司</w:t>
      </w:r>
      <w:r>
        <w:t>、广东冠粤路桥有限公司签订《工程进度款支付比例补充协议》，将合同进度款的支付比例由已完成工作量的</w:t>
      </w:r>
      <w:r>
        <w:t>80%</w:t>
      </w:r>
      <w:r>
        <w:t>调整为已完成工作量的</w:t>
      </w:r>
      <w:r>
        <w:t>90%</w:t>
      </w:r>
      <w:r>
        <w:t>，当所有款项累计支付达到签约合同款项（扣除暂列金）的</w:t>
      </w:r>
      <w:r>
        <w:t>80%</w:t>
      </w:r>
      <w:r>
        <w:t>时，暂停支付所有款项。同时增加</w:t>
      </w:r>
      <w:r>
        <w:t>10%</w:t>
      </w:r>
      <w:r>
        <w:t>进度款保函，由承包人提供等额</w:t>
      </w:r>
      <w:r>
        <w:t>10%</w:t>
      </w:r>
      <w:r>
        <w:t>进度款保函担保。</w:t>
      </w:r>
    </w:p>
    <w:p w:rsidR="0029667E" w:rsidRDefault="005F36FF">
      <w:pPr>
        <w:widowControl/>
        <w:ind w:firstLine="640"/>
        <w:jc w:val="left"/>
      </w:pPr>
      <w:r>
        <w:t>根据《新塘站片区路网</w:t>
      </w:r>
      <w:r>
        <w:t>—</w:t>
      </w:r>
      <w:r>
        <w:t>纵一路、新源路及汽车城大道建设工程（一标）施工总结报告》及《新塘站片区路网</w:t>
      </w:r>
      <w:r>
        <w:t>-</w:t>
      </w:r>
      <w:r>
        <w:t>纵一路、新源路及汽车城大道建设工程（二标）施工总结报告》，一标段完工时间为</w:t>
      </w:r>
      <w:r>
        <w:t>2023</w:t>
      </w:r>
      <w:r>
        <w:t>年</w:t>
      </w:r>
      <w:r>
        <w:t>12</w:t>
      </w:r>
      <w:r>
        <w:t>月</w:t>
      </w:r>
      <w:r>
        <w:t>31</w:t>
      </w:r>
      <w:r>
        <w:t>日，二标段完工时间为</w:t>
      </w:r>
      <w:r>
        <w:t>2023</w:t>
      </w:r>
      <w:r>
        <w:t>年</w:t>
      </w:r>
      <w:r>
        <w:t>9</w:t>
      </w:r>
      <w:r>
        <w:t>月</w:t>
      </w:r>
      <w:r>
        <w:t>30</w:t>
      </w:r>
      <w:r>
        <w:t>日。完工</w:t>
      </w:r>
      <w:r>
        <w:t>内容见下表。</w:t>
      </w:r>
    </w:p>
    <w:p w:rsidR="0029667E" w:rsidRDefault="0029667E">
      <w:pPr>
        <w:widowControl/>
        <w:ind w:firstLine="640"/>
        <w:jc w:val="left"/>
      </w:pPr>
    </w:p>
    <w:p w:rsidR="0029667E" w:rsidRDefault="005F36FF">
      <w:pPr>
        <w:pStyle w:val="21"/>
        <w:ind w:firstLine="560"/>
        <w:jc w:val="center"/>
        <w:rPr>
          <w:rFonts w:eastAsia="黑体"/>
          <w:sz w:val="28"/>
          <w:szCs w:val="22"/>
        </w:rPr>
      </w:pPr>
      <w:r>
        <w:rPr>
          <w:rFonts w:eastAsia="黑体"/>
          <w:sz w:val="28"/>
          <w:szCs w:val="22"/>
        </w:rPr>
        <w:t>表</w:t>
      </w:r>
      <w:r>
        <w:rPr>
          <w:rFonts w:eastAsia="黑体"/>
          <w:sz w:val="28"/>
          <w:szCs w:val="22"/>
        </w:rPr>
        <w:t xml:space="preserve">8  </w:t>
      </w:r>
      <w:r>
        <w:rPr>
          <w:rFonts w:eastAsia="黑体"/>
          <w:sz w:val="28"/>
          <w:szCs w:val="22"/>
        </w:rPr>
        <w:t>工程完工内容</w:t>
      </w:r>
    </w:p>
    <w:tbl>
      <w:tblPr>
        <w:tblW w:w="8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8"/>
        <w:gridCol w:w="1140"/>
        <w:gridCol w:w="3435"/>
        <w:gridCol w:w="1680"/>
        <w:gridCol w:w="1537"/>
      </w:tblGrid>
      <w:tr w:rsidR="0029667E">
        <w:trPr>
          <w:trHeight w:val="527"/>
          <w:tblHeader/>
          <w:jc w:val="center"/>
        </w:trPr>
        <w:tc>
          <w:tcPr>
            <w:tcW w:w="2218" w:type="dxa"/>
            <w:gridSpan w:val="2"/>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b/>
                <w:bCs/>
                <w:color w:val="000000"/>
                <w:kern w:val="0"/>
                <w:sz w:val="24"/>
                <w:lang w:bidi="ar"/>
              </w:rPr>
              <w:t>道路名称</w:t>
            </w:r>
          </w:p>
        </w:tc>
        <w:tc>
          <w:tcPr>
            <w:tcW w:w="3435"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b/>
                <w:bCs/>
                <w:color w:val="000000"/>
                <w:kern w:val="0"/>
                <w:sz w:val="24"/>
                <w:lang w:bidi="ar"/>
              </w:rPr>
              <w:t>道路等级</w:t>
            </w:r>
          </w:p>
        </w:tc>
        <w:tc>
          <w:tcPr>
            <w:tcW w:w="1680"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b/>
                <w:bCs/>
                <w:color w:val="000000"/>
                <w:kern w:val="0"/>
                <w:sz w:val="24"/>
                <w:lang w:bidi="ar"/>
              </w:rPr>
              <w:t>长度（</w:t>
            </w:r>
            <w:r>
              <w:rPr>
                <w:b/>
                <w:bCs/>
                <w:color w:val="000000"/>
                <w:kern w:val="0"/>
                <w:sz w:val="24"/>
                <w:lang w:bidi="ar"/>
              </w:rPr>
              <w:t>km</w:t>
            </w:r>
            <w:r>
              <w:rPr>
                <w:b/>
                <w:bCs/>
                <w:color w:val="000000"/>
                <w:kern w:val="0"/>
                <w:sz w:val="24"/>
                <w:lang w:bidi="ar"/>
              </w:rPr>
              <w:t>）</w:t>
            </w:r>
          </w:p>
        </w:tc>
        <w:tc>
          <w:tcPr>
            <w:tcW w:w="1537"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b/>
                <w:bCs/>
                <w:color w:val="000000"/>
                <w:kern w:val="0"/>
                <w:sz w:val="24"/>
                <w:lang w:bidi="ar"/>
              </w:rPr>
              <w:t>红线宽度</w:t>
            </w:r>
          </w:p>
        </w:tc>
      </w:tr>
      <w:tr w:rsidR="0029667E">
        <w:trPr>
          <w:trHeight w:val="567"/>
          <w:jc w:val="center"/>
        </w:trPr>
        <w:tc>
          <w:tcPr>
            <w:tcW w:w="2218" w:type="dxa"/>
            <w:gridSpan w:val="2"/>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proofErr w:type="gramStart"/>
            <w:r>
              <w:rPr>
                <w:color w:val="000000"/>
                <w:kern w:val="0"/>
                <w:sz w:val="24"/>
                <w:lang w:bidi="ar"/>
              </w:rPr>
              <w:t>纵</w:t>
            </w:r>
            <w:proofErr w:type="gramEnd"/>
            <w:r>
              <w:rPr>
                <w:color w:val="000000"/>
                <w:kern w:val="0"/>
                <w:sz w:val="24"/>
                <w:lang w:bidi="ar"/>
              </w:rPr>
              <w:t>一路</w:t>
            </w:r>
          </w:p>
        </w:tc>
        <w:tc>
          <w:tcPr>
            <w:tcW w:w="3435"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680"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1.0</w:t>
            </w:r>
          </w:p>
        </w:tc>
        <w:tc>
          <w:tcPr>
            <w:tcW w:w="1537"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50</w:t>
            </w:r>
          </w:p>
        </w:tc>
      </w:tr>
      <w:tr w:rsidR="0029667E">
        <w:trPr>
          <w:trHeight w:val="567"/>
          <w:jc w:val="center"/>
        </w:trPr>
        <w:tc>
          <w:tcPr>
            <w:tcW w:w="2218" w:type="dxa"/>
            <w:gridSpan w:val="2"/>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站前路</w:t>
            </w:r>
          </w:p>
        </w:tc>
        <w:tc>
          <w:tcPr>
            <w:tcW w:w="3435"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680"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0.795</w:t>
            </w:r>
          </w:p>
        </w:tc>
        <w:tc>
          <w:tcPr>
            <w:tcW w:w="1537"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50</w:t>
            </w:r>
          </w:p>
        </w:tc>
      </w:tr>
      <w:tr w:rsidR="0029667E">
        <w:trPr>
          <w:trHeight w:val="567"/>
          <w:jc w:val="center"/>
        </w:trPr>
        <w:tc>
          <w:tcPr>
            <w:tcW w:w="1078" w:type="dxa"/>
            <w:vMerge w:val="restart"/>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汽车城大道</w:t>
            </w:r>
          </w:p>
        </w:tc>
        <w:tc>
          <w:tcPr>
            <w:tcW w:w="1140"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主线</w:t>
            </w:r>
          </w:p>
        </w:tc>
        <w:tc>
          <w:tcPr>
            <w:tcW w:w="3435"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680"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2.453</w:t>
            </w:r>
          </w:p>
        </w:tc>
        <w:tc>
          <w:tcPr>
            <w:tcW w:w="1537"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48</w:t>
            </w:r>
          </w:p>
        </w:tc>
      </w:tr>
      <w:tr w:rsidR="0029667E">
        <w:trPr>
          <w:trHeight w:val="567"/>
          <w:jc w:val="center"/>
        </w:trPr>
        <w:tc>
          <w:tcPr>
            <w:tcW w:w="1078" w:type="dxa"/>
            <w:vMerge/>
            <w:tcBorders>
              <w:tl2br w:val="nil"/>
              <w:tr2bl w:val="nil"/>
            </w:tcBorders>
            <w:vAlign w:val="center"/>
          </w:tcPr>
          <w:p w:rsidR="0029667E" w:rsidRDefault="0029667E">
            <w:pPr>
              <w:widowControl/>
              <w:snapToGrid w:val="0"/>
              <w:spacing w:line="240" w:lineRule="auto"/>
              <w:ind w:firstLineChars="0" w:firstLine="0"/>
              <w:jc w:val="center"/>
              <w:textAlignment w:val="center"/>
              <w:rPr>
                <w:color w:val="000000"/>
                <w:kern w:val="0"/>
                <w:sz w:val="24"/>
                <w:lang w:bidi="ar"/>
              </w:rPr>
            </w:pPr>
          </w:p>
        </w:tc>
        <w:tc>
          <w:tcPr>
            <w:tcW w:w="1140"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支线</w:t>
            </w:r>
            <w:r>
              <w:rPr>
                <w:color w:val="000000"/>
                <w:kern w:val="0"/>
                <w:sz w:val="24"/>
                <w:lang w:bidi="ar"/>
              </w:rPr>
              <w:t>1</w:t>
            </w:r>
          </w:p>
        </w:tc>
        <w:tc>
          <w:tcPr>
            <w:tcW w:w="3435"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三级公路结合城市支路</w:t>
            </w:r>
          </w:p>
        </w:tc>
        <w:tc>
          <w:tcPr>
            <w:tcW w:w="1680"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0.212</w:t>
            </w:r>
          </w:p>
        </w:tc>
        <w:tc>
          <w:tcPr>
            <w:tcW w:w="1537"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20</w:t>
            </w:r>
          </w:p>
        </w:tc>
      </w:tr>
      <w:tr w:rsidR="0029667E">
        <w:trPr>
          <w:trHeight w:val="567"/>
          <w:jc w:val="center"/>
        </w:trPr>
        <w:tc>
          <w:tcPr>
            <w:tcW w:w="1078" w:type="dxa"/>
            <w:vMerge/>
            <w:tcBorders>
              <w:tl2br w:val="nil"/>
              <w:tr2bl w:val="nil"/>
            </w:tcBorders>
            <w:vAlign w:val="center"/>
          </w:tcPr>
          <w:p w:rsidR="0029667E" w:rsidRDefault="0029667E">
            <w:pPr>
              <w:widowControl/>
              <w:snapToGrid w:val="0"/>
              <w:spacing w:line="240" w:lineRule="auto"/>
              <w:ind w:firstLineChars="0" w:firstLine="0"/>
              <w:jc w:val="center"/>
              <w:textAlignment w:val="center"/>
              <w:rPr>
                <w:color w:val="000000"/>
                <w:kern w:val="0"/>
                <w:sz w:val="24"/>
                <w:lang w:bidi="ar"/>
              </w:rPr>
            </w:pPr>
          </w:p>
        </w:tc>
        <w:tc>
          <w:tcPr>
            <w:tcW w:w="1140"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支线</w:t>
            </w:r>
            <w:r>
              <w:rPr>
                <w:color w:val="000000"/>
                <w:kern w:val="0"/>
                <w:sz w:val="24"/>
                <w:lang w:bidi="ar"/>
              </w:rPr>
              <w:t>2</w:t>
            </w:r>
          </w:p>
        </w:tc>
        <w:tc>
          <w:tcPr>
            <w:tcW w:w="3435"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三级公路结合城市支路</w:t>
            </w:r>
          </w:p>
        </w:tc>
        <w:tc>
          <w:tcPr>
            <w:tcW w:w="1680"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0.</w:t>
            </w:r>
            <w:r>
              <w:rPr>
                <w:rFonts w:hint="eastAsia"/>
                <w:color w:val="000000"/>
                <w:kern w:val="0"/>
                <w:sz w:val="24"/>
                <w:lang w:bidi="ar"/>
              </w:rPr>
              <w:t>1</w:t>
            </w:r>
            <w:r>
              <w:rPr>
                <w:color w:val="000000"/>
                <w:kern w:val="0"/>
                <w:sz w:val="24"/>
                <w:lang w:bidi="ar"/>
              </w:rPr>
              <w:t>09</w:t>
            </w:r>
          </w:p>
        </w:tc>
        <w:tc>
          <w:tcPr>
            <w:tcW w:w="1537"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20</w:t>
            </w:r>
          </w:p>
        </w:tc>
      </w:tr>
      <w:tr w:rsidR="0029667E">
        <w:trPr>
          <w:trHeight w:val="567"/>
          <w:jc w:val="center"/>
        </w:trPr>
        <w:tc>
          <w:tcPr>
            <w:tcW w:w="2218" w:type="dxa"/>
            <w:gridSpan w:val="2"/>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新新公路</w:t>
            </w:r>
          </w:p>
        </w:tc>
        <w:tc>
          <w:tcPr>
            <w:tcW w:w="3435"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680"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0.918</w:t>
            </w:r>
          </w:p>
        </w:tc>
        <w:tc>
          <w:tcPr>
            <w:tcW w:w="1537"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60</w:t>
            </w:r>
          </w:p>
        </w:tc>
      </w:tr>
      <w:tr w:rsidR="0029667E">
        <w:trPr>
          <w:trHeight w:val="567"/>
          <w:jc w:val="center"/>
        </w:trPr>
        <w:tc>
          <w:tcPr>
            <w:tcW w:w="2218" w:type="dxa"/>
            <w:gridSpan w:val="2"/>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新源路</w:t>
            </w:r>
          </w:p>
        </w:tc>
        <w:tc>
          <w:tcPr>
            <w:tcW w:w="3435"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680"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1.5</w:t>
            </w:r>
          </w:p>
        </w:tc>
        <w:tc>
          <w:tcPr>
            <w:tcW w:w="1537"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rFonts w:hint="eastAsia"/>
                <w:color w:val="000000"/>
                <w:kern w:val="0"/>
                <w:sz w:val="24"/>
                <w:lang w:bidi="ar"/>
              </w:rPr>
              <w:t>40</w:t>
            </w:r>
          </w:p>
        </w:tc>
      </w:tr>
      <w:tr w:rsidR="0029667E">
        <w:trPr>
          <w:trHeight w:val="567"/>
          <w:jc w:val="center"/>
        </w:trPr>
        <w:tc>
          <w:tcPr>
            <w:tcW w:w="2218" w:type="dxa"/>
            <w:gridSpan w:val="2"/>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新源路支线</w:t>
            </w:r>
          </w:p>
        </w:tc>
        <w:tc>
          <w:tcPr>
            <w:tcW w:w="3435"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三级公路结合城市支路</w:t>
            </w:r>
          </w:p>
        </w:tc>
        <w:tc>
          <w:tcPr>
            <w:tcW w:w="1680"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0.305</w:t>
            </w:r>
          </w:p>
        </w:tc>
        <w:tc>
          <w:tcPr>
            <w:tcW w:w="1537"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rFonts w:hint="eastAsia"/>
                <w:color w:val="000000"/>
                <w:kern w:val="0"/>
                <w:sz w:val="24"/>
                <w:lang w:bidi="ar"/>
              </w:rPr>
              <w:t>30</w:t>
            </w:r>
          </w:p>
        </w:tc>
      </w:tr>
      <w:tr w:rsidR="0029667E">
        <w:trPr>
          <w:trHeight w:val="567"/>
          <w:jc w:val="center"/>
        </w:trPr>
        <w:tc>
          <w:tcPr>
            <w:tcW w:w="2218" w:type="dxa"/>
            <w:gridSpan w:val="2"/>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环城路</w:t>
            </w:r>
          </w:p>
        </w:tc>
        <w:tc>
          <w:tcPr>
            <w:tcW w:w="3435"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一级公路结合城市主干路</w:t>
            </w:r>
          </w:p>
        </w:tc>
        <w:tc>
          <w:tcPr>
            <w:tcW w:w="1680"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1.7</w:t>
            </w:r>
          </w:p>
        </w:tc>
        <w:tc>
          <w:tcPr>
            <w:tcW w:w="1537" w:type="dxa"/>
            <w:tcBorders>
              <w:tl2br w:val="nil"/>
              <w:tr2bl w:val="nil"/>
            </w:tcBorders>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60</w:t>
            </w:r>
          </w:p>
        </w:tc>
      </w:tr>
    </w:tbl>
    <w:p w:rsidR="0029667E" w:rsidRDefault="0029667E">
      <w:pPr>
        <w:widowControl/>
        <w:ind w:firstLine="620"/>
        <w:jc w:val="left"/>
        <w:rPr>
          <w:color w:val="000000"/>
          <w:kern w:val="0"/>
          <w:sz w:val="31"/>
          <w:szCs w:val="31"/>
          <w:lang w:bidi="ar"/>
        </w:rPr>
      </w:pPr>
    </w:p>
    <w:p w:rsidR="0029667E" w:rsidRDefault="005F36FF">
      <w:pPr>
        <w:ind w:firstLine="640"/>
        <w:rPr>
          <w:color w:val="000000"/>
          <w:kern w:val="0"/>
          <w:sz w:val="31"/>
          <w:szCs w:val="31"/>
          <w:lang w:bidi="ar"/>
        </w:rPr>
      </w:pPr>
      <w:r>
        <w:t>结合项目开工申请报告、开</w:t>
      </w:r>
      <w:proofErr w:type="gramStart"/>
      <w:r>
        <w:t>工令</w:t>
      </w:r>
      <w:proofErr w:type="gramEnd"/>
      <w:r>
        <w:t>及施工合同等材料，一、二标段</w:t>
      </w:r>
      <w:r>
        <w:t>2020</w:t>
      </w:r>
      <w:r>
        <w:t>年</w:t>
      </w:r>
      <w:r>
        <w:t>9</w:t>
      </w:r>
      <w:r>
        <w:t>月</w:t>
      </w:r>
      <w:r>
        <w:t>11</w:t>
      </w:r>
      <w:r>
        <w:t>日开始施工，总工期</w:t>
      </w:r>
      <w:r>
        <w:t>22</w:t>
      </w:r>
      <w:r>
        <w:t>个月，按合同约定应于</w:t>
      </w:r>
      <w:r>
        <w:t>2022</w:t>
      </w:r>
      <w:r>
        <w:t>年</w:t>
      </w:r>
      <w:r>
        <w:t>7</w:t>
      </w:r>
      <w:r>
        <w:t>月</w:t>
      </w:r>
      <w:r>
        <w:t>11</w:t>
      </w:r>
      <w:r>
        <w:t>日前完工，实际一标段工期滞后约</w:t>
      </w:r>
      <w:r>
        <w:t>17</w:t>
      </w:r>
      <w:r>
        <w:t>个月，二标段工期滞后约</w:t>
      </w:r>
      <w:r>
        <w:t>14</w:t>
      </w:r>
      <w:r>
        <w:t>个月。根据现场核查沟通情况，主要原因是涉及专业管线迁移及用地问题</w:t>
      </w:r>
      <w:proofErr w:type="gramStart"/>
      <w:r>
        <w:t>征拆工作</w:t>
      </w:r>
      <w:proofErr w:type="gramEnd"/>
      <w:r>
        <w:t>涉及群众赔偿与搬迁问题，难以按原定计划时间完成，施工方暂缓施工，但未见工程延期手续，实施程序规范性不足。</w:t>
      </w:r>
    </w:p>
    <w:p w:rsidR="0029667E" w:rsidRDefault="005F36FF">
      <w:pPr>
        <w:widowControl/>
        <w:ind w:firstLine="620"/>
        <w:jc w:val="left"/>
      </w:pPr>
      <w:r>
        <w:rPr>
          <w:color w:val="000000"/>
          <w:kern w:val="0"/>
          <w:sz w:val="31"/>
          <w:szCs w:val="31"/>
          <w:lang w:bidi="ar"/>
        </w:rPr>
        <w:t>目前一、二标段均未完成交工验收手续，一标段已于</w:t>
      </w:r>
      <w:r>
        <w:rPr>
          <w:color w:val="000000"/>
          <w:kern w:val="0"/>
          <w:sz w:val="31"/>
          <w:szCs w:val="31"/>
          <w:lang w:bidi="ar"/>
        </w:rPr>
        <w:t>2024</w:t>
      </w:r>
      <w:r>
        <w:rPr>
          <w:color w:val="000000"/>
          <w:kern w:val="0"/>
          <w:sz w:val="31"/>
          <w:szCs w:val="31"/>
          <w:lang w:bidi="ar"/>
        </w:rPr>
        <w:t>年</w:t>
      </w:r>
      <w:r>
        <w:rPr>
          <w:color w:val="000000"/>
          <w:kern w:val="0"/>
          <w:sz w:val="31"/>
          <w:szCs w:val="31"/>
          <w:lang w:bidi="ar"/>
        </w:rPr>
        <w:t>7</w:t>
      </w:r>
      <w:r>
        <w:rPr>
          <w:color w:val="000000"/>
          <w:kern w:val="0"/>
          <w:sz w:val="31"/>
          <w:szCs w:val="31"/>
          <w:lang w:bidi="ar"/>
        </w:rPr>
        <w:t>月</w:t>
      </w:r>
      <w:r>
        <w:rPr>
          <w:color w:val="000000"/>
          <w:kern w:val="0"/>
          <w:sz w:val="31"/>
          <w:szCs w:val="31"/>
          <w:lang w:bidi="ar"/>
        </w:rPr>
        <w:t>1</w:t>
      </w:r>
      <w:r>
        <w:rPr>
          <w:color w:val="000000"/>
          <w:kern w:val="0"/>
          <w:sz w:val="31"/>
          <w:szCs w:val="31"/>
          <w:lang w:bidi="ar"/>
        </w:rPr>
        <w:t>日向广州市交通工程质量监督站提交《广州市交通建设项目交工质量核验申请书》，二标段计划于</w:t>
      </w:r>
      <w:r>
        <w:rPr>
          <w:color w:val="000000"/>
          <w:kern w:val="0"/>
          <w:sz w:val="31"/>
          <w:szCs w:val="31"/>
          <w:lang w:bidi="ar"/>
        </w:rPr>
        <w:t>2024</w:t>
      </w:r>
      <w:r>
        <w:rPr>
          <w:color w:val="000000"/>
          <w:kern w:val="0"/>
          <w:sz w:val="31"/>
          <w:szCs w:val="31"/>
          <w:lang w:bidi="ar"/>
        </w:rPr>
        <w:t>年</w:t>
      </w:r>
      <w:r>
        <w:rPr>
          <w:color w:val="000000"/>
          <w:kern w:val="0"/>
          <w:sz w:val="31"/>
          <w:szCs w:val="31"/>
          <w:lang w:bidi="ar"/>
        </w:rPr>
        <w:t>9</w:t>
      </w:r>
      <w:r>
        <w:rPr>
          <w:color w:val="000000"/>
          <w:kern w:val="0"/>
          <w:sz w:val="31"/>
          <w:szCs w:val="31"/>
          <w:lang w:bidi="ar"/>
        </w:rPr>
        <w:t>月办理交工验收手续。</w:t>
      </w:r>
      <w:r>
        <w:t>截至评价日，项目新建及改造道路已实现通车。</w:t>
      </w:r>
    </w:p>
    <w:p w:rsidR="0029667E" w:rsidRDefault="005F36FF">
      <w:pPr>
        <w:pStyle w:val="2"/>
        <w:ind w:firstLine="640"/>
        <w:rPr>
          <w:rFonts w:cs="Times New Roman"/>
        </w:rPr>
      </w:pPr>
      <w:bookmarkStart w:id="25" w:name="_Toc28558"/>
      <w:bookmarkStart w:id="26" w:name="_Toc1955"/>
      <w:bookmarkStart w:id="27" w:name="_Toc27147"/>
      <w:bookmarkStart w:id="28" w:name="_Toc11495"/>
      <w:r>
        <w:rPr>
          <w:rFonts w:cs="Times New Roman"/>
        </w:rPr>
        <w:t>二、绩效评价概述</w:t>
      </w:r>
      <w:bookmarkEnd w:id="25"/>
      <w:bookmarkEnd w:id="26"/>
      <w:bookmarkEnd w:id="27"/>
      <w:bookmarkEnd w:id="28"/>
    </w:p>
    <w:p w:rsidR="0029667E" w:rsidRDefault="005F36FF">
      <w:pPr>
        <w:pStyle w:val="2"/>
        <w:ind w:firstLine="640"/>
        <w:rPr>
          <w:rFonts w:cs="Times New Roman"/>
          <w:snapToGrid w:val="0"/>
        </w:rPr>
      </w:pPr>
      <w:bookmarkStart w:id="29" w:name="_Toc22769"/>
      <w:bookmarkStart w:id="30" w:name="_Toc17254"/>
      <w:bookmarkStart w:id="31" w:name="_Toc19420"/>
      <w:bookmarkStart w:id="32" w:name="_Toc8141"/>
      <w:r>
        <w:rPr>
          <w:rFonts w:cs="Times New Roman"/>
          <w:snapToGrid w:val="0"/>
        </w:rPr>
        <w:t>（一）评价目的。</w:t>
      </w:r>
      <w:bookmarkEnd w:id="29"/>
      <w:bookmarkEnd w:id="30"/>
      <w:bookmarkEnd w:id="31"/>
      <w:bookmarkEnd w:id="32"/>
    </w:p>
    <w:p w:rsidR="0029667E" w:rsidRDefault="005F36FF">
      <w:pPr>
        <w:ind w:firstLine="640"/>
      </w:pPr>
      <w:r>
        <w:t>重点项目绩效评价旨在贯彻落实国家、省、市的重大政策措施、重点民生领域、资金规模较大或社会关注度较高的项目实施重点绩效评价，运用科学、规范、合理的评价方法、评价指标和评分标准，对项目立项、资金落实、资金管理、项目管理、经济性、效率性、效果性及公平性等进行</w:t>
      </w:r>
      <w:r>
        <w:t>客观、公正的分析和评判，评价项目产出效益实现程度，总结项目实施优点、发现存在问题，并分析问题成因，提出进一步加强资金管理和完善政策的建议，提高财政资金的使用效益。</w:t>
      </w:r>
    </w:p>
    <w:p w:rsidR="0029667E" w:rsidRDefault="005F36FF">
      <w:pPr>
        <w:pStyle w:val="2"/>
        <w:ind w:firstLine="640"/>
        <w:rPr>
          <w:rFonts w:cs="Times New Roman"/>
          <w:snapToGrid w:val="0"/>
        </w:rPr>
      </w:pPr>
      <w:bookmarkStart w:id="33" w:name="_Toc11601"/>
      <w:bookmarkStart w:id="34" w:name="_Toc18693"/>
      <w:bookmarkStart w:id="35" w:name="_Toc12547"/>
      <w:bookmarkStart w:id="36" w:name="_Toc699"/>
      <w:r>
        <w:rPr>
          <w:rFonts w:cs="Times New Roman"/>
          <w:snapToGrid w:val="0"/>
        </w:rPr>
        <w:t>（二）评价设计与实施。</w:t>
      </w:r>
      <w:bookmarkEnd w:id="33"/>
      <w:bookmarkEnd w:id="34"/>
      <w:bookmarkEnd w:id="35"/>
      <w:bookmarkEnd w:id="36"/>
    </w:p>
    <w:p w:rsidR="0029667E" w:rsidRDefault="005F36FF">
      <w:pPr>
        <w:pStyle w:val="3"/>
        <w:ind w:firstLine="640"/>
      </w:pPr>
      <w:r>
        <w:t>1.</w:t>
      </w:r>
      <w:r>
        <w:t>评价依据。</w:t>
      </w:r>
    </w:p>
    <w:p w:rsidR="0029667E" w:rsidRDefault="005F36FF">
      <w:pPr>
        <w:ind w:firstLine="640"/>
      </w:pPr>
      <w:r>
        <w:t>（</w:t>
      </w:r>
      <w:r>
        <w:t>1</w:t>
      </w:r>
      <w:r>
        <w:t>）国家、省、市有关资金管理及绩效评价文件。</w:t>
      </w:r>
    </w:p>
    <w:p w:rsidR="0029667E" w:rsidRDefault="005F36FF">
      <w:pPr>
        <w:ind w:firstLine="640"/>
      </w:pPr>
      <w:r>
        <w:rPr>
          <w:rFonts w:ascii="宋体" w:eastAsia="宋体" w:hAnsi="宋体" w:cs="宋体" w:hint="eastAsia"/>
        </w:rPr>
        <w:t>①</w:t>
      </w:r>
      <w:r>
        <w:t>《关于全面实施预算绩效管理的意见》（中发〔</w:t>
      </w:r>
      <w:r>
        <w:t>2018</w:t>
      </w:r>
      <w:r>
        <w:t>〕</w:t>
      </w:r>
      <w:r>
        <w:t>34</w:t>
      </w:r>
      <w:r>
        <w:t>号）；</w:t>
      </w:r>
    </w:p>
    <w:p w:rsidR="0029667E" w:rsidRDefault="005F36FF">
      <w:pPr>
        <w:ind w:firstLine="640"/>
      </w:pPr>
      <w:r>
        <w:rPr>
          <w:rFonts w:ascii="宋体" w:eastAsia="宋体" w:hAnsi="宋体" w:cs="宋体" w:hint="eastAsia"/>
        </w:rPr>
        <w:t>②</w:t>
      </w:r>
      <w:r>
        <w:t>《关于贯彻落实</w:t>
      </w:r>
      <w:r>
        <w:t>&lt;</w:t>
      </w:r>
      <w:r>
        <w:t>中共中央</w:t>
      </w:r>
      <w:r>
        <w:t xml:space="preserve"> </w:t>
      </w:r>
      <w:r>
        <w:t>国务院关于全面实施预算绩效管理的意见</w:t>
      </w:r>
      <w:r>
        <w:t>&gt;</w:t>
      </w:r>
      <w:r>
        <w:t>的通知》（财预〔</w:t>
      </w:r>
      <w:r>
        <w:t>2018</w:t>
      </w:r>
      <w:r>
        <w:t>〕</w:t>
      </w:r>
      <w:r>
        <w:t>167</w:t>
      </w:r>
      <w:r>
        <w:t>号）；</w:t>
      </w:r>
    </w:p>
    <w:p w:rsidR="0029667E" w:rsidRDefault="005F36FF">
      <w:pPr>
        <w:ind w:firstLine="640"/>
      </w:pPr>
      <w:r>
        <w:rPr>
          <w:rFonts w:ascii="宋体" w:eastAsia="宋体" w:hAnsi="宋体" w:cs="宋体" w:hint="eastAsia"/>
        </w:rPr>
        <w:t>③</w:t>
      </w:r>
      <w:r>
        <w:t>《项目支出绩效评价管理办法》（财预〔</w:t>
      </w:r>
      <w:r>
        <w:t>2020</w:t>
      </w:r>
      <w:r>
        <w:t>〕</w:t>
      </w:r>
      <w:r>
        <w:t>10</w:t>
      </w:r>
      <w:r>
        <w:t>号）；</w:t>
      </w:r>
    </w:p>
    <w:p w:rsidR="0029667E" w:rsidRDefault="005F36FF">
      <w:pPr>
        <w:ind w:firstLine="640"/>
      </w:pPr>
      <w:r>
        <w:rPr>
          <w:rFonts w:ascii="宋体" w:eastAsia="宋体" w:hAnsi="宋体" w:cs="宋体" w:hint="eastAsia"/>
        </w:rPr>
        <w:t>④</w:t>
      </w:r>
      <w:r>
        <w:t>《关于印发</w:t>
      </w:r>
      <w:r>
        <w:t>&lt;</w:t>
      </w:r>
      <w:r>
        <w:t>广东省财政支出绩效评价试行方案</w:t>
      </w:r>
      <w:r>
        <w:t>&gt;</w:t>
      </w:r>
      <w:r>
        <w:t>的通知》（</w:t>
      </w:r>
      <w:proofErr w:type="gramStart"/>
      <w:r>
        <w:t>粤财评〔</w:t>
      </w:r>
      <w:r>
        <w:t>2004</w:t>
      </w:r>
      <w:r>
        <w:t>〕</w:t>
      </w:r>
      <w:proofErr w:type="gramEnd"/>
      <w:r>
        <w:t>1</w:t>
      </w:r>
      <w:r>
        <w:t>号）；</w:t>
      </w:r>
    </w:p>
    <w:p w:rsidR="0029667E" w:rsidRDefault="005F36FF">
      <w:pPr>
        <w:ind w:firstLine="640"/>
      </w:pPr>
      <w:r>
        <w:rPr>
          <w:rFonts w:ascii="宋体" w:eastAsia="宋体" w:hAnsi="宋体" w:cs="宋体" w:hint="eastAsia"/>
        </w:rPr>
        <w:t>⑤</w:t>
      </w:r>
      <w:r>
        <w:t>《关于印发</w:t>
      </w:r>
      <w:r>
        <w:t>&lt;</w:t>
      </w:r>
      <w:r>
        <w:t>广东省财政预算绩效指标库</w:t>
      </w:r>
      <w:r>
        <w:t>&gt;</w:t>
      </w:r>
      <w:r>
        <w:t>和</w:t>
      </w:r>
      <w:r>
        <w:t>&lt;</w:t>
      </w:r>
      <w:r>
        <w:t>广东省财政预算绩效指标库管理暂行办法</w:t>
      </w:r>
      <w:r>
        <w:t>&gt;</w:t>
      </w:r>
      <w:r>
        <w:t>的通知》（</w:t>
      </w:r>
      <w:proofErr w:type="gramStart"/>
      <w:r>
        <w:t>粤财绩〔</w:t>
      </w:r>
      <w:r>
        <w:t>2018</w:t>
      </w:r>
      <w:r>
        <w:t>〕</w:t>
      </w:r>
      <w:proofErr w:type="gramEnd"/>
      <w:r>
        <w:t>3</w:t>
      </w:r>
      <w:r>
        <w:t>号）；</w:t>
      </w:r>
    </w:p>
    <w:p w:rsidR="0029667E" w:rsidRDefault="005F36FF">
      <w:pPr>
        <w:ind w:firstLine="640"/>
      </w:pPr>
      <w:r>
        <w:rPr>
          <w:rFonts w:ascii="宋体" w:eastAsia="宋体" w:hAnsi="宋体" w:cs="宋体" w:hint="eastAsia"/>
        </w:rPr>
        <w:t>⑥</w:t>
      </w:r>
      <w:r>
        <w:t>《广东省人民政府关于全面实施预算绩效管理的若干意见》（粤发〔</w:t>
      </w:r>
      <w:r>
        <w:t>2019</w:t>
      </w:r>
      <w:r>
        <w:t>〕</w:t>
      </w:r>
      <w:r>
        <w:t>5</w:t>
      </w:r>
      <w:r>
        <w:t>号）；</w:t>
      </w:r>
    </w:p>
    <w:p w:rsidR="0029667E" w:rsidRDefault="005F36FF">
      <w:pPr>
        <w:ind w:firstLine="640"/>
      </w:pPr>
      <w:r>
        <w:rPr>
          <w:rFonts w:ascii="宋体" w:eastAsia="宋体" w:hAnsi="宋体" w:cs="宋体" w:hint="eastAsia"/>
        </w:rPr>
        <w:t>⑦</w:t>
      </w:r>
      <w:r>
        <w:t>《中共广州市委广州市人民政府关于全面实施预算绩效管理的实施意见》；</w:t>
      </w:r>
    </w:p>
    <w:p w:rsidR="0029667E" w:rsidRDefault="005F36FF">
      <w:pPr>
        <w:ind w:firstLine="640"/>
      </w:pPr>
      <w:r>
        <w:rPr>
          <w:rFonts w:ascii="宋体" w:eastAsia="宋体" w:hAnsi="宋体" w:cs="宋体" w:hint="eastAsia"/>
        </w:rPr>
        <w:t>⑧</w:t>
      </w:r>
      <w:r>
        <w:t>《广州市财政局关于印发</w:t>
      </w:r>
      <w:r>
        <w:t>&lt;</w:t>
      </w:r>
      <w:r>
        <w:t>预算绩效管理办法</w:t>
      </w:r>
      <w:r>
        <w:t>&gt;</w:t>
      </w:r>
      <w:r>
        <w:t>的通知》（</w:t>
      </w:r>
      <w:proofErr w:type="gramStart"/>
      <w:r>
        <w:t>穗财绩</w:t>
      </w:r>
      <w:proofErr w:type="gramEnd"/>
      <w:r>
        <w:t>〔</w:t>
      </w:r>
      <w:r>
        <w:t>2019</w:t>
      </w:r>
      <w:r>
        <w:t>〕</w:t>
      </w:r>
      <w:r>
        <w:t>48</w:t>
      </w:r>
      <w:r>
        <w:t>号）；</w:t>
      </w:r>
    </w:p>
    <w:p w:rsidR="0029667E" w:rsidRDefault="005F36FF">
      <w:pPr>
        <w:ind w:firstLine="640"/>
      </w:pPr>
      <w:r>
        <w:rPr>
          <w:rFonts w:ascii="宋体" w:eastAsia="宋体" w:hAnsi="宋体" w:cs="宋体" w:hint="eastAsia"/>
        </w:rPr>
        <w:t>⑨</w:t>
      </w:r>
      <w:r>
        <w:t>《广州市增城区财政局关于开展</w:t>
      </w:r>
      <w:r>
        <w:t>2024</w:t>
      </w:r>
      <w:r>
        <w:t>年财政评价工作的通知》（增财〔</w:t>
      </w:r>
      <w:r>
        <w:t>2024</w:t>
      </w:r>
      <w:r>
        <w:t>〕</w:t>
      </w:r>
      <w:r>
        <w:t>178</w:t>
      </w:r>
      <w:r>
        <w:t>号）；</w:t>
      </w:r>
    </w:p>
    <w:p w:rsidR="0029667E" w:rsidRDefault="005F36FF">
      <w:pPr>
        <w:ind w:firstLine="640"/>
      </w:pPr>
      <w:r>
        <w:rPr>
          <w:rFonts w:ascii="宋体" w:eastAsia="宋体" w:hAnsi="宋体" w:cs="宋体" w:hint="eastAsia"/>
        </w:rPr>
        <w:t>⑩</w:t>
      </w:r>
      <w:r>
        <w:t>《广州市增城区关于印发</w:t>
      </w:r>
      <w:r>
        <w:t>2024</w:t>
      </w:r>
      <w:r>
        <w:t>年增城区级财政资金支出绩效评价工作方案的通知》（增财〔</w:t>
      </w:r>
      <w:r>
        <w:t>2024</w:t>
      </w:r>
      <w:r>
        <w:t>〕</w:t>
      </w:r>
      <w:r>
        <w:t>212</w:t>
      </w:r>
      <w:r>
        <w:t>号）。</w:t>
      </w:r>
    </w:p>
    <w:p w:rsidR="0029667E" w:rsidRDefault="005F36FF">
      <w:pPr>
        <w:ind w:firstLine="640"/>
      </w:pPr>
      <w:r>
        <w:t>（</w:t>
      </w:r>
      <w:r>
        <w:t>2</w:t>
      </w:r>
      <w:r>
        <w:t>）区道路养护中心提供的相关文件。</w:t>
      </w:r>
    </w:p>
    <w:p w:rsidR="0029667E" w:rsidRDefault="005F36FF">
      <w:pPr>
        <w:widowControl/>
        <w:ind w:firstLine="640"/>
        <w:jc w:val="left"/>
      </w:pPr>
      <w:r>
        <w:rPr>
          <w:rFonts w:ascii="宋体" w:eastAsia="宋体" w:hAnsi="宋体" w:cs="宋体" w:hint="eastAsia"/>
        </w:rPr>
        <w:t>①</w:t>
      </w:r>
      <w:r>
        <w:t>《广州市增城区人民政府办公室关于轨道交通项目规划建设工作的会议纪要（二十五）》（</w:t>
      </w:r>
      <w:proofErr w:type="gramStart"/>
      <w:r>
        <w:rPr>
          <w:color w:val="000000"/>
          <w:kern w:val="0"/>
          <w:sz w:val="31"/>
          <w:szCs w:val="31"/>
          <w:lang w:bidi="ar"/>
        </w:rPr>
        <w:t>增府会纪</w:t>
      </w:r>
      <w:proofErr w:type="gramEnd"/>
      <w:r>
        <w:rPr>
          <w:color w:val="000000"/>
          <w:kern w:val="0"/>
          <w:sz w:val="31"/>
          <w:szCs w:val="31"/>
          <w:lang w:bidi="ar"/>
        </w:rPr>
        <w:t>〔</w:t>
      </w:r>
      <w:r>
        <w:rPr>
          <w:color w:val="000000"/>
          <w:kern w:val="0"/>
          <w:sz w:val="31"/>
          <w:szCs w:val="31"/>
          <w:lang w:bidi="ar"/>
        </w:rPr>
        <w:t>2019</w:t>
      </w:r>
      <w:r>
        <w:rPr>
          <w:color w:val="000000"/>
          <w:kern w:val="0"/>
          <w:sz w:val="31"/>
          <w:szCs w:val="31"/>
          <w:lang w:bidi="ar"/>
        </w:rPr>
        <w:t>〕</w:t>
      </w:r>
      <w:r>
        <w:rPr>
          <w:color w:val="000000"/>
          <w:kern w:val="0"/>
          <w:sz w:val="31"/>
          <w:szCs w:val="31"/>
          <w:lang w:bidi="ar"/>
        </w:rPr>
        <w:t>27</w:t>
      </w:r>
      <w:r>
        <w:rPr>
          <w:color w:val="000000"/>
          <w:kern w:val="0"/>
          <w:sz w:val="31"/>
          <w:szCs w:val="31"/>
          <w:lang w:bidi="ar"/>
        </w:rPr>
        <w:t>号</w:t>
      </w:r>
      <w:r>
        <w:t>）；</w:t>
      </w:r>
    </w:p>
    <w:p w:rsidR="0029667E" w:rsidRDefault="005F36FF">
      <w:pPr>
        <w:ind w:firstLine="640"/>
      </w:pPr>
      <w:r>
        <w:rPr>
          <w:rFonts w:ascii="宋体" w:eastAsia="宋体" w:hAnsi="宋体" w:cs="宋体" w:hint="eastAsia"/>
        </w:rPr>
        <w:t>②</w:t>
      </w:r>
      <w:r>
        <w:t>《广州市发展和改革委员会关于推进新塘站、增城站周边道路前期工作的会议纪要》（</w:t>
      </w:r>
      <w:proofErr w:type="gramStart"/>
      <w:r>
        <w:t>穗发改会纪</w:t>
      </w:r>
      <w:proofErr w:type="gramEnd"/>
      <w:r>
        <w:rPr>
          <w:color w:val="000000"/>
          <w:kern w:val="0"/>
          <w:sz w:val="31"/>
          <w:szCs w:val="31"/>
          <w:lang w:bidi="ar"/>
        </w:rPr>
        <w:t>〔</w:t>
      </w:r>
      <w:r>
        <w:rPr>
          <w:color w:val="000000"/>
          <w:kern w:val="0"/>
          <w:sz w:val="31"/>
          <w:szCs w:val="31"/>
          <w:lang w:bidi="ar"/>
        </w:rPr>
        <w:t>2018</w:t>
      </w:r>
      <w:r>
        <w:rPr>
          <w:color w:val="000000"/>
          <w:kern w:val="0"/>
          <w:sz w:val="31"/>
          <w:szCs w:val="31"/>
          <w:lang w:bidi="ar"/>
        </w:rPr>
        <w:t>〕</w:t>
      </w:r>
      <w:r>
        <w:t>18</w:t>
      </w:r>
      <w:r>
        <w:t>号）；</w:t>
      </w:r>
    </w:p>
    <w:p w:rsidR="0029667E" w:rsidRDefault="005F36FF">
      <w:pPr>
        <w:ind w:firstLine="640"/>
      </w:pPr>
      <w:r>
        <w:rPr>
          <w:rFonts w:ascii="宋体" w:eastAsia="宋体" w:hAnsi="宋体" w:cs="宋体" w:hint="eastAsia"/>
        </w:rPr>
        <w:t>③</w:t>
      </w:r>
      <w:r>
        <w:t>《广州市增城区发展和改革局关于新塘站片区路网</w:t>
      </w:r>
      <w:r>
        <w:t>-</w:t>
      </w:r>
      <w:r>
        <w:t>纵一路、新源路及汽车城大道建设工程项目可行性研究报告的批复》（增发改投〔</w:t>
      </w:r>
      <w:r>
        <w:t>2019</w:t>
      </w:r>
      <w:r>
        <w:t>〕</w:t>
      </w:r>
      <w:r>
        <w:t>129</w:t>
      </w:r>
      <w:r>
        <w:t>号）；</w:t>
      </w:r>
    </w:p>
    <w:p w:rsidR="0029667E" w:rsidRDefault="005F36FF">
      <w:pPr>
        <w:ind w:firstLine="640"/>
      </w:pPr>
      <w:r>
        <w:rPr>
          <w:rFonts w:ascii="宋体" w:eastAsia="宋体" w:hAnsi="宋体" w:cs="宋体" w:hint="eastAsia"/>
        </w:rPr>
        <w:t>④</w:t>
      </w:r>
      <w:r>
        <w:t>《广州市增城区发展和改革局关于调整新塘站片区路网一纵一路、新源路及汽车城大道建设工程项目建设规模和建设内容的复函》（穗</w:t>
      </w:r>
      <w:proofErr w:type="gramStart"/>
      <w:r>
        <w:t>增发改函〔</w:t>
      </w:r>
      <w:r>
        <w:t>2021</w:t>
      </w:r>
      <w:r>
        <w:t>〕</w:t>
      </w:r>
      <w:proofErr w:type="gramEnd"/>
      <w:r>
        <w:t>412</w:t>
      </w:r>
      <w:r>
        <w:t>号）；</w:t>
      </w:r>
    </w:p>
    <w:p w:rsidR="0029667E" w:rsidRDefault="005F36FF">
      <w:pPr>
        <w:ind w:firstLine="640"/>
      </w:pPr>
      <w:r>
        <w:rPr>
          <w:rFonts w:ascii="宋体" w:eastAsia="宋体" w:hAnsi="宋体" w:cs="宋体" w:hint="eastAsia"/>
        </w:rPr>
        <w:t>⑤</w:t>
      </w:r>
      <w:r>
        <w:t>《广州东部交通枢纽中心片区基础设施配套项目管理办法（试行）》；</w:t>
      </w:r>
    </w:p>
    <w:p w:rsidR="0029667E" w:rsidRDefault="005F36FF">
      <w:pPr>
        <w:ind w:firstLine="640"/>
      </w:pPr>
      <w:r>
        <w:rPr>
          <w:rFonts w:ascii="宋体" w:eastAsia="宋体" w:hAnsi="宋体" w:cs="宋体" w:hint="eastAsia"/>
        </w:rPr>
        <w:t>⑥</w:t>
      </w:r>
      <w:r>
        <w:rPr>
          <w:szCs w:val="32"/>
        </w:rPr>
        <w:t>其他与项目相关的材料。</w:t>
      </w:r>
    </w:p>
    <w:p w:rsidR="0029667E" w:rsidRDefault="005F36FF">
      <w:pPr>
        <w:pStyle w:val="3"/>
        <w:ind w:firstLine="640"/>
      </w:pPr>
      <w:r>
        <w:t>2.</w:t>
      </w:r>
      <w:r>
        <w:t>评价方法选择。</w:t>
      </w:r>
    </w:p>
    <w:p w:rsidR="0029667E" w:rsidRDefault="005F36FF">
      <w:pPr>
        <w:ind w:firstLine="640"/>
      </w:pPr>
      <w:r>
        <w:t>本次绩效评价以书面材料核查、访谈、座谈、问卷调查、选点抽查为基础，综合运用目标结果比较法、因素分析法、公众评判法等方法对项目决策、项目过程、项目产出和</w:t>
      </w:r>
      <w:r>
        <w:t>项目效益方面情况进行综合评价，对项目实施效果进行综合分析，评价指标分析主要采用定量指标分析，并辅以部分定性分析。</w:t>
      </w:r>
    </w:p>
    <w:p w:rsidR="0029667E" w:rsidRDefault="005F36FF">
      <w:pPr>
        <w:ind w:firstLine="640"/>
      </w:pPr>
      <w:r>
        <w:t>评价方法包括：</w:t>
      </w:r>
      <w:r>
        <w:rPr>
          <w:b/>
        </w:rPr>
        <w:t>一是</w:t>
      </w:r>
      <w:r>
        <w:t>目标结果比较法，通过对项目实施预期绩效目标与最终实施效果进行比较，综合分析绩效目标实现程度；</w:t>
      </w:r>
      <w:r>
        <w:rPr>
          <w:b/>
        </w:rPr>
        <w:t>二是</w:t>
      </w:r>
      <w:r>
        <w:t>因素分析法，通过综合分析影响绩效目标实现、实施效果的内外因素评价绩效目标实现程度，将影响投入财政支出和项目产出效益的各项因素罗列出来进行分析，计算投入产出进行评价；</w:t>
      </w:r>
      <w:r>
        <w:rPr>
          <w:b/>
        </w:rPr>
        <w:t>三是</w:t>
      </w:r>
      <w:r>
        <w:t>公众评判法，通过专家评估、公众问卷及抽样调查等对财政支出效果、项目实施效益进行评判，评价项目年度绩效目标的实现程度，</w:t>
      </w:r>
      <w:r>
        <w:t>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rsidR="0029667E" w:rsidRDefault="005F36FF">
      <w:pPr>
        <w:pStyle w:val="3"/>
        <w:ind w:firstLine="640"/>
      </w:pPr>
      <w:r>
        <w:t>3.</w:t>
      </w:r>
      <w:r>
        <w:t>评价工作过程。</w:t>
      </w:r>
    </w:p>
    <w:p w:rsidR="0029667E" w:rsidRDefault="005F36FF">
      <w:pPr>
        <w:pStyle w:val="4"/>
        <w:ind w:firstLine="640"/>
        <w:rPr>
          <w:rFonts w:cs="Times New Roman"/>
        </w:rPr>
      </w:pPr>
      <w:r>
        <w:rPr>
          <w:rFonts w:cs="Times New Roman"/>
        </w:rPr>
        <w:t>（</w:t>
      </w:r>
      <w:r>
        <w:rPr>
          <w:rFonts w:cs="Times New Roman"/>
        </w:rPr>
        <w:t>1</w:t>
      </w:r>
      <w:r>
        <w:rPr>
          <w:rFonts w:cs="Times New Roman"/>
        </w:rPr>
        <w:t>）前期准备。</w:t>
      </w:r>
    </w:p>
    <w:p w:rsidR="0029667E" w:rsidRDefault="005F36FF">
      <w:pPr>
        <w:ind w:firstLine="640"/>
      </w:pPr>
      <w:r>
        <w:rPr>
          <w:rFonts w:ascii="宋体" w:eastAsia="宋体" w:hAnsi="宋体" w:cs="宋体" w:hint="eastAsia"/>
        </w:rPr>
        <w:t>①</w:t>
      </w:r>
      <w:r>
        <w:t>工作方案制定。</w:t>
      </w:r>
    </w:p>
    <w:p w:rsidR="0029667E" w:rsidRDefault="005F36FF">
      <w:pPr>
        <w:ind w:firstLine="640"/>
      </w:pPr>
      <w:r>
        <w:t>根据区道路养护中心提供的资料，完善评价方案的具体内容，包括但不限于项目重点绩效评价指标、满意度调查问卷设计等内容，征求区道路养护中心意见后报送区财政局。</w:t>
      </w:r>
    </w:p>
    <w:p w:rsidR="0029667E" w:rsidRDefault="005F36FF">
      <w:pPr>
        <w:ind w:firstLine="640"/>
      </w:pPr>
      <w:r>
        <w:rPr>
          <w:rFonts w:ascii="宋体" w:eastAsia="宋体" w:hAnsi="宋体" w:cs="宋体" w:hint="eastAsia"/>
        </w:rPr>
        <w:t>②</w:t>
      </w:r>
      <w:r>
        <w:t>专家团队组建。</w:t>
      </w:r>
    </w:p>
    <w:p w:rsidR="0029667E" w:rsidRDefault="005F36FF">
      <w:pPr>
        <w:ind w:firstLine="640"/>
      </w:pPr>
      <w:r>
        <w:t>根据项目性质、特点、实施情况等信息，聘请包括财务（财</w:t>
      </w:r>
      <w:r>
        <w:t>务、政府财政体系领域专家，负责对资金使用合</w:t>
      </w:r>
      <w:proofErr w:type="gramStart"/>
      <w:r>
        <w:t>规</w:t>
      </w:r>
      <w:proofErr w:type="gramEnd"/>
      <w:r>
        <w:t>性进行评价）、</w:t>
      </w:r>
      <w:r>
        <w:rPr>
          <w:rFonts w:hint="eastAsia"/>
        </w:rPr>
        <w:t>工程</w:t>
      </w:r>
      <w:r>
        <w:t>管理与绩效管理（负责对项目实施与管理情况、预期目标与产出效益实现等情况进行评价）等方面的专家组建专家小组，要求专家签署承诺书，明确承诺内容和保密条款。</w:t>
      </w:r>
    </w:p>
    <w:p w:rsidR="0029667E" w:rsidRDefault="005F36FF">
      <w:pPr>
        <w:pStyle w:val="4"/>
        <w:ind w:firstLine="640"/>
        <w:rPr>
          <w:rFonts w:cs="Times New Roman"/>
        </w:rPr>
      </w:pPr>
      <w:r>
        <w:rPr>
          <w:rFonts w:cs="Times New Roman"/>
        </w:rPr>
        <w:t>（</w:t>
      </w:r>
      <w:r>
        <w:rPr>
          <w:rFonts w:cs="Times New Roman"/>
        </w:rPr>
        <w:t>2</w:t>
      </w:r>
      <w:r>
        <w:rPr>
          <w:rFonts w:cs="Times New Roman"/>
        </w:rPr>
        <w:t>）自评材料审核。</w:t>
      </w:r>
    </w:p>
    <w:p w:rsidR="0029667E" w:rsidRDefault="005F36FF">
      <w:pPr>
        <w:ind w:firstLine="640"/>
      </w:pPr>
      <w:r>
        <w:rPr>
          <w:rFonts w:ascii="宋体" w:eastAsia="宋体" w:hAnsi="宋体" w:cs="宋体" w:hint="eastAsia"/>
        </w:rPr>
        <w:t>①</w:t>
      </w:r>
      <w:r>
        <w:t>自评材料收集。</w:t>
      </w:r>
    </w:p>
    <w:p w:rsidR="0029667E" w:rsidRDefault="005F36FF">
      <w:pPr>
        <w:ind w:firstLine="640"/>
      </w:pPr>
      <w:r>
        <w:t>按照区财政局工作安排，区道路养护中心及相关资金使用单位根据绩效自评材料清单，及时提交项目绩效自评材料（含绩效自评表、绩效自评报告及相关佐证材料），</w:t>
      </w:r>
      <w:proofErr w:type="gramStart"/>
      <w:r>
        <w:t>我机构</w:t>
      </w:r>
      <w:proofErr w:type="gramEnd"/>
      <w:r>
        <w:t>对被评价单位所提交材料的完整性、规范性进行初步审核，对于缺少相关材料的要求限期补充齐全。</w:t>
      </w:r>
    </w:p>
    <w:p w:rsidR="0029667E" w:rsidRDefault="005F36FF">
      <w:pPr>
        <w:ind w:firstLine="640"/>
      </w:pPr>
      <w:r>
        <w:rPr>
          <w:rFonts w:ascii="宋体" w:eastAsia="宋体" w:hAnsi="宋体" w:cs="宋体" w:hint="eastAsia"/>
        </w:rPr>
        <w:t>②</w:t>
      </w:r>
      <w:r>
        <w:t>自评材料书面审</w:t>
      </w:r>
      <w:r>
        <w:t>核。</w:t>
      </w:r>
    </w:p>
    <w:p w:rsidR="0029667E" w:rsidRDefault="005F36FF">
      <w:pPr>
        <w:ind w:firstLine="640"/>
      </w:pPr>
      <w:r>
        <w:t>对区道路养护中心提供的绩效自评资料进行收集、分类整理，结合评价思路对自评材料的有关内容进行审核，重点对填报信息的准确性、完整性及相应佐证材料的有效性进行审核，发现项目初步存在的问题，并将审核过程中发现的问题、审核意见记录清楚，汇总</w:t>
      </w:r>
      <w:proofErr w:type="gramStart"/>
      <w:r>
        <w:t>成现场</w:t>
      </w:r>
      <w:proofErr w:type="gramEnd"/>
      <w:r>
        <w:t>核查问题清单，为开展现场核查提供情况参考。</w:t>
      </w:r>
    </w:p>
    <w:p w:rsidR="0029667E" w:rsidRDefault="005F36FF">
      <w:pPr>
        <w:pStyle w:val="4"/>
        <w:ind w:firstLine="640"/>
        <w:rPr>
          <w:rFonts w:cs="Times New Roman"/>
        </w:rPr>
      </w:pPr>
      <w:r>
        <w:rPr>
          <w:rFonts w:cs="Times New Roman"/>
        </w:rPr>
        <w:t>（</w:t>
      </w:r>
      <w:r>
        <w:rPr>
          <w:rFonts w:cs="Times New Roman"/>
        </w:rPr>
        <w:t>3</w:t>
      </w:r>
      <w:r>
        <w:rPr>
          <w:rFonts w:cs="Times New Roman"/>
        </w:rPr>
        <w:t>）现场核查。</w:t>
      </w:r>
    </w:p>
    <w:p w:rsidR="0029667E" w:rsidRDefault="005F36FF">
      <w:pPr>
        <w:ind w:firstLine="640"/>
      </w:pPr>
      <w:r>
        <w:t>根据《广州市增城区财政局关于开展</w:t>
      </w:r>
      <w:r>
        <w:t>2024</w:t>
      </w:r>
      <w:r>
        <w:t>年财政评价工作的通知》（增财〔</w:t>
      </w:r>
      <w:r>
        <w:t>2024</w:t>
      </w:r>
      <w:r>
        <w:t>〕</w:t>
      </w:r>
      <w:r>
        <w:t>178</w:t>
      </w:r>
      <w:r>
        <w:t>号）、《广州市增城区关于印发</w:t>
      </w:r>
      <w:r>
        <w:t>2024</w:t>
      </w:r>
      <w:r>
        <w:t>年增城区级财政资金支出绩效评价工作方案的通知》（增财〔</w:t>
      </w:r>
      <w:r>
        <w:t>2024</w:t>
      </w:r>
      <w:r>
        <w:t>〕</w:t>
      </w:r>
      <w:r>
        <w:t>212</w:t>
      </w:r>
      <w:r>
        <w:t>号）等有关规定和绩效评价现场核查实际操作规程，通过现场座谈与核查评价项目预期产出与效益实现情况进行深入具体、独立客观的了解与核实，现场勘验工作采取选点抽样勘验的方法完成。结合新塘站片区路网</w:t>
      </w:r>
      <w:r>
        <w:t>-</w:t>
      </w:r>
      <w:r>
        <w:t>纵一路、新源路及汽车城大道建设工程项目特点、区域分布、自评材料初审等情况，本次重点绩效评价核查主要以在区道路养护中心开展现场核查座</w:t>
      </w:r>
      <w:r>
        <w:t>谈为主，抽取部分施工</w:t>
      </w:r>
      <w:proofErr w:type="gramStart"/>
      <w:r>
        <w:t>段开展</w:t>
      </w:r>
      <w:proofErr w:type="gramEnd"/>
      <w:r>
        <w:t>现场核查，核查了解</w:t>
      </w:r>
      <w:r>
        <w:t>2023</w:t>
      </w:r>
      <w:r>
        <w:t>年项目相关工作推进与完成情况。</w:t>
      </w:r>
    </w:p>
    <w:p w:rsidR="0029667E" w:rsidRDefault="005F36FF">
      <w:pPr>
        <w:ind w:firstLine="640"/>
      </w:pPr>
      <w:r>
        <w:t>现场核查工作主要包括：</w:t>
      </w:r>
    </w:p>
    <w:p w:rsidR="0029667E" w:rsidRDefault="005F36FF">
      <w:pPr>
        <w:ind w:left="640" w:firstLineChars="0" w:firstLine="0"/>
      </w:pPr>
      <w:r>
        <w:rPr>
          <w:rFonts w:ascii="宋体" w:eastAsia="宋体" w:hAnsi="宋体" w:cs="宋体" w:hint="eastAsia"/>
        </w:rPr>
        <w:t>①</w:t>
      </w:r>
      <w:r>
        <w:t>材料核实。</w:t>
      </w:r>
    </w:p>
    <w:p w:rsidR="0029667E" w:rsidRDefault="005F36FF">
      <w:pPr>
        <w:ind w:firstLine="640"/>
      </w:pPr>
      <w:r>
        <w:t>区道路养护中心及资金使用单位根据要求填报并提供有关评价资料，</w:t>
      </w:r>
      <w:proofErr w:type="gramStart"/>
      <w:r>
        <w:t>我机构</w:t>
      </w:r>
      <w:proofErr w:type="gramEnd"/>
      <w:r>
        <w:t>对各项数据和资料的完整性、准确性进行核实。提供材料需重点注意：</w:t>
      </w:r>
      <w:r>
        <w:rPr>
          <w:b/>
        </w:rPr>
        <w:t>一是</w:t>
      </w:r>
      <w:r>
        <w:t>反映财政资金实施内容的相关材料应齐备，如资金申报和审批材料、相关管理制度、相关单位监督检查证明、资金使用情况证明等材料。</w:t>
      </w:r>
      <w:r>
        <w:rPr>
          <w:b/>
        </w:rPr>
        <w:t>二是</w:t>
      </w:r>
      <w:r>
        <w:t>反映项目实行专账核算的相关资金材料应齐备，如评价基准日前，各类资金到位的进账凭证，资金支出记账凭证等。</w:t>
      </w:r>
      <w:r>
        <w:rPr>
          <w:b/>
        </w:rPr>
        <w:t>三是</w:t>
      </w:r>
      <w:r>
        <w:t>反映项目产出和项目效益的佐证</w:t>
      </w:r>
      <w:r>
        <w:t>材料由业务主管部门或资金使用单位提出并提供给现场评价小组核查。</w:t>
      </w:r>
      <w:r>
        <w:rPr>
          <w:b/>
        </w:rPr>
        <w:t>四是</w:t>
      </w:r>
      <w:r>
        <w:t>现场评价小组在现场核查时提出补充佐证材料的要求，相关单位应在规定时间内提供给现场评价小组核查，相关佐证材料须为原件。</w:t>
      </w:r>
    </w:p>
    <w:p w:rsidR="0029667E" w:rsidRDefault="005F36FF">
      <w:pPr>
        <w:ind w:firstLine="640"/>
      </w:pPr>
      <w:r>
        <w:rPr>
          <w:rFonts w:ascii="宋体" w:eastAsia="宋体" w:hAnsi="宋体" w:cs="宋体" w:hint="eastAsia"/>
        </w:rPr>
        <w:t>②</w:t>
      </w:r>
      <w:r>
        <w:t>询问答辩。</w:t>
      </w:r>
    </w:p>
    <w:p w:rsidR="0029667E" w:rsidRDefault="005F36FF">
      <w:pPr>
        <w:ind w:firstLine="640"/>
      </w:pPr>
      <w:r>
        <w:t>现场评价小组将在核实材料基础上，就项目实施有关问题进行询问，相关负责人需对项目情况做出总结介绍。</w:t>
      </w:r>
    </w:p>
    <w:p w:rsidR="0029667E" w:rsidRDefault="005F36FF">
      <w:pPr>
        <w:ind w:firstLine="640"/>
      </w:pPr>
      <w:r>
        <w:rPr>
          <w:rFonts w:ascii="宋体" w:eastAsia="宋体" w:hAnsi="宋体" w:cs="宋体" w:hint="eastAsia"/>
        </w:rPr>
        <w:t>③</w:t>
      </w:r>
      <w:r>
        <w:t>满意度调查与材料补充。</w:t>
      </w:r>
    </w:p>
    <w:p w:rsidR="0029667E" w:rsidRDefault="005F36FF">
      <w:pPr>
        <w:ind w:firstLine="640"/>
      </w:pPr>
      <w:r>
        <w:t>根据现场核查实际情况形成补充材料清单，区道路养护中心</w:t>
      </w:r>
      <w:proofErr w:type="gramStart"/>
      <w:r>
        <w:t>按照资料</w:t>
      </w:r>
      <w:proofErr w:type="gramEnd"/>
      <w:r>
        <w:t>清单相应补充资料，同时开展项目满意度调查工作。</w:t>
      </w:r>
    </w:p>
    <w:p w:rsidR="0029667E" w:rsidRDefault="005F36FF">
      <w:pPr>
        <w:ind w:firstLine="640"/>
        <w:outlineLvl w:val="3"/>
      </w:pPr>
      <w:r>
        <w:t>（</w:t>
      </w:r>
      <w:r>
        <w:t>4</w:t>
      </w:r>
      <w:r>
        <w:t>）综合评价。</w:t>
      </w:r>
    </w:p>
    <w:p w:rsidR="0029667E" w:rsidRDefault="005F36FF">
      <w:pPr>
        <w:ind w:firstLine="640"/>
      </w:pPr>
      <w:r>
        <w:t>对采集的数据资料进行系统的汇集整理，结合专家意见，按照评价工作方</w:t>
      </w:r>
      <w:r>
        <w:t>案设定的评价指标、标准和方法，对项目产出效益绩效情况进行全面的定量定性分析和综合评价。</w:t>
      </w:r>
    </w:p>
    <w:p w:rsidR="0029667E" w:rsidRDefault="005F36FF">
      <w:pPr>
        <w:ind w:firstLine="640"/>
        <w:outlineLvl w:val="3"/>
      </w:pPr>
      <w:r>
        <w:t>（</w:t>
      </w:r>
      <w:r>
        <w:t>5</w:t>
      </w:r>
      <w:r>
        <w:t>）报告撰写。</w:t>
      </w:r>
    </w:p>
    <w:p w:rsidR="0029667E" w:rsidRDefault="005F36FF">
      <w:pPr>
        <w:ind w:firstLine="640"/>
      </w:pPr>
      <w:r>
        <w:rPr>
          <w:rFonts w:ascii="宋体" w:eastAsia="宋体" w:hAnsi="宋体" w:cs="宋体" w:hint="eastAsia"/>
        </w:rPr>
        <w:t>①</w:t>
      </w:r>
      <w:r>
        <w:t>完成评价报告初稿。</w:t>
      </w:r>
    </w:p>
    <w:p w:rsidR="0029667E" w:rsidRDefault="005F36FF">
      <w:pPr>
        <w:ind w:firstLine="640"/>
      </w:pPr>
      <w:r>
        <w:t>根据评价工作方案设定的评价指标、标准和方法，结合现场评价等情况，对新塘站片区路网</w:t>
      </w:r>
      <w:r>
        <w:t>-</w:t>
      </w:r>
      <w:r>
        <w:t>纵一路、新源路及汽车城大道建设工程项目实施情况采用定量与定性相结合的综合判断法，</w:t>
      </w:r>
    </w:p>
    <w:p w:rsidR="0029667E" w:rsidRDefault="005F36FF">
      <w:pPr>
        <w:ind w:firstLine="640"/>
      </w:pPr>
      <w:r>
        <w:t>将财政资金的绩效实现情况与预期绩效目标进行比较，围绕项目立项、资金落实、资金管理、事项管理、经济性、效率性、效果性等方面进行全面综合分析，采用比对、分析、讨论等方法进行全面论证形成报告初稿。</w:t>
      </w:r>
    </w:p>
    <w:p w:rsidR="0029667E" w:rsidRDefault="005F36FF">
      <w:pPr>
        <w:ind w:firstLine="640"/>
      </w:pPr>
      <w:r>
        <w:rPr>
          <w:rFonts w:ascii="宋体" w:eastAsia="宋体" w:hAnsi="宋体" w:cs="宋体" w:hint="eastAsia"/>
        </w:rPr>
        <w:t>②</w:t>
      </w:r>
      <w:r>
        <w:t>提交增城区财政局审核。</w:t>
      </w:r>
    </w:p>
    <w:p w:rsidR="0029667E" w:rsidRDefault="005F36FF">
      <w:pPr>
        <w:ind w:firstLine="640"/>
      </w:pPr>
      <w:r>
        <w:t>经</w:t>
      </w:r>
      <w:r>
        <w:t>内部审核并修改完善后形成绩效评价报告初稿，报区财政局审核，结合区财政局审核意见修改完善形成征求意见稿。</w:t>
      </w:r>
    </w:p>
    <w:p w:rsidR="0029667E" w:rsidRDefault="005F36FF">
      <w:pPr>
        <w:ind w:firstLine="640"/>
      </w:pPr>
      <w:r>
        <w:rPr>
          <w:rFonts w:ascii="宋体" w:eastAsia="宋体" w:hAnsi="宋体" w:cs="宋体" w:hint="eastAsia"/>
        </w:rPr>
        <w:t>③</w:t>
      </w:r>
      <w:r>
        <w:t>征求被评价单位意见。</w:t>
      </w:r>
    </w:p>
    <w:p w:rsidR="0029667E" w:rsidRDefault="005F36FF">
      <w:pPr>
        <w:ind w:firstLine="640"/>
      </w:pPr>
      <w:r>
        <w:t>将绩效评价报告（征求意见稿）</w:t>
      </w:r>
      <w:proofErr w:type="gramStart"/>
      <w:r>
        <w:t>反馈区</w:t>
      </w:r>
      <w:proofErr w:type="gramEnd"/>
      <w:r>
        <w:t>道路养护中心征求意见，根据反馈意见对评价报告进行完善。</w:t>
      </w:r>
    </w:p>
    <w:p w:rsidR="0029667E" w:rsidRDefault="005F36FF">
      <w:pPr>
        <w:ind w:firstLine="640"/>
        <w:rPr>
          <w:szCs w:val="32"/>
        </w:rPr>
      </w:pPr>
      <w:r>
        <w:rPr>
          <w:rFonts w:ascii="宋体" w:eastAsia="宋体" w:hAnsi="宋体" w:cs="宋体" w:hint="eastAsia"/>
        </w:rPr>
        <w:t>④</w:t>
      </w:r>
      <w:r>
        <w:rPr>
          <w:szCs w:val="32"/>
        </w:rPr>
        <w:t>组织专家对报告复核。</w:t>
      </w:r>
    </w:p>
    <w:p w:rsidR="0029667E" w:rsidRDefault="005F36FF">
      <w:pPr>
        <w:ind w:firstLine="640"/>
        <w:rPr>
          <w:szCs w:val="32"/>
        </w:rPr>
      </w:pPr>
      <w:r>
        <w:rPr>
          <w:szCs w:val="32"/>
        </w:rPr>
        <w:t>按照绩效评价工作要求，组织复核专家对绩效评价报告修改稿进行复核，提出专家复核意见。</w:t>
      </w:r>
    </w:p>
    <w:p w:rsidR="0029667E" w:rsidRDefault="005F36FF">
      <w:pPr>
        <w:ind w:firstLine="640"/>
      </w:pPr>
      <w:r>
        <w:rPr>
          <w:rFonts w:ascii="宋体" w:eastAsia="宋体" w:hAnsi="宋体" w:cs="宋体" w:hint="eastAsia"/>
        </w:rPr>
        <w:t>⑤</w:t>
      </w:r>
      <w:r>
        <w:t>形成正式评价报告。</w:t>
      </w:r>
    </w:p>
    <w:p w:rsidR="0029667E" w:rsidRDefault="005F36FF">
      <w:pPr>
        <w:ind w:firstLine="640"/>
      </w:pPr>
      <w:r>
        <w:rPr>
          <w:rFonts w:hint="eastAsia"/>
          <w:kern w:val="0"/>
          <w:szCs w:val="32"/>
        </w:rPr>
        <w:t>综合专家复核提出的意见</w:t>
      </w:r>
      <w:r>
        <w:t>，完善形成正式评价报告。</w:t>
      </w:r>
    </w:p>
    <w:p w:rsidR="0029667E" w:rsidRDefault="005F36FF">
      <w:pPr>
        <w:pStyle w:val="2"/>
        <w:ind w:firstLine="640"/>
        <w:rPr>
          <w:rFonts w:cs="Times New Roman"/>
        </w:rPr>
      </w:pPr>
      <w:bookmarkStart w:id="37" w:name="_Toc19016"/>
      <w:bookmarkStart w:id="38" w:name="_Toc25164"/>
      <w:bookmarkStart w:id="39" w:name="_Toc9598"/>
      <w:bookmarkStart w:id="40" w:name="_Toc14017"/>
      <w:r>
        <w:rPr>
          <w:rFonts w:cs="Times New Roman"/>
        </w:rPr>
        <w:t>（三）绩效评价指标体系和评分标准方法。</w:t>
      </w:r>
      <w:bookmarkEnd w:id="37"/>
      <w:bookmarkEnd w:id="38"/>
      <w:bookmarkEnd w:id="39"/>
      <w:bookmarkEnd w:id="40"/>
    </w:p>
    <w:p w:rsidR="0029667E" w:rsidRDefault="005F36FF">
      <w:pPr>
        <w:pStyle w:val="3"/>
        <w:ind w:firstLine="640"/>
      </w:pPr>
      <w:bookmarkStart w:id="41" w:name="_Toc135748606"/>
      <w:r>
        <w:t>1.</w:t>
      </w:r>
      <w:r>
        <w:t>指标体系设计的总体思路</w:t>
      </w:r>
      <w:bookmarkEnd w:id="41"/>
      <w:r>
        <w:t>。</w:t>
      </w:r>
    </w:p>
    <w:p w:rsidR="0029667E" w:rsidRDefault="005F36FF">
      <w:pPr>
        <w:ind w:firstLine="640"/>
      </w:pPr>
      <w:bookmarkStart w:id="42" w:name="_Toc135748607"/>
      <w:r>
        <w:t>本次绩效评价指标体系共性指标评价标准主要依据《广州市增城区财政局关于开展</w:t>
      </w:r>
      <w:r>
        <w:t>2024</w:t>
      </w:r>
      <w:r>
        <w:t>年财政评价工作的通知》（增财〔</w:t>
      </w:r>
      <w:r>
        <w:t>2024</w:t>
      </w:r>
      <w:r>
        <w:t>〕</w:t>
      </w:r>
      <w:r>
        <w:t>178</w:t>
      </w:r>
      <w:r>
        <w:t>号）、《广州市增城区关于印发</w:t>
      </w:r>
      <w:r>
        <w:t>2024</w:t>
      </w:r>
      <w:r>
        <w:t>年增城区级财政资金支出绩效评价工作方案的通知》（增财〔</w:t>
      </w:r>
      <w:r>
        <w:t>2024</w:t>
      </w:r>
      <w:r>
        <w:t>〕</w:t>
      </w:r>
      <w:r>
        <w:t>212</w:t>
      </w:r>
      <w:r>
        <w:t>号）有关规定设置；个性化指标预期目标值主要依据《广州市增城区发展和改革局关于新塘站片区路网</w:t>
      </w:r>
      <w:r>
        <w:t>-</w:t>
      </w:r>
      <w:r>
        <w:t>纵一路、新源路及汽车城大道建设工程项目可行性研究报告的批复》（增发改投〔</w:t>
      </w:r>
      <w:r>
        <w:t>2019</w:t>
      </w:r>
      <w:r>
        <w:t>〕</w:t>
      </w:r>
      <w:r>
        <w:t>129</w:t>
      </w:r>
      <w:r>
        <w:t>号）、《广州市增城区发展和改革局关于调整新塘站片区路网一纵一路、新源路及汽车城大道建设工程项目建设规</w:t>
      </w:r>
      <w:r>
        <w:t>模和建设内容的复函》（穗</w:t>
      </w:r>
      <w:proofErr w:type="gramStart"/>
      <w:r>
        <w:t>增发改函〔</w:t>
      </w:r>
      <w:r>
        <w:t>2021</w:t>
      </w:r>
      <w:r>
        <w:t>〕</w:t>
      </w:r>
      <w:proofErr w:type="gramEnd"/>
      <w:r>
        <w:t>412</w:t>
      </w:r>
      <w:r>
        <w:t>号）、《广州东部交通枢纽中心片区基础设施配套项目管理办法（试行）》及各标段合同等文件确定。</w:t>
      </w:r>
    </w:p>
    <w:p w:rsidR="0029667E" w:rsidRDefault="005F36FF">
      <w:pPr>
        <w:pStyle w:val="3"/>
        <w:ind w:firstLine="640"/>
      </w:pPr>
      <w:r>
        <w:t>2.</w:t>
      </w:r>
      <w:r>
        <w:t>指标体系</w:t>
      </w:r>
      <w:bookmarkEnd w:id="42"/>
      <w:r>
        <w:t>。</w:t>
      </w:r>
    </w:p>
    <w:p w:rsidR="0029667E" w:rsidRDefault="005F36FF">
      <w:pPr>
        <w:ind w:firstLine="640"/>
      </w:pPr>
      <w:r>
        <w:t>本次重点绩效评价主要是对新塘站片区路网</w:t>
      </w:r>
      <w:r>
        <w:t>-</w:t>
      </w:r>
      <w:r>
        <w:t>纵一路、新源路及汽车城大道建设工程的预算决策、过程、产出、效益四个方面内容进行考核，</w:t>
      </w:r>
      <w:proofErr w:type="gramStart"/>
      <w:r>
        <w:t>我机构</w:t>
      </w:r>
      <w:proofErr w:type="gramEnd"/>
      <w:r>
        <w:t>结合评价内容相应地选设指标及权重，形成包含</w:t>
      </w:r>
      <w:r>
        <w:t>4</w:t>
      </w:r>
      <w:r>
        <w:t>个一级指标、</w:t>
      </w:r>
      <w:r>
        <w:t>8</w:t>
      </w:r>
      <w:r>
        <w:t>个二级指标、</w:t>
      </w:r>
      <w:r>
        <w:t>17</w:t>
      </w:r>
      <w:r>
        <w:t>个三级指标、</w:t>
      </w:r>
      <w:r>
        <w:t>25</w:t>
      </w:r>
      <w:r>
        <w:t>个四级指标的评价指标体系。综合评价重点为项目决策、过程、产出和效益四大方面，其权重分别为：项目决策</w:t>
      </w:r>
      <w:r>
        <w:t>20%</w:t>
      </w:r>
      <w:r>
        <w:t>、过程</w:t>
      </w:r>
      <w:r>
        <w:t>20%</w:t>
      </w:r>
      <w:r>
        <w:t>、产出</w:t>
      </w:r>
      <w:r>
        <w:t>35%</w:t>
      </w:r>
      <w:r>
        <w:t>、效益</w:t>
      </w:r>
      <w:r>
        <w:t>25%</w:t>
      </w:r>
      <w:r>
        <w:t>，</w:t>
      </w:r>
      <w:r>
        <w:rPr>
          <w:szCs w:val="32"/>
        </w:rPr>
        <w:t>具体指标设置和评分标准详见附件</w:t>
      </w:r>
      <w:r>
        <w:rPr>
          <w:szCs w:val="32"/>
        </w:rPr>
        <w:t>1</w:t>
      </w:r>
      <w:r>
        <w:rPr>
          <w:szCs w:val="32"/>
        </w:rPr>
        <w:t>。</w:t>
      </w:r>
    </w:p>
    <w:p w:rsidR="0029667E" w:rsidRDefault="005F36FF">
      <w:pPr>
        <w:ind w:firstLine="640"/>
      </w:pPr>
      <w:r>
        <w:t>指标体系采用百分制综合评分，并按照综合评分进行分级，评价结果分为优、良、中、差四个等级，分别为：</w:t>
      </w:r>
      <w:r>
        <w:t>90</w:t>
      </w:r>
      <w:r>
        <w:t>（含）</w:t>
      </w:r>
      <w:r>
        <w:t>-100</w:t>
      </w:r>
      <w:r>
        <w:t>分为优、</w:t>
      </w:r>
      <w:r>
        <w:t>80</w:t>
      </w:r>
      <w:r>
        <w:t>（含）</w:t>
      </w:r>
      <w:r>
        <w:t>-90</w:t>
      </w:r>
      <w:r>
        <w:t>分为良、</w:t>
      </w:r>
      <w:r>
        <w:t>60</w:t>
      </w:r>
      <w:r>
        <w:t>（含）</w:t>
      </w:r>
      <w:r>
        <w:t>-80</w:t>
      </w:r>
      <w:r>
        <w:t>分为中、</w:t>
      </w:r>
      <w:r>
        <w:t>60</w:t>
      </w:r>
      <w:r>
        <w:t>分以下的为差。</w:t>
      </w:r>
    </w:p>
    <w:p w:rsidR="0029667E" w:rsidRDefault="005F36FF">
      <w:pPr>
        <w:pStyle w:val="3"/>
        <w:ind w:firstLine="640"/>
      </w:pPr>
      <w:bookmarkStart w:id="43" w:name="_Toc135748608"/>
      <w:r>
        <w:t>3.</w:t>
      </w:r>
      <w:r>
        <w:t>各项指标定义、评分标准和评分细则</w:t>
      </w:r>
      <w:bookmarkEnd w:id="43"/>
      <w:r>
        <w:t>。</w:t>
      </w:r>
    </w:p>
    <w:p w:rsidR="0029667E" w:rsidRDefault="005F36FF">
      <w:pPr>
        <w:ind w:firstLine="640"/>
      </w:pPr>
      <w:r>
        <w:t>本次绩效评价指标体系共性指标评价标准主要依据《广州市增城区财政局关于开展</w:t>
      </w:r>
      <w:r>
        <w:t>2024</w:t>
      </w:r>
      <w:r>
        <w:t>年财政评价工作的通知》（增财〔</w:t>
      </w:r>
      <w:r>
        <w:t>2024</w:t>
      </w:r>
      <w:r>
        <w:t>〕</w:t>
      </w:r>
      <w:r>
        <w:t>178</w:t>
      </w:r>
      <w:r>
        <w:t>号）、《广州市增城区关于印发</w:t>
      </w:r>
      <w:r>
        <w:t>2024</w:t>
      </w:r>
      <w:r>
        <w:t>年增城区级财政资金支出绩效评价工作方案的通知》（增财〔</w:t>
      </w:r>
      <w:r>
        <w:t>2024</w:t>
      </w:r>
      <w:r>
        <w:t>〕</w:t>
      </w:r>
      <w:r>
        <w:t>212</w:t>
      </w:r>
      <w:r>
        <w:t>号）有</w:t>
      </w:r>
      <w:r>
        <w:t>关规定设置；个性化指标预期目标值主要依据《广州市增城区发展和改革局关于新塘站片区路网</w:t>
      </w:r>
      <w:r>
        <w:t>-</w:t>
      </w:r>
      <w:r>
        <w:t>纵一路、新源路及汽车城大道建设工程项目可行性研究报告的批复》（增发改投〔</w:t>
      </w:r>
      <w:r>
        <w:t>2019</w:t>
      </w:r>
      <w:r>
        <w:t>〕</w:t>
      </w:r>
      <w:r>
        <w:t>129</w:t>
      </w:r>
      <w:r>
        <w:t>号）、《广州市增城区发展和改革局关于调整新塘站片区路网一纵一路、新源路及汽车城大道建设工程项目建设规模和建设内容的复函》（穗</w:t>
      </w:r>
      <w:proofErr w:type="gramStart"/>
      <w:r>
        <w:t>增发改函〔</w:t>
      </w:r>
      <w:r>
        <w:t>2021</w:t>
      </w:r>
      <w:r>
        <w:t>〕</w:t>
      </w:r>
      <w:proofErr w:type="gramEnd"/>
      <w:r>
        <w:t>412</w:t>
      </w:r>
      <w:r>
        <w:t>号）、《广州东部交通枢纽中心片区基础设施配套项目管理办法（试行）》等文件确定，详见附件</w:t>
      </w:r>
      <w:r>
        <w:t>1</w:t>
      </w:r>
      <w:r>
        <w:t>。</w:t>
      </w:r>
    </w:p>
    <w:p w:rsidR="0029667E" w:rsidRDefault="005F36FF">
      <w:pPr>
        <w:pStyle w:val="1"/>
        <w:ind w:firstLine="640"/>
        <w:rPr>
          <w:rFonts w:eastAsia="仿宋_GB2312"/>
          <w:snapToGrid w:val="0"/>
        </w:rPr>
      </w:pPr>
      <w:bookmarkStart w:id="44" w:name="_Toc27265"/>
      <w:bookmarkStart w:id="45" w:name="_Toc532"/>
      <w:bookmarkStart w:id="46" w:name="_Toc16356"/>
      <w:bookmarkStart w:id="47" w:name="_Toc5423"/>
      <w:r>
        <w:rPr>
          <w:snapToGrid w:val="0"/>
        </w:rPr>
        <w:t>三、评价结论与绩效分析</w:t>
      </w:r>
      <w:bookmarkEnd w:id="44"/>
      <w:bookmarkEnd w:id="45"/>
      <w:bookmarkEnd w:id="46"/>
      <w:bookmarkEnd w:id="47"/>
    </w:p>
    <w:p w:rsidR="0029667E" w:rsidRDefault="005F36FF">
      <w:pPr>
        <w:pStyle w:val="2"/>
        <w:ind w:firstLine="640"/>
        <w:rPr>
          <w:rFonts w:cs="Times New Roman"/>
        </w:rPr>
      </w:pPr>
      <w:bookmarkStart w:id="48" w:name="_Toc7777"/>
      <w:bookmarkStart w:id="49" w:name="_Toc30348"/>
      <w:bookmarkStart w:id="50" w:name="_Toc32621"/>
      <w:bookmarkStart w:id="51" w:name="_Toc6034"/>
      <w:r>
        <w:rPr>
          <w:rFonts w:cs="Times New Roman"/>
        </w:rPr>
        <w:t>（一）总体结论。</w:t>
      </w:r>
      <w:bookmarkEnd w:id="48"/>
      <w:bookmarkEnd w:id="49"/>
      <w:bookmarkEnd w:id="50"/>
      <w:bookmarkEnd w:id="51"/>
    </w:p>
    <w:p w:rsidR="0029667E" w:rsidRDefault="005F36FF">
      <w:pPr>
        <w:ind w:firstLine="640"/>
      </w:pPr>
      <w:r>
        <w:t>根据《广州市增城区财政局关于开展</w:t>
      </w:r>
      <w:r>
        <w:t>2024</w:t>
      </w:r>
      <w:r>
        <w:t>年财政评价工作的通知》（增财〔</w:t>
      </w:r>
      <w:r>
        <w:t>2024</w:t>
      </w:r>
      <w:r>
        <w:t>〕</w:t>
      </w:r>
      <w:r>
        <w:t>178</w:t>
      </w:r>
      <w:r>
        <w:t>号）、《广州市增城区关于印发</w:t>
      </w:r>
      <w:r>
        <w:t>2024</w:t>
      </w:r>
      <w:r>
        <w:t>年增城区级财政资金支出绩效评价工作方案的通知》（增财〔</w:t>
      </w:r>
      <w:r>
        <w:t>2024</w:t>
      </w:r>
      <w:r>
        <w:t>〕</w:t>
      </w:r>
      <w:r>
        <w:t>212</w:t>
      </w:r>
      <w:r>
        <w:t>号）要求，新塘站片区路网</w:t>
      </w:r>
      <w:r>
        <w:t>-</w:t>
      </w:r>
      <w:r>
        <w:t>纵一路、新源路及汽车城大道建设工程项目绩效评价指标体系设计总分值为</w:t>
      </w:r>
      <w:r>
        <w:t>100</w:t>
      </w:r>
      <w:r>
        <w:t>分，对决策、过程、产出和效益</w:t>
      </w:r>
      <w:r>
        <w:t>4</w:t>
      </w:r>
      <w:r>
        <w:t>个方面进行综合分析。</w:t>
      </w:r>
    </w:p>
    <w:p w:rsidR="0029667E" w:rsidRDefault="005F36FF">
      <w:pPr>
        <w:ind w:firstLine="640"/>
      </w:pPr>
      <w:r>
        <w:t>2023</w:t>
      </w:r>
      <w:r>
        <w:t>年区道路养护中心基本按照相关制度和合同约定推进新塘站片区路网</w:t>
      </w:r>
      <w:r>
        <w:t>-</w:t>
      </w:r>
      <w:r>
        <w:t>纵一路、新源路及汽车城大道建设工程项目实施。</w:t>
      </w:r>
      <w:r>
        <w:rPr>
          <w:bCs/>
          <w:szCs w:val="32"/>
        </w:rPr>
        <w:t>但项目实施过程中存在管理程序规范性不足的问题，</w:t>
      </w:r>
      <w:r>
        <w:t>综合评价新</w:t>
      </w:r>
      <w:r>
        <w:t>塘站片区路网</w:t>
      </w:r>
      <w:r>
        <w:t>-</w:t>
      </w:r>
      <w:r>
        <w:t>纵一路、新源路及汽车城大道建设工程项目绩效得分</w:t>
      </w:r>
      <w:r>
        <w:rPr>
          <w:rFonts w:hint="eastAsia"/>
        </w:rPr>
        <w:t>89.5</w:t>
      </w:r>
      <w:r>
        <w:t>分，评定等级为</w:t>
      </w:r>
      <w:r>
        <w:rPr>
          <w:rFonts w:ascii="仿宋_GB2312" w:hint="eastAsia"/>
        </w:rPr>
        <w:t>“</w:t>
      </w:r>
      <w:r>
        <w:rPr>
          <w:rFonts w:hint="eastAsia"/>
        </w:rPr>
        <w:t>良</w:t>
      </w:r>
      <w:r>
        <w:rPr>
          <w:rFonts w:ascii="仿宋_GB2312" w:hint="eastAsia"/>
        </w:rPr>
        <w:t>”</w:t>
      </w:r>
      <w:r>
        <w:t>。详见表</w:t>
      </w:r>
      <w:r>
        <w:t>9</w:t>
      </w:r>
      <w:r>
        <w:t>。</w:t>
      </w:r>
    </w:p>
    <w:p w:rsidR="0029667E" w:rsidRDefault="005F36FF">
      <w:pPr>
        <w:pStyle w:val="a3"/>
        <w:keepNext/>
        <w:rPr>
          <w:rFonts w:ascii="Times New Roman" w:hAnsi="Times New Roman" w:cs="Times New Roman"/>
        </w:rPr>
      </w:pPr>
      <w:r>
        <w:rPr>
          <w:rFonts w:ascii="Times New Roman" w:hAnsi="Times New Roman" w:cs="Times New Roman"/>
        </w:rPr>
        <w:t>表</w:t>
      </w:r>
      <w:r>
        <w:rPr>
          <w:rFonts w:ascii="Times New Roman" w:hAnsi="Times New Roman" w:cs="Times New Roman"/>
        </w:rPr>
        <w:t xml:space="preserve">9  </w:t>
      </w:r>
      <w:r>
        <w:rPr>
          <w:rFonts w:ascii="Times New Roman" w:hAnsi="Times New Roman" w:cs="Times New Roman"/>
        </w:rPr>
        <w:t>综合评定结果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2569"/>
        <w:gridCol w:w="1685"/>
        <w:gridCol w:w="1726"/>
        <w:gridCol w:w="1767"/>
      </w:tblGrid>
      <w:tr w:rsidR="0029667E">
        <w:trPr>
          <w:trHeight w:val="567"/>
          <w:tblHeader/>
          <w:jc w:val="center"/>
        </w:trPr>
        <w:tc>
          <w:tcPr>
            <w:tcW w:w="1329" w:type="dxa"/>
            <w:shd w:val="clear" w:color="auto" w:fill="auto"/>
            <w:noWrap/>
            <w:vAlign w:val="center"/>
          </w:tcPr>
          <w:p w:rsidR="0029667E" w:rsidRDefault="005F36FF">
            <w:pPr>
              <w:widowControl/>
              <w:spacing w:line="240" w:lineRule="auto"/>
              <w:ind w:firstLineChars="0" w:firstLine="0"/>
              <w:jc w:val="center"/>
              <w:rPr>
                <w:b/>
                <w:kern w:val="0"/>
                <w:sz w:val="24"/>
              </w:rPr>
            </w:pPr>
            <w:r>
              <w:rPr>
                <w:b/>
                <w:kern w:val="0"/>
                <w:sz w:val="24"/>
              </w:rPr>
              <w:t>序号</w:t>
            </w:r>
          </w:p>
        </w:tc>
        <w:tc>
          <w:tcPr>
            <w:tcW w:w="2602" w:type="dxa"/>
            <w:shd w:val="clear" w:color="auto" w:fill="auto"/>
            <w:noWrap/>
            <w:vAlign w:val="center"/>
          </w:tcPr>
          <w:p w:rsidR="0029667E" w:rsidRDefault="005F36FF">
            <w:pPr>
              <w:widowControl/>
              <w:spacing w:line="240" w:lineRule="auto"/>
              <w:ind w:firstLineChars="0" w:firstLine="0"/>
              <w:jc w:val="center"/>
              <w:rPr>
                <w:b/>
                <w:kern w:val="0"/>
                <w:sz w:val="24"/>
              </w:rPr>
            </w:pPr>
            <w:r>
              <w:rPr>
                <w:b/>
                <w:kern w:val="0"/>
                <w:sz w:val="24"/>
              </w:rPr>
              <w:t>评价内容</w:t>
            </w:r>
          </w:p>
        </w:tc>
        <w:tc>
          <w:tcPr>
            <w:tcW w:w="1706" w:type="dxa"/>
            <w:shd w:val="clear" w:color="auto" w:fill="auto"/>
            <w:noWrap/>
            <w:vAlign w:val="center"/>
          </w:tcPr>
          <w:p w:rsidR="0029667E" w:rsidRDefault="005F36FF">
            <w:pPr>
              <w:widowControl/>
              <w:spacing w:line="240" w:lineRule="auto"/>
              <w:ind w:firstLineChars="0" w:firstLine="0"/>
              <w:jc w:val="center"/>
              <w:rPr>
                <w:b/>
                <w:kern w:val="0"/>
                <w:sz w:val="24"/>
              </w:rPr>
            </w:pPr>
            <w:r>
              <w:rPr>
                <w:b/>
                <w:kern w:val="0"/>
                <w:sz w:val="24"/>
              </w:rPr>
              <w:t>分值</w:t>
            </w:r>
          </w:p>
        </w:tc>
        <w:tc>
          <w:tcPr>
            <w:tcW w:w="1747" w:type="dxa"/>
            <w:shd w:val="clear" w:color="auto" w:fill="auto"/>
            <w:noWrap/>
            <w:vAlign w:val="center"/>
          </w:tcPr>
          <w:p w:rsidR="0029667E" w:rsidRDefault="005F36FF">
            <w:pPr>
              <w:widowControl/>
              <w:spacing w:line="240" w:lineRule="auto"/>
              <w:ind w:firstLineChars="0" w:firstLine="0"/>
              <w:jc w:val="center"/>
              <w:rPr>
                <w:b/>
                <w:kern w:val="0"/>
                <w:sz w:val="24"/>
              </w:rPr>
            </w:pPr>
            <w:r>
              <w:rPr>
                <w:b/>
                <w:kern w:val="0"/>
                <w:sz w:val="24"/>
              </w:rPr>
              <w:t>得分</w:t>
            </w:r>
          </w:p>
        </w:tc>
        <w:tc>
          <w:tcPr>
            <w:tcW w:w="1789" w:type="dxa"/>
            <w:shd w:val="clear" w:color="auto" w:fill="auto"/>
            <w:noWrap/>
            <w:vAlign w:val="center"/>
          </w:tcPr>
          <w:p w:rsidR="0029667E" w:rsidRDefault="005F36FF">
            <w:pPr>
              <w:widowControl/>
              <w:spacing w:line="240" w:lineRule="auto"/>
              <w:ind w:firstLineChars="0" w:firstLine="0"/>
              <w:jc w:val="center"/>
              <w:rPr>
                <w:b/>
                <w:kern w:val="0"/>
                <w:sz w:val="24"/>
              </w:rPr>
            </w:pPr>
            <w:r>
              <w:rPr>
                <w:b/>
                <w:kern w:val="0"/>
                <w:sz w:val="24"/>
              </w:rPr>
              <w:t>评价得分率</w:t>
            </w:r>
          </w:p>
        </w:tc>
      </w:tr>
      <w:tr w:rsidR="0029667E">
        <w:trPr>
          <w:trHeight w:val="567"/>
          <w:jc w:val="center"/>
        </w:trPr>
        <w:tc>
          <w:tcPr>
            <w:tcW w:w="1329"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1</w:t>
            </w:r>
          </w:p>
        </w:tc>
        <w:tc>
          <w:tcPr>
            <w:tcW w:w="2602"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决策</w:t>
            </w:r>
          </w:p>
        </w:tc>
        <w:tc>
          <w:tcPr>
            <w:tcW w:w="1706"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20</w:t>
            </w:r>
          </w:p>
        </w:tc>
        <w:tc>
          <w:tcPr>
            <w:tcW w:w="1747"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17.5</w:t>
            </w:r>
          </w:p>
        </w:tc>
        <w:tc>
          <w:tcPr>
            <w:tcW w:w="1789"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87.5%</w:t>
            </w:r>
          </w:p>
        </w:tc>
      </w:tr>
      <w:tr w:rsidR="0029667E">
        <w:trPr>
          <w:trHeight w:val="567"/>
          <w:jc w:val="center"/>
        </w:trPr>
        <w:tc>
          <w:tcPr>
            <w:tcW w:w="1329"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2</w:t>
            </w:r>
          </w:p>
        </w:tc>
        <w:tc>
          <w:tcPr>
            <w:tcW w:w="2602"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过程</w:t>
            </w:r>
          </w:p>
        </w:tc>
        <w:tc>
          <w:tcPr>
            <w:tcW w:w="1706"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20</w:t>
            </w:r>
          </w:p>
        </w:tc>
        <w:tc>
          <w:tcPr>
            <w:tcW w:w="1747"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17</w:t>
            </w:r>
          </w:p>
        </w:tc>
        <w:tc>
          <w:tcPr>
            <w:tcW w:w="1789"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85%</w:t>
            </w:r>
          </w:p>
        </w:tc>
      </w:tr>
      <w:tr w:rsidR="0029667E">
        <w:trPr>
          <w:trHeight w:val="567"/>
          <w:jc w:val="center"/>
        </w:trPr>
        <w:tc>
          <w:tcPr>
            <w:tcW w:w="1329"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3</w:t>
            </w:r>
          </w:p>
        </w:tc>
        <w:tc>
          <w:tcPr>
            <w:tcW w:w="2602"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产出</w:t>
            </w:r>
          </w:p>
        </w:tc>
        <w:tc>
          <w:tcPr>
            <w:tcW w:w="1706"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35</w:t>
            </w:r>
          </w:p>
        </w:tc>
        <w:tc>
          <w:tcPr>
            <w:tcW w:w="1747" w:type="dxa"/>
            <w:shd w:val="clear" w:color="auto" w:fill="auto"/>
            <w:noWrap/>
            <w:vAlign w:val="center"/>
          </w:tcPr>
          <w:p w:rsidR="0029667E" w:rsidRDefault="005F36FF">
            <w:pPr>
              <w:widowControl/>
              <w:spacing w:line="240" w:lineRule="auto"/>
              <w:ind w:firstLineChars="0" w:firstLine="0"/>
              <w:jc w:val="center"/>
              <w:rPr>
                <w:kern w:val="0"/>
                <w:sz w:val="24"/>
              </w:rPr>
            </w:pPr>
            <w:r>
              <w:rPr>
                <w:rFonts w:hint="eastAsia"/>
                <w:kern w:val="0"/>
                <w:sz w:val="24"/>
              </w:rPr>
              <w:t>30</w:t>
            </w:r>
          </w:p>
        </w:tc>
        <w:tc>
          <w:tcPr>
            <w:tcW w:w="1789" w:type="dxa"/>
            <w:shd w:val="clear" w:color="auto" w:fill="auto"/>
            <w:noWrap/>
            <w:vAlign w:val="center"/>
          </w:tcPr>
          <w:p w:rsidR="0029667E" w:rsidRDefault="005F36FF">
            <w:pPr>
              <w:widowControl/>
              <w:spacing w:line="240" w:lineRule="auto"/>
              <w:ind w:firstLineChars="0" w:firstLine="0"/>
              <w:jc w:val="center"/>
              <w:rPr>
                <w:kern w:val="0"/>
                <w:sz w:val="24"/>
              </w:rPr>
            </w:pPr>
            <w:r>
              <w:rPr>
                <w:rFonts w:hint="eastAsia"/>
                <w:kern w:val="0"/>
                <w:sz w:val="24"/>
              </w:rPr>
              <w:t>85.71</w:t>
            </w:r>
            <w:r>
              <w:rPr>
                <w:kern w:val="0"/>
                <w:sz w:val="24"/>
              </w:rPr>
              <w:t>%</w:t>
            </w:r>
          </w:p>
        </w:tc>
      </w:tr>
      <w:tr w:rsidR="0029667E">
        <w:trPr>
          <w:trHeight w:val="567"/>
          <w:jc w:val="center"/>
        </w:trPr>
        <w:tc>
          <w:tcPr>
            <w:tcW w:w="1329"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4</w:t>
            </w:r>
          </w:p>
        </w:tc>
        <w:tc>
          <w:tcPr>
            <w:tcW w:w="2602"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效益</w:t>
            </w:r>
          </w:p>
        </w:tc>
        <w:tc>
          <w:tcPr>
            <w:tcW w:w="1706"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25</w:t>
            </w:r>
          </w:p>
        </w:tc>
        <w:tc>
          <w:tcPr>
            <w:tcW w:w="1747"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25</w:t>
            </w:r>
          </w:p>
        </w:tc>
        <w:tc>
          <w:tcPr>
            <w:tcW w:w="1789" w:type="dxa"/>
            <w:shd w:val="clear" w:color="auto" w:fill="auto"/>
            <w:noWrap/>
            <w:vAlign w:val="center"/>
          </w:tcPr>
          <w:p w:rsidR="0029667E" w:rsidRDefault="005F36FF">
            <w:pPr>
              <w:widowControl/>
              <w:spacing w:line="240" w:lineRule="auto"/>
              <w:ind w:firstLineChars="0" w:firstLine="0"/>
              <w:jc w:val="center"/>
              <w:rPr>
                <w:kern w:val="0"/>
                <w:sz w:val="24"/>
              </w:rPr>
            </w:pPr>
            <w:r>
              <w:rPr>
                <w:kern w:val="0"/>
                <w:sz w:val="24"/>
              </w:rPr>
              <w:t>100%</w:t>
            </w:r>
          </w:p>
        </w:tc>
      </w:tr>
      <w:tr w:rsidR="0029667E">
        <w:trPr>
          <w:trHeight w:val="567"/>
          <w:jc w:val="center"/>
        </w:trPr>
        <w:tc>
          <w:tcPr>
            <w:tcW w:w="3931" w:type="dxa"/>
            <w:gridSpan w:val="2"/>
            <w:shd w:val="clear" w:color="auto" w:fill="auto"/>
            <w:noWrap/>
            <w:vAlign w:val="center"/>
          </w:tcPr>
          <w:p w:rsidR="0029667E" w:rsidRDefault="005F36FF">
            <w:pPr>
              <w:widowControl/>
              <w:spacing w:line="240" w:lineRule="auto"/>
              <w:ind w:firstLineChars="0" w:firstLine="0"/>
              <w:jc w:val="center"/>
              <w:rPr>
                <w:b/>
                <w:kern w:val="0"/>
                <w:sz w:val="24"/>
              </w:rPr>
            </w:pPr>
            <w:r>
              <w:rPr>
                <w:b/>
                <w:kern w:val="0"/>
                <w:sz w:val="24"/>
              </w:rPr>
              <w:t>合计</w:t>
            </w:r>
          </w:p>
        </w:tc>
        <w:tc>
          <w:tcPr>
            <w:tcW w:w="1706" w:type="dxa"/>
            <w:shd w:val="clear" w:color="auto" w:fill="auto"/>
            <w:noWrap/>
            <w:vAlign w:val="center"/>
          </w:tcPr>
          <w:p w:rsidR="0029667E" w:rsidRDefault="005F36FF">
            <w:pPr>
              <w:widowControl/>
              <w:spacing w:line="240" w:lineRule="auto"/>
              <w:ind w:firstLineChars="0" w:firstLine="0"/>
              <w:jc w:val="center"/>
              <w:rPr>
                <w:b/>
                <w:kern w:val="0"/>
                <w:sz w:val="24"/>
              </w:rPr>
            </w:pPr>
            <w:r>
              <w:rPr>
                <w:b/>
                <w:kern w:val="0"/>
                <w:sz w:val="24"/>
              </w:rPr>
              <w:t>100</w:t>
            </w:r>
          </w:p>
        </w:tc>
        <w:tc>
          <w:tcPr>
            <w:tcW w:w="1747" w:type="dxa"/>
            <w:shd w:val="clear" w:color="auto" w:fill="auto"/>
            <w:noWrap/>
            <w:vAlign w:val="center"/>
          </w:tcPr>
          <w:p w:rsidR="0029667E" w:rsidRDefault="005F36FF">
            <w:pPr>
              <w:widowControl/>
              <w:spacing w:line="240" w:lineRule="auto"/>
              <w:ind w:firstLineChars="0" w:firstLine="0"/>
              <w:jc w:val="center"/>
              <w:rPr>
                <w:b/>
                <w:kern w:val="0"/>
                <w:sz w:val="24"/>
              </w:rPr>
            </w:pPr>
            <w:r>
              <w:rPr>
                <w:rFonts w:hint="eastAsia"/>
                <w:b/>
                <w:kern w:val="0"/>
                <w:sz w:val="24"/>
              </w:rPr>
              <w:t>89.5</w:t>
            </w:r>
          </w:p>
        </w:tc>
        <w:tc>
          <w:tcPr>
            <w:tcW w:w="1789" w:type="dxa"/>
            <w:shd w:val="clear" w:color="auto" w:fill="auto"/>
            <w:noWrap/>
            <w:vAlign w:val="center"/>
          </w:tcPr>
          <w:p w:rsidR="0029667E" w:rsidRDefault="005F36FF">
            <w:pPr>
              <w:widowControl/>
              <w:spacing w:line="240" w:lineRule="auto"/>
              <w:ind w:firstLineChars="0" w:firstLine="0"/>
              <w:jc w:val="center"/>
              <w:rPr>
                <w:b/>
                <w:kern w:val="0"/>
                <w:sz w:val="24"/>
              </w:rPr>
            </w:pPr>
            <w:r>
              <w:rPr>
                <w:rFonts w:hint="eastAsia"/>
                <w:b/>
                <w:kern w:val="0"/>
                <w:sz w:val="24"/>
              </w:rPr>
              <w:t>89.5</w:t>
            </w:r>
            <w:r>
              <w:rPr>
                <w:b/>
                <w:kern w:val="0"/>
                <w:sz w:val="24"/>
              </w:rPr>
              <w:t>%</w:t>
            </w:r>
          </w:p>
        </w:tc>
      </w:tr>
    </w:tbl>
    <w:p w:rsidR="0029667E" w:rsidRDefault="0029667E">
      <w:pPr>
        <w:ind w:firstLine="640"/>
        <w:rPr>
          <w:snapToGrid w:val="0"/>
        </w:rPr>
      </w:pPr>
    </w:p>
    <w:p w:rsidR="0029667E" w:rsidRDefault="005F36FF">
      <w:pPr>
        <w:pStyle w:val="2"/>
        <w:ind w:firstLine="640"/>
        <w:rPr>
          <w:rFonts w:cs="Times New Roman"/>
          <w:snapToGrid w:val="0"/>
        </w:rPr>
      </w:pPr>
      <w:bookmarkStart w:id="52" w:name="_Toc11709"/>
      <w:bookmarkStart w:id="53" w:name="_Toc31250"/>
      <w:bookmarkStart w:id="54" w:name="_Toc31543"/>
      <w:bookmarkStart w:id="55" w:name="_Toc20438"/>
      <w:r>
        <w:rPr>
          <w:rFonts w:cs="Times New Roman"/>
          <w:snapToGrid w:val="0"/>
        </w:rPr>
        <w:t>（二）项目绩效分析。</w:t>
      </w:r>
      <w:bookmarkEnd w:id="52"/>
      <w:bookmarkEnd w:id="53"/>
      <w:bookmarkEnd w:id="54"/>
      <w:bookmarkEnd w:id="55"/>
    </w:p>
    <w:p w:rsidR="0029667E" w:rsidRDefault="005F36FF">
      <w:pPr>
        <w:pStyle w:val="3"/>
        <w:ind w:firstLine="640"/>
        <w:rPr>
          <w:snapToGrid w:val="0"/>
        </w:rPr>
      </w:pPr>
      <w:r>
        <w:rPr>
          <w:snapToGrid w:val="0"/>
        </w:rPr>
        <w:t>1.</w:t>
      </w:r>
      <w:r>
        <w:rPr>
          <w:snapToGrid w:val="0"/>
        </w:rPr>
        <w:t>决策立项情况分析。</w:t>
      </w:r>
    </w:p>
    <w:p w:rsidR="0029667E" w:rsidRDefault="005F36FF">
      <w:pPr>
        <w:ind w:firstLine="640"/>
        <w:rPr>
          <w:snapToGrid w:val="0"/>
          <w:kern w:val="0"/>
          <w:szCs w:val="32"/>
        </w:rPr>
      </w:pPr>
      <w:r>
        <w:t>指标下设</w:t>
      </w:r>
      <w:r>
        <w:rPr>
          <w:rFonts w:ascii="仿宋_GB2312" w:hint="eastAsia"/>
        </w:rPr>
        <w:t>“</w:t>
      </w:r>
      <w:r>
        <w:t>项目立项</w:t>
      </w:r>
      <w:r>
        <w:rPr>
          <w:rFonts w:ascii="仿宋_GB2312" w:hint="eastAsia"/>
        </w:rPr>
        <w:t>”“</w:t>
      </w:r>
      <w:r>
        <w:t>资金落实</w:t>
      </w:r>
      <w:r>
        <w:rPr>
          <w:rFonts w:ascii="仿宋_GB2312" w:hint="eastAsia"/>
        </w:rPr>
        <w:t>”</w:t>
      </w:r>
      <w:r>
        <w:t>2</w:t>
      </w:r>
      <w:r>
        <w:t>个二级指标，主要从论证决策、目标设置、保障措施、资金到位、资金分配</w:t>
      </w:r>
      <w:r>
        <w:t>5</w:t>
      </w:r>
      <w:r>
        <w:t>个方面反映项目决策论证、绩效目标设置与资金分配情况。指标分值</w:t>
      </w:r>
      <w:r>
        <w:t>20</w:t>
      </w:r>
      <w:r>
        <w:t>分，评价得分</w:t>
      </w:r>
      <w:r>
        <w:t>17.5</w:t>
      </w:r>
      <w:r>
        <w:t>分，评价得分率为</w:t>
      </w:r>
      <w:r>
        <w:t>87.5%</w:t>
      </w:r>
      <w:r>
        <w:t>。</w:t>
      </w:r>
    </w:p>
    <w:p w:rsidR="0029667E" w:rsidRDefault="005F36FF">
      <w:pPr>
        <w:pStyle w:val="4"/>
        <w:ind w:firstLine="640"/>
        <w:rPr>
          <w:rFonts w:cs="Times New Roman"/>
          <w:snapToGrid w:val="0"/>
        </w:rPr>
      </w:pPr>
      <w:r>
        <w:rPr>
          <w:rFonts w:cs="Times New Roman"/>
          <w:snapToGrid w:val="0"/>
        </w:rPr>
        <w:t>（</w:t>
      </w:r>
      <w:r>
        <w:rPr>
          <w:rFonts w:cs="Times New Roman"/>
          <w:snapToGrid w:val="0"/>
        </w:rPr>
        <w:t>1</w:t>
      </w:r>
      <w:r>
        <w:rPr>
          <w:rFonts w:cs="Times New Roman"/>
          <w:snapToGrid w:val="0"/>
        </w:rPr>
        <w:t>）论证决策。</w:t>
      </w:r>
    </w:p>
    <w:p w:rsidR="0029667E" w:rsidRDefault="005F36FF">
      <w:pPr>
        <w:ind w:firstLine="640"/>
        <w:rPr>
          <w:snapToGrid w:val="0"/>
          <w:kern w:val="0"/>
          <w:szCs w:val="32"/>
        </w:rPr>
      </w:pPr>
      <w:r>
        <w:rPr>
          <w:snapToGrid w:val="0"/>
          <w:kern w:val="0"/>
          <w:szCs w:val="32"/>
        </w:rPr>
        <w:t>该指标包括论证充分性</w:t>
      </w:r>
      <w:r>
        <w:rPr>
          <w:snapToGrid w:val="0"/>
          <w:kern w:val="0"/>
          <w:szCs w:val="32"/>
        </w:rPr>
        <w:t>1</w:t>
      </w:r>
      <w:r>
        <w:rPr>
          <w:snapToGrid w:val="0"/>
          <w:kern w:val="0"/>
          <w:szCs w:val="32"/>
        </w:rPr>
        <w:t>个方面，指标分值</w:t>
      </w:r>
      <w:r>
        <w:rPr>
          <w:snapToGrid w:val="0"/>
          <w:kern w:val="0"/>
          <w:szCs w:val="32"/>
        </w:rPr>
        <w:t>4</w:t>
      </w:r>
      <w:r>
        <w:rPr>
          <w:snapToGrid w:val="0"/>
          <w:kern w:val="0"/>
          <w:szCs w:val="32"/>
        </w:rPr>
        <w:t>分</w:t>
      </w:r>
      <w:r>
        <w:t>，评价得分</w:t>
      </w:r>
      <w:r>
        <w:t>4</w:t>
      </w:r>
      <w:r>
        <w:t>分，评价得分率为</w:t>
      </w:r>
      <w:r>
        <w:t>100%</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论证充分性。</w:t>
      </w:r>
    </w:p>
    <w:p w:rsidR="0029667E" w:rsidRDefault="005F36FF">
      <w:pPr>
        <w:ind w:firstLine="640"/>
        <w:rPr>
          <w:snapToGrid w:val="0"/>
          <w:kern w:val="0"/>
          <w:szCs w:val="32"/>
        </w:rPr>
      </w:pPr>
      <w:r>
        <w:rPr>
          <w:snapToGrid w:val="0"/>
          <w:kern w:val="0"/>
          <w:szCs w:val="32"/>
        </w:rPr>
        <w:t>指标分值</w:t>
      </w:r>
      <w:r>
        <w:rPr>
          <w:snapToGrid w:val="0"/>
          <w:kern w:val="0"/>
          <w:szCs w:val="32"/>
        </w:rPr>
        <w:t>4</w:t>
      </w:r>
      <w:r>
        <w:rPr>
          <w:snapToGrid w:val="0"/>
          <w:kern w:val="0"/>
          <w:szCs w:val="32"/>
        </w:rPr>
        <w:t>分，评价得分</w:t>
      </w:r>
      <w:r>
        <w:rPr>
          <w:snapToGrid w:val="0"/>
          <w:kern w:val="0"/>
          <w:szCs w:val="32"/>
        </w:rPr>
        <w:t>4</w:t>
      </w:r>
      <w:r>
        <w:rPr>
          <w:snapToGrid w:val="0"/>
          <w:kern w:val="0"/>
          <w:szCs w:val="32"/>
        </w:rPr>
        <w:t>分，评价得分率为</w:t>
      </w:r>
      <w:r>
        <w:rPr>
          <w:snapToGrid w:val="0"/>
          <w:kern w:val="0"/>
          <w:szCs w:val="32"/>
        </w:rPr>
        <w:t>100%</w:t>
      </w:r>
      <w:r>
        <w:rPr>
          <w:snapToGrid w:val="0"/>
          <w:kern w:val="0"/>
          <w:szCs w:val="32"/>
        </w:rPr>
        <w:t>。</w:t>
      </w:r>
    </w:p>
    <w:p w:rsidR="0029667E" w:rsidRDefault="005F36FF">
      <w:pPr>
        <w:ind w:firstLine="640"/>
        <w:rPr>
          <w:snapToGrid w:val="0"/>
          <w:kern w:val="0"/>
          <w:szCs w:val="32"/>
        </w:rPr>
      </w:pPr>
      <w:r>
        <w:rPr>
          <w:snapToGrid w:val="0"/>
          <w:kern w:val="0"/>
          <w:szCs w:val="32"/>
        </w:rPr>
        <w:t>根据《广州市增城区人民政府办公室关于轨道交通项目规划建设工作的会议纪要（二十五）》（</w:t>
      </w:r>
      <w:proofErr w:type="gramStart"/>
      <w:r>
        <w:rPr>
          <w:snapToGrid w:val="0"/>
          <w:kern w:val="0"/>
          <w:szCs w:val="32"/>
        </w:rPr>
        <w:t>增府会纪</w:t>
      </w:r>
      <w:proofErr w:type="gramEnd"/>
      <w:r>
        <w:rPr>
          <w:snapToGrid w:val="0"/>
          <w:kern w:val="0"/>
          <w:szCs w:val="32"/>
        </w:rPr>
        <w:t>〔</w:t>
      </w:r>
      <w:r>
        <w:rPr>
          <w:snapToGrid w:val="0"/>
          <w:kern w:val="0"/>
          <w:szCs w:val="32"/>
        </w:rPr>
        <w:t>2019</w:t>
      </w:r>
      <w:r>
        <w:rPr>
          <w:snapToGrid w:val="0"/>
          <w:kern w:val="0"/>
          <w:szCs w:val="32"/>
        </w:rPr>
        <w:t>〕</w:t>
      </w:r>
      <w:r>
        <w:rPr>
          <w:snapToGrid w:val="0"/>
          <w:kern w:val="0"/>
          <w:szCs w:val="32"/>
        </w:rPr>
        <w:t>27</w:t>
      </w:r>
      <w:r>
        <w:rPr>
          <w:snapToGrid w:val="0"/>
          <w:kern w:val="0"/>
          <w:szCs w:val="32"/>
        </w:rPr>
        <w:t>号）、《广州市发展和改革委员会关于推进新塘站、增城站</w:t>
      </w:r>
      <w:r>
        <w:rPr>
          <w:snapToGrid w:val="0"/>
          <w:kern w:val="0"/>
          <w:szCs w:val="32"/>
        </w:rPr>
        <w:t>周边道路前期工作的会议纪要》（</w:t>
      </w:r>
      <w:proofErr w:type="gramStart"/>
      <w:r>
        <w:rPr>
          <w:snapToGrid w:val="0"/>
          <w:kern w:val="0"/>
          <w:szCs w:val="32"/>
        </w:rPr>
        <w:t>穗发改会纪</w:t>
      </w:r>
      <w:proofErr w:type="gramEnd"/>
      <w:r>
        <w:rPr>
          <w:snapToGrid w:val="0"/>
          <w:kern w:val="0"/>
          <w:szCs w:val="32"/>
        </w:rPr>
        <w:t>〔</w:t>
      </w:r>
      <w:r>
        <w:rPr>
          <w:snapToGrid w:val="0"/>
          <w:kern w:val="0"/>
          <w:szCs w:val="32"/>
        </w:rPr>
        <w:t>2018</w:t>
      </w:r>
      <w:r>
        <w:rPr>
          <w:snapToGrid w:val="0"/>
          <w:kern w:val="0"/>
          <w:szCs w:val="32"/>
        </w:rPr>
        <w:t>〕</w:t>
      </w:r>
      <w:r>
        <w:rPr>
          <w:snapToGrid w:val="0"/>
          <w:kern w:val="0"/>
          <w:szCs w:val="32"/>
        </w:rPr>
        <w:t>18</w:t>
      </w:r>
      <w:r>
        <w:rPr>
          <w:snapToGrid w:val="0"/>
          <w:kern w:val="0"/>
          <w:szCs w:val="32"/>
        </w:rPr>
        <w:t>号）等文件精神，项目作为增城区轨道交通与东部交通枢纽的重要部分，前期经过了增城区党委、增城区人民政府、增城区交通运输局等各有关单位的集体会议讨论与科学规划；根据《广州市增城区发展和改革局关于新塘站片区路网</w:t>
      </w:r>
      <w:r>
        <w:rPr>
          <w:snapToGrid w:val="0"/>
          <w:kern w:val="0"/>
          <w:szCs w:val="32"/>
        </w:rPr>
        <w:t>-</w:t>
      </w:r>
      <w:r>
        <w:rPr>
          <w:snapToGrid w:val="0"/>
          <w:kern w:val="0"/>
          <w:szCs w:val="32"/>
        </w:rPr>
        <w:t>纵一路、新源路及汽车城大道建设工程项目可行性研究报告的批复》（增发改投〔</w:t>
      </w:r>
      <w:r>
        <w:rPr>
          <w:snapToGrid w:val="0"/>
          <w:kern w:val="0"/>
          <w:szCs w:val="32"/>
        </w:rPr>
        <w:t>2019</w:t>
      </w:r>
      <w:r>
        <w:rPr>
          <w:snapToGrid w:val="0"/>
          <w:kern w:val="0"/>
          <w:szCs w:val="32"/>
        </w:rPr>
        <w:t>〕</w:t>
      </w:r>
      <w:r>
        <w:rPr>
          <w:snapToGrid w:val="0"/>
          <w:kern w:val="0"/>
          <w:szCs w:val="32"/>
        </w:rPr>
        <w:t>129</w:t>
      </w:r>
      <w:r>
        <w:rPr>
          <w:snapToGrid w:val="0"/>
          <w:kern w:val="0"/>
          <w:szCs w:val="32"/>
        </w:rPr>
        <w:t>号）、《关于新塘站片区路网一纵一路、新源路及汽车城大道建设工程初步设计的批复》（增交函〔</w:t>
      </w:r>
      <w:r>
        <w:rPr>
          <w:snapToGrid w:val="0"/>
          <w:kern w:val="0"/>
          <w:szCs w:val="32"/>
        </w:rPr>
        <w:t>2019</w:t>
      </w:r>
      <w:r>
        <w:rPr>
          <w:snapToGrid w:val="0"/>
          <w:kern w:val="0"/>
          <w:szCs w:val="32"/>
        </w:rPr>
        <w:t>〕</w:t>
      </w:r>
      <w:r>
        <w:rPr>
          <w:snapToGrid w:val="0"/>
          <w:kern w:val="0"/>
          <w:szCs w:val="32"/>
        </w:rPr>
        <w:t>675</w:t>
      </w:r>
      <w:r>
        <w:rPr>
          <w:snapToGrid w:val="0"/>
          <w:kern w:val="0"/>
          <w:szCs w:val="32"/>
        </w:rPr>
        <w:t>号）等文件，项目前期调查研究工作包括可行性研究报告、初步设</w:t>
      </w:r>
      <w:r>
        <w:rPr>
          <w:snapToGrid w:val="0"/>
          <w:kern w:val="0"/>
          <w:szCs w:val="32"/>
        </w:rPr>
        <w:t>计方案等，通过了</w:t>
      </w:r>
      <w:r>
        <w:rPr>
          <w:rFonts w:ascii="仿宋_GB2312" w:hint="eastAsia"/>
        </w:rPr>
        <w:t>区发展改革局</w:t>
      </w:r>
      <w:r>
        <w:rPr>
          <w:snapToGrid w:val="0"/>
          <w:kern w:val="0"/>
          <w:szCs w:val="32"/>
        </w:rPr>
        <w:t>、区交通运输局等相关部门及专家的审查，项目必要性和可行性较强，论证决策工作充分。</w:t>
      </w:r>
    </w:p>
    <w:p w:rsidR="0029667E" w:rsidRDefault="005F36FF">
      <w:pPr>
        <w:pStyle w:val="4"/>
        <w:ind w:firstLine="640"/>
        <w:rPr>
          <w:rFonts w:cs="Times New Roman"/>
          <w:snapToGrid w:val="0"/>
        </w:rPr>
      </w:pPr>
      <w:r>
        <w:rPr>
          <w:rFonts w:cs="Times New Roman"/>
          <w:snapToGrid w:val="0"/>
        </w:rPr>
        <w:t>（</w:t>
      </w:r>
      <w:r>
        <w:rPr>
          <w:rFonts w:cs="Times New Roman"/>
          <w:snapToGrid w:val="0"/>
        </w:rPr>
        <w:t>2</w:t>
      </w:r>
      <w:r>
        <w:rPr>
          <w:rFonts w:cs="Times New Roman"/>
          <w:snapToGrid w:val="0"/>
        </w:rPr>
        <w:t>）目标设置。</w:t>
      </w:r>
    </w:p>
    <w:p w:rsidR="0029667E" w:rsidRDefault="005F36FF">
      <w:pPr>
        <w:ind w:firstLine="640"/>
        <w:rPr>
          <w:snapToGrid w:val="0"/>
          <w:kern w:val="0"/>
          <w:szCs w:val="32"/>
        </w:rPr>
      </w:pPr>
      <w:r>
        <w:rPr>
          <w:snapToGrid w:val="0"/>
          <w:kern w:val="0"/>
          <w:szCs w:val="32"/>
        </w:rPr>
        <w:t>该指标包括完整性、合理性、可衡量性</w:t>
      </w:r>
      <w:r>
        <w:rPr>
          <w:snapToGrid w:val="0"/>
          <w:kern w:val="0"/>
          <w:szCs w:val="32"/>
        </w:rPr>
        <w:t>3</w:t>
      </w:r>
      <w:r>
        <w:rPr>
          <w:snapToGrid w:val="0"/>
          <w:kern w:val="0"/>
          <w:szCs w:val="32"/>
        </w:rPr>
        <w:t>个方面，指标分值</w:t>
      </w:r>
      <w:r>
        <w:rPr>
          <w:snapToGrid w:val="0"/>
          <w:kern w:val="0"/>
          <w:szCs w:val="32"/>
        </w:rPr>
        <w:t>6</w:t>
      </w:r>
      <w:r>
        <w:rPr>
          <w:snapToGrid w:val="0"/>
          <w:kern w:val="0"/>
          <w:szCs w:val="32"/>
        </w:rPr>
        <w:t>分</w:t>
      </w:r>
      <w:r>
        <w:t>，评价得分</w:t>
      </w:r>
      <w:r>
        <w:t>4</w:t>
      </w:r>
      <w:r>
        <w:t>分，评价得分率为</w:t>
      </w:r>
      <w:r>
        <w:t>66.67%</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完整性。</w:t>
      </w:r>
    </w:p>
    <w:p w:rsidR="0029667E" w:rsidRDefault="005F36FF">
      <w:pPr>
        <w:ind w:firstLine="640"/>
        <w:rPr>
          <w:snapToGrid w:val="0"/>
          <w:kern w:val="0"/>
          <w:szCs w:val="32"/>
        </w:rPr>
      </w:pPr>
      <w:r>
        <w:rPr>
          <w:snapToGrid w:val="0"/>
          <w:kern w:val="0"/>
          <w:szCs w:val="32"/>
        </w:rPr>
        <w:t>指标分值</w:t>
      </w:r>
      <w:r>
        <w:rPr>
          <w:snapToGrid w:val="0"/>
          <w:kern w:val="0"/>
          <w:szCs w:val="32"/>
        </w:rPr>
        <w:t>2</w:t>
      </w:r>
      <w:r>
        <w:rPr>
          <w:snapToGrid w:val="0"/>
          <w:kern w:val="0"/>
          <w:szCs w:val="32"/>
        </w:rPr>
        <w:t>分，评价得分</w:t>
      </w:r>
      <w:r>
        <w:rPr>
          <w:snapToGrid w:val="0"/>
          <w:kern w:val="0"/>
          <w:szCs w:val="32"/>
        </w:rPr>
        <w:t>1</w:t>
      </w:r>
      <w:r>
        <w:rPr>
          <w:snapToGrid w:val="0"/>
          <w:kern w:val="0"/>
          <w:szCs w:val="32"/>
        </w:rPr>
        <w:t>分，评价得分率为</w:t>
      </w:r>
      <w:r>
        <w:rPr>
          <w:snapToGrid w:val="0"/>
          <w:kern w:val="0"/>
          <w:szCs w:val="32"/>
        </w:rPr>
        <w:t>50%</w:t>
      </w:r>
      <w:r>
        <w:rPr>
          <w:snapToGrid w:val="0"/>
          <w:kern w:val="0"/>
          <w:szCs w:val="32"/>
        </w:rPr>
        <w:t>。</w:t>
      </w:r>
    </w:p>
    <w:p w:rsidR="0029667E" w:rsidRDefault="005F36FF">
      <w:pPr>
        <w:ind w:firstLine="640"/>
      </w:pPr>
      <w:r>
        <w:rPr>
          <w:snapToGrid w:val="0"/>
          <w:kern w:val="0"/>
          <w:szCs w:val="32"/>
        </w:rPr>
        <w:t>根据《项目申报表》、绩效自评报告、绩效自评表等有关材料，</w:t>
      </w:r>
      <w:r>
        <w:rPr>
          <w:szCs w:val="32"/>
        </w:rPr>
        <w:t>项目</w:t>
      </w:r>
      <w:r>
        <w:t>2023</w:t>
      </w:r>
      <w:r>
        <w:t>年年初申报阶段与绩效自评阶段设置的绩效目标保持一致，均为</w:t>
      </w:r>
      <w:r>
        <w:t>2023</w:t>
      </w:r>
      <w:r>
        <w:t>年计划完成项目主体工程</w:t>
      </w:r>
      <w:r>
        <w:t>80%</w:t>
      </w:r>
      <w:r>
        <w:t>工程量，配套设施的</w:t>
      </w:r>
      <w:r>
        <w:t>80%</w:t>
      </w:r>
      <w:r>
        <w:t>，完成工程进度的</w:t>
      </w:r>
      <w:r>
        <w:t>80%</w:t>
      </w:r>
      <w:r>
        <w:t>。社会效益方面完工验收通过率</w:t>
      </w:r>
      <w:r>
        <w:t>100%</w:t>
      </w:r>
      <w:r>
        <w:t>，严格履行国家劳保制度有施工安全制度和员工安全防护措施；施工单位无拖欠、克扣农民工工资现。项目绩效目标的设置与项目属性特点、支出内容相关，但对于预期实现的效益如对区域交通的改善情况和对区域经济的促进作用均未能有效体现。</w:t>
      </w:r>
    </w:p>
    <w:p w:rsidR="0029667E" w:rsidRDefault="005F36FF">
      <w:pPr>
        <w:ind w:firstLine="640"/>
        <w:rPr>
          <w:snapToGrid w:val="0"/>
          <w:kern w:val="0"/>
          <w:szCs w:val="32"/>
        </w:rPr>
      </w:pPr>
      <w:r>
        <w:rPr>
          <w:snapToGrid w:val="0"/>
          <w:kern w:val="0"/>
          <w:szCs w:val="32"/>
        </w:rPr>
        <w:t>项目年初申报阶段设置</w:t>
      </w:r>
      <w:r>
        <w:rPr>
          <w:snapToGrid w:val="0"/>
          <w:kern w:val="0"/>
          <w:szCs w:val="32"/>
        </w:rPr>
        <w:t>5</w:t>
      </w:r>
      <w:r>
        <w:rPr>
          <w:snapToGrid w:val="0"/>
          <w:kern w:val="0"/>
          <w:szCs w:val="32"/>
        </w:rPr>
        <w:t>个绩效指标，针对项目推进具体工程</w:t>
      </w:r>
      <w:proofErr w:type="gramStart"/>
      <w:r>
        <w:rPr>
          <w:snapToGrid w:val="0"/>
          <w:kern w:val="0"/>
          <w:szCs w:val="32"/>
        </w:rPr>
        <w:t>量设置</w:t>
      </w:r>
      <w:proofErr w:type="gramEnd"/>
      <w:r>
        <w:rPr>
          <w:snapToGrid w:val="0"/>
          <w:kern w:val="0"/>
          <w:szCs w:val="32"/>
        </w:rPr>
        <w:t>了数量、时效、经济效益等指标，但产出方面缺少质量指标，效益方面缺少满意度指标。</w:t>
      </w:r>
    </w:p>
    <w:p w:rsidR="0029667E" w:rsidRDefault="005F36FF">
      <w:pPr>
        <w:ind w:firstLine="640"/>
        <w:rPr>
          <w:snapToGrid w:val="0"/>
          <w:kern w:val="0"/>
          <w:szCs w:val="32"/>
        </w:rPr>
      </w:pPr>
      <w:r>
        <w:rPr>
          <w:snapToGrid w:val="0"/>
          <w:kern w:val="0"/>
          <w:szCs w:val="32"/>
        </w:rPr>
        <w:t>绩效自评阶段按照规定设置了</w:t>
      </w:r>
      <w:r>
        <w:t>7</w:t>
      </w:r>
      <w:r>
        <w:t>个绩效指标，包括</w:t>
      </w:r>
      <w:r>
        <w:rPr>
          <w:snapToGrid w:val="0"/>
          <w:kern w:val="0"/>
          <w:szCs w:val="32"/>
        </w:rPr>
        <w:t>数量、时效、经济效益、社会效益和服务对象满意度指标，同样未针对工程质量设置质量指标，总目标与阶段性目标的完整性均有待提高。</w:t>
      </w:r>
    </w:p>
    <w:p w:rsidR="0029667E" w:rsidRDefault="005F36FF">
      <w:pPr>
        <w:ind w:firstLine="640"/>
        <w:rPr>
          <w:snapToGrid w:val="0"/>
          <w:kern w:val="0"/>
          <w:szCs w:val="32"/>
        </w:rPr>
      </w:pPr>
      <w:r>
        <w:rPr>
          <w:rFonts w:ascii="宋体" w:eastAsia="宋体" w:hAnsi="宋体" w:cs="宋体" w:hint="eastAsia"/>
          <w:snapToGrid w:val="0"/>
          <w:kern w:val="0"/>
          <w:szCs w:val="32"/>
        </w:rPr>
        <w:t>②</w:t>
      </w:r>
      <w:r>
        <w:rPr>
          <w:snapToGrid w:val="0"/>
          <w:kern w:val="0"/>
          <w:szCs w:val="32"/>
        </w:rPr>
        <w:t>合理性。</w:t>
      </w:r>
    </w:p>
    <w:p w:rsidR="0029667E" w:rsidRDefault="005F36FF">
      <w:pPr>
        <w:ind w:firstLine="640"/>
        <w:rPr>
          <w:snapToGrid w:val="0"/>
          <w:kern w:val="0"/>
          <w:szCs w:val="32"/>
        </w:rPr>
      </w:pPr>
      <w:r>
        <w:rPr>
          <w:snapToGrid w:val="0"/>
          <w:kern w:val="0"/>
          <w:szCs w:val="32"/>
        </w:rPr>
        <w:t>指标分值</w:t>
      </w:r>
      <w:r>
        <w:rPr>
          <w:snapToGrid w:val="0"/>
          <w:kern w:val="0"/>
          <w:szCs w:val="32"/>
        </w:rPr>
        <w:t>2</w:t>
      </w:r>
      <w:r>
        <w:rPr>
          <w:snapToGrid w:val="0"/>
          <w:kern w:val="0"/>
          <w:szCs w:val="32"/>
        </w:rPr>
        <w:t>分，评价得分</w:t>
      </w:r>
      <w:r>
        <w:rPr>
          <w:snapToGrid w:val="0"/>
          <w:kern w:val="0"/>
          <w:szCs w:val="32"/>
        </w:rPr>
        <w:t>1</w:t>
      </w:r>
      <w:r>
        <w:rPr>
          <w:snapToGrid w:val="0"/>
          <w:kern w:val="0"/>
          <w:szCs w:val="32"/>
        </w:rPr>
        <w:t>分，评价得分率为</w:t>
      </w:r>
      <w:r>
        <w:rPr>
          <w:snapToGrid w:val="0"/>
          <w:kern w:val="0"/>
          <w:szCs w:val="32"/>
        </w:rPr>
        <w:t>50%</w:t>
      </w:r>
      <w:r>
        <w:rPr>
          <w:snapToGrid w:val="0"/>
          <w:kern w:val="0"/>
          <w:szCs w:val="32"/>
        </w:rPr>
        <w:t>。</w:t>
      </w:r>
    </w:p>
    <w:p w:rsidR="0029667E" w:rsidRDefault="005F36FF">
      <w:pPr>
        <w:ind w:firstLine="640"/>
      </w:pPr>
      <w:r>
        <w:rPr>
          <w:snapToGrid w:val="0"/>
          <w:kern w:val="0"/>
          <w:szCs w:val="32"/>
        </w:rPr>
        <w:t>根据《项目申报表》、绩效自评报告、绩效自评表等有关材料，</w:t>
      </w:r>
      <w:r>
        <w:rPr>
          <w:szCs w:val="32"/>
        </w:rPr>
        <w:t>项目</w:t>
      </w:r>
      <w:r>
        <w:t>2023</w:t>
      </w:r>
      <w:r>
        <w:t>年年初申报阶段与绩效自评阶段设置的绩效目标保持一致，均为</w:t>
      </w:r>
      <w:r>
        <w:t>2023</w:t>
      </w:r>
      <w:r>
        <w:t>年计划完成</w:t>
      </w:r>
      <w:r>
        <w:t>项目主体工程</w:t>
      </w:r>
      <w:r>
        <w:t>80%</w:t>
      </w:r>
      <w:r>
        <w:t>工程量，配套设施的</w:t>
      </w:r>
      <w:r>
        <w:t>80%</w:t>
      </w:r>
      <w:r>
        <w:t>，完成工程进度的</w:t>
      </w:r>
      <w:r>
        <w:t>80%</w:t>
      </w:r>
      <w:r>
        <w:t>。社会效益方面完工验收通过率</w:t>
      </w:r>
      <w:r>
        <w:t>100%</w:t>
      </w:r>
      <w:r>
        <w:t>，严格履行国家劳保制度有施工安全制度和员工安全防护措施；施工单位无拖欠、克扣农民工工资现。绩效目标的内容主要为项目的预期产出情况，完工验收通过率意义在于工程质量验收情况，作为效益目标无法体现项目实际产生的社会效益；履行国家劳保制度、不拖欠克扣农民工工资属于实施单位应履行的义务与职责，不建议设置为社会效益目标。</w:t>
      </w:r>
    </w:p>
    <w:p w:rsidR="0029667E" w:rsidRDefault="005F36FF">
      <w:pPr>
        <w:ind w:firstLine="640"/>
        <w:rPr>
          <w:rFonts w:eastAsia="宋体"/>
          <w:snapToGrid w:val="0"/>
          <w:kern w:val="0"/>
          <w:szCs w:val="32"/>
        </w:rPr>
      </w:pPr>
      <w:r>
        <w:rPr>
          <w:snapToGrid w:val="0"/>
          <w:kern w:val="0"/>
          <w:szCs w:val="32"/>
        </w:rPr>
        <w:t>项目申报阶段与自评阶段的经济效益指标设置为</w:t>
      </w:r>
      <w:r>
        <w:rPr>
          <w:rFonts w:ascii="仿宋_GB2312" w:hint="eastAsia"/>
          <w:snapToGrid w:val="0"/>
          <w:kern w:val="0"/>
          <w:szCs w:val="32"/>
        </w:rPr>
        <w:t>“</w:t>
      </w:r>
      <w:r>
        <w:rPr>
          <w:snapToGrid w:val="0"/>
          <w:kern w:val="0"/>
          <w:szCs w:val="32"/>
        </w:rPr>
        <w:t>保障农民工工资足额及时支付率</w:t>
      </w:r>
      <w:r>
        <w:rPr>
          <w:rFonts w:ascii="仿宋_GB2312" w:hint="eastAsia"/>
          <w:snapToGrid w:val="0"/>
          <w:kern w:val="0"/>
          <w:szCs w:val="32"/>
        </w:rPr>
        <w:t>”</w:t>
      </w:r>
      <w:r>
        <w:rPr>
          <w:snapToGrid w:val="0"/>
          <w:kern w:val="0"/>
          <w:szCs w:val="32"/>
        </w:rPr>
        <w:t>，该指标非经济效益指标，更</w:t>
      </w:r>
      <w:r>
        <w:rPr>
          <w:snapToGrid w:val="0"/>
          <w:kern w:val="0"/>
          <w:szCs w:val="32"/>
        </w:rPr>
        <w:t>偏向于社会效益；申报阶段与自评阶段的社会效益设置为</w:t>
      </w:r>
      <w:r>
        <w:rPr>
          <w:rFonts w:ascii="仿宋_GB2312" w:hint="eastAsia"/>
          <w:snapToGrid w:val="0"/>
          <w:kern w:val="0"/>
          <w:szCs w:val="32"/>
        </w:rPr>
        <w:t>“</w:t>
      </w:r>
      <w:r>
        <w:rPr>
          <w:snapToGrid w:val="0"/>
          <w:kern w:val="0"/>
          <w:szCs w:val="32"/>
        </w:rPr>
        <w:t>设计功能实现率（</w:t>
      </w:r>
      <w:r>
        <w:rPr>
          <w:snapToGrid w:val="0"/>
          <w:kern w:val="0"/>
          <w:szCs w:val="32"/>
        </w:rPr>
        <w:t>%</w:t>
      </w:r>
      <w:r>
        <w:rPr>
          <w:snapToGrid w:val="0"/>
          <w:kern w:val="0"/>
          <w:szCs w:val="32"/>
        </w:rPr>
        <w:t>）</w:t>
      </w:r>
      <w:r>
        <w:rPr>
          <w:rFonts w:ascii="仿宋_GB2312" w:hint="eastAsia"/>
          <w:snapToGrid w:val="0"/>
          <w:kern w:val="0"/>
          <w:szCs w:val="32"/>
        </w:rPr>
        <w:t>”</w:t>
      </w:r>
      <w:r>
        <w:rPr>
          <w:snapToGrid w:val="0"/>
          <w:kern w:val="0"/>
          <w:szCs w:val="32"/>
        </w:rPr>
        <w:t>，该指标更偏向于质量指标；项目指标设置分类不准确，且未包含年度实施内容所产生的产出、效益，项目决策意图未能有效体现。</w:t>
      </w:r>
    </w:p>
    <w:p w:rsidR="0029667E" w:rsidRDefault="005F36FF">
      <w:pPr>
        <w:ind w:firstLine="640"/>
        <w:rPr>
          <w:snapToGrid w:val="0"/>
          <w:kern w:val="0"/>
          <w:szCs w:val="32"/>
        </w:rPr>
      </w:pPr>
      <w:r>
        <w:rPr>
          <w:rFonts w:ascii="宋体" w:eastAsia="宋体" w:hAnsi="宋体" w:cs="宋体" w:hint="eastAsia"/>
          <w:snapToGrid w:val="0"/>
          <w:kern w:val="0"/>
          <w:szCs w:val="32"/>
        </w:rPr>
        <w:t>③</w:t>
      </w:r>
      <w:r>
        <w:rPr>
          <w:snapToGrid w:val="0"/>
          <w:kern w:val="0"/>
          <w:szCs w:val="32"/>
        </w:rPr>
        <w:t>可衡量性。</w:t>
      </w:r>
    </w:p>
    <w:p w:rsidR="0029667E" w:rsidRDefault="005F36FF">
      <w:pPr>
        <w:ind w:firstLine="640"/>
        <w:rPr>
          <w:snapToGrid w:val="0"/>
          <w:kern w:val="0"/>
          <w:szCs w:val="32"/>
        </w:rPr>
      </w:pPr>
      <w:r>
        <w:rPr>
          <w:snapToGrid w:val="0"/>
          <w:kern w:val="0"/>
          <w:szCs w:val="32"/>
        </w:rPr>
        <w:t>指标分值</w:t>
      </w:r>
      <w:r>
        <w:rPr>
          <w:snapToGrid w:val="0"/>
          <w:kern w:val="0"/>
          <w:szCs w:val="32"/>
        </w:rPr>
        <w:t>2</w:t>
      </w:r>
      <w:r>
        <w:rPr>
          <w:snapToGrid w:val="0"/>
          <w:kern w:val="0"/>
          <w:szCs w:val="32"/>
        </w:rPr>
        <w:t>分，评价得分</w:t>
      </w:r>
      <w:r>
        <w:rPr>
          <w:snapToGrid w:val="0"/>
          <w:kern w:val="0"/>
          <w:szCs w:val="32"/>
        </w:rPr>
        <w:t>2</w:t>
      </w:r>
      <w:r>
        <w:rPr>
          <w:snapToGrid w:val="0"/>
          <w:kern w:val="0"/>
          <w:szCs w:val="32"/>
        </w:rPr>
        <w:t>分，评价得分率为</w:t>
      </w:r>
      <w:r>
        <w:rPr>
          <w:snapToGrid w:val="0"/>
          <w:kern w:val="0"/>
          <w:szCs w:val="32"/>
        </w:rPr>
        <w:t>100%</w:t>
      </w:r>
      <w:r>
        <w:rPr>
          <w:snapToGrid w:val="0"/>
          <w:kern w:val="0"/>
          <w:szCs w:val="32"/>
        </w:rPr>
        <w:t>。</w:t>
      </w:r>
    </w:p>
    <w:p w:rsidR="0029667E" w:rsidRDefault="005F36FF">
      <w:pPr>
        <w:ind w:firstLine="640"/>
        <w:rPr>
          <w:snapToGrid w:val="0"/>
          <w:kern w:val="0"/>
          <w:szCs w:val="32"/>
        </w:rPr>
      </w:pPr>
      <w:r>
        <w:rPr>
          <w:snapToGrid w:val="0"/>
          <w:kern w:val="0"/>
          <w:szCs w:val="32"/>
        </w:rPr>
        <w:t>根据《项目申报表》、绩效自评报告、绩效自评表等有关材料，项目设置的产出和效益指标均为定量指标，能够细化量化预期目标值，目标设置具有可衡量性。</w:t>
      </w:r>
    </w:p>
    <w:p w:rsidR="0029667E" w:rsidRDefault="005F36FF">
      <w:pPr>
        <w:pStyle w:val="4"/>
        <w:ind w:firstLine="640"/>
        <w:rPr>
          <w:rFonts w:cs="Times New Roman"/>
          <w:snapToGrid w:val="0"/>
        </w:rPr>
      </w:pPr>
      <w:r>
        <w:rPr>
          <w:rFonts w:cs="Times New Roman"/>
          <w:snapToGrid w:val="0"/>
        </w:rPr>
        <w:t>（</w:t>
      </w:r>
      <w:r>
        <w:rPr>
          <w:rFonts w:cs="Times New Roman"/>
          <w:snapToGrid w:val="0"/>
        </w:rPr>
        <w:t>3</w:t>
      </w:r>
      <w:r>
        <w:rPr>
          <w:rFonts w:cs="Times New Roman"/>
          <w:snapToGrid w:val="0"/>
        </w:rPr>
        <w:t>）保障措施。</w:t>
      </w:r>
    </w:p>
    <w:p w:rsidR="0029667E" w:rsidRDefault="005F36FF">
      <w:pPr>
        <w:ind w:firstLine="640"/>
        <w:rPr>
          <w:snapToGrid w:val="0"/>
          <w:kern w:val="0"/>
          <w:szCs w:val="32"/>
        </w:rPr>
      </w:pPr>
      <w:r>
        <w:rPr>
          <w:snapToGrid w:val="0"/>
          <w:kern w:val="0"/>
          <w:szCs w:val="32"/>
        </w:rPr>
        <w:t>该指标包括制度完整性、计划安排合理性</w:t>
      </w:r>
      <w:r>
        <w:rPr>
          <w:snapToGrid w:val="0"/>
          <w:kern w:val="0"/>
          <w:szCs w:val="32"/>
        </w:rPr>
        <w:t>2</w:t>
      </w:r>
      <w:r>
        <w:rPr>
          <w:snapToGrid w:val="0"/>
          <w:kern w:val="0"/>
          <w:szCs w:val="32"/>
        </w:rPr>
        <w:t>个方面，指标分值</w:t>
      </w:r>
      <w:r>
        <w:rPr>
          <w:snapToGrid w:val="0"/>
          <w:kern w:val="0"/>
          <w:szCs w:val="32"/>
        </w:rPr>
        <w:t>2</w:t>
      </w:r>
      <w:r>
        <w:rPr>
          <w:snapToGrid w:val="0"/>
          <w:kern w:val="0"/>
          <w:szCs w:val="32"/>
        </w:rPr>
        <w:t>分</w:t>
      </w:r>
      <w:r>
        <w:t>，评价得分</w:t>
      </w:r>
      <w:r>
        <w:t>1.5</w:t>
      </w:r>
      <w:r>
        <w:t>分，评价得分率为</w:t>
      </w:r>
      <w:r>
        <w:t>75</w:t>
      </w:r>
      <w:r>
        <w:t>%</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制度完整性。</w:t>
      </w:r>
    </w:p>
    <w:p w:rsidR="0029667E" w:rsidRDefault="005F36FF">
      <w:pPr>
        <w:ind w:firstLine="640"/>
        <w:rPr>
          <w:snapToGrid w:val="0"/>
          <w:kern w:val="0"/>
          <w:szCs w:val="32"/>
        </w:rPr>
      </w:pPr>
      <w:r>
        <w:rPr>
          <w:snapToGrid w:val="0"/>
          <w:kern w:val="0"/>
          <w:szCs w:val="32"/>
        </w:rPr>
        <w:t>指标分值</w:t>
      </w:r>
      <w:r>
        <w:rPr>
          <w:snapToGrid w:val="0"/>
          <w:kern w:val="0"/>
          <w:szCs w:val="32"/>
        </w:rPr>
        <w:t>1</w:t>
      </w:r>
      <w:r>
        <w:rPr>
          <w:snapToGrid w:val="0"/>
          <w:kern w:val="0"/>
          <w:szCs w:val="32"/>
        </w:rPr>
        <w:t>分，评价得分</w:t>
      </w:r>
      <w:r>
        <w:rPr>
          <w:snapToGrid w:val="0"/>
          <w:kern w:val="0"/>
          <w:szCs w:val="32"/>
        </w:rPr>
        <w:t>1</w:t>
      </w:r>
      <w:r>
        <w:rPr>
          <w:snapToGrid w:val="0"/>
          <w:kern w:val="0"/>
          <w:szCs w:val="32"/>
        </w:rPr>
        <w:t>分，评价得分率为</w:t>
      </w:r>
      <w:r>
        <w:rPr>
          <w:snapToGrid w:val="0"/>
          <w:kern w:val="0"/>
          <w:szCs w:val="32"/>
        </w:rPr>
        <w:t>100%</w:t>
      </w:r>
      <w:r>
        <w:rPr>
          <w:snapToGrid w:val="0"/>
          <w:kern w:val="0"/>
          <w:szCs w:val="32"/>
        </w:rPr>
        <w:t>。</w:t>
      </w:r>
    </w:p>
    <w:p w:rsidR="0029667E" w:rsidRDefault="005F36FF">
      <w:pPr>
        <w:ind w:firstLine="640"/>
      </w:pPr>
      <w:r>
        <w:t>根据区道路养护中心提供的《广州东部交通枢纽中心片区基础设施配套项目管理办法》，该办法规定了具体的项目管理模式，对工程的勘察设计、监理、实施、征地</w:t>
      </w:r>
      <w:bookmarkStart w:id="56" w:name="_Hlt522519708"/>
      <w:r>
        <w:t>拆</w:t>
      </w:r>
      <w:bookmarkEnd w:id="56"/>
      <w:r>
        <w:t>迁等各部分工作进行相关规定，财务部分根据</w:t>
      </w:r>
      <w:r>
        <w:rPr>
          <w:snapToGrid w:val="0"/>
          <w:kern w:val="0"/>
          <w:szCs w:val="32"/>
        </w:rPr>
        <w:t>《广州市增城区交通运输局财务管理办法》的有关规定进行项目预算支出与管理，项目保障制度基本完整。</w:t>
      </w:r>
    </w:p>
    <w:p w:rsidR="0029667E" w:rsidRDefault="005F36FF">
      <w:pPr>
        <w:ind w:firstLine="640"/>
        <w:rPr>
          <w:snapToGrid w:val="0"/>
          <w:kern w:val="0"/>
          <w:szCs w:val="32"/>
        </w:rPr>
      </w:pPr>
      <w:r>
        <w:rPr>
          <w:rFonts w:ascii="宋体" w:eastAsia="宋体" w:hAnsi="宋体" w:cs="宋体" w:hint="eastAsia"/>
          <w:snapToGrid w:val="0"/>
          <w:kern w:val="0"/>
          <w:szCs w:val="32"/>
        </w:rPr>
        <w:t>②</w:t>
      </w:r>
      <w:r>
        <w:rPr>
          <w:snapToGrid w:val="0"/>
          <w:kern w:val="0"/>
          <w:szCs w:val="32"/>
        </w:rPr>
        <w:t>计划安排合理性。</w:t>
      </w:r>
    </w:p>
    <w:p w:rsidR="0029667E" w:rsidRDefault="005F36FF">
      <w:pPr>
        <w:ind w:firstLine="640"/>
        <w:rPr>
          <w:snapToGrid w:val="0"/>
          <w:kern w:val="0"/>
          <w:szCs w:val="32"/>
        </w:rPr>
      </w:pPr>
      <w:r>
        <w:rPr>
          <w:snapToGrid w:val="0"/>
          <w:kern w:val="0"/>
          <w:szCs w:val="32"/>
        </w:rPr>
        <w:t>指标分值</w:t>
      </w:r>
      <w:r>
        <w:rPr>
          <w:snapToGrid w:val="0"/>
          <w:kern w:val="0"/>
          <w:szCs w:val="32"/>
        </w:rPr>
        <w:t>1</w:t>
      </w:r>
      <w:r>
        <w:rPr>
          <w:snapToGrid w:val="0"/>
          <w:kern w:val="0"/>
          <w:szCs w:val="32"/>
        </w:rPr>
        <w:t>分，评价得分</w:t>
      </w:r>
      <w:r>
        <w:rPr>
          <w:snapToGrid w:val="0"/>
          <w:kern w:val="0"/>
          <w:szCs w:val="32"/>
        </w:rPr>
        <w:t>0.5</w:t>
      </w:r>
      <w:r>
        <w:rPr>
          <w:snapToGrid w:val="0"/>
          <w:kern w:val="0"/>
          <w:szCs w:val="32"/>
        </w:rPr>
        <w:t>分，评价得分率为</w:t>
      </w:r>
      <w:r>
        <w:rPr>
          <w:snapToGrid w:val="0"/>
          <w:kern w:val="0"/>
          <w:szCs w:val="32"/>
        </w:rPr>
        <w:t>50%</w:t>
      </w:r>
      <w:r>
        <w:rPr>
          <w:snapToGrid w:val="0"/>
          <w:kern w:val="0"/>
          <w:szCs w:val="32"/>
        </w:rPr>
        <w:t>。</w:t>
      </w:r>
    </w:p>
    <w:p w:rsidR="0029667E" w:rsidRDefault="005F36FF">
      <w:pPr>
        <w:ind w:firstLine="640"/>
        <w:rPr>
          <w:snapToGrid w:val="0"/>
          <w:kern w:val="0"/>
          <w:szCs w:val="32"/>
        </w:rPr>
      </w:pPr>
      <w:r>
        <w:rPr>
          <w:snapToGrid w:val="0"/>
          <w:kern w:val="0"/>
          <w:szCs w:val="32"/>
        </w:rPr>
        <w:t>项目制定了《新塘站片区路网一包一标项目施工节点工期计划》《新塘站片区路网二标项目施</w:t>
      </w:r>
      <w:r>
        <w:rPr>
          <w:snapToGrid w:val="0"/>
          <w:kern w:val="0"/>
          <w:szCs w:val="32"/>
        </w:rPr>
        <w:t>工节点》，对项目各部分工程的施工节点制定了较为详细的计划，但在实际施工中，一、二标段均未能按时推进施工进度实现施工节点计划，主要原因是未将专业管线迁</w:t>
      </w:r>
      <w:proofErr w:type="gramStart"/>
      <w:r>
        <w:rPr>
          <w:snapToGrid w:val="0"/>
          <w:kern w:val="0"/>
          <w:szCs w:val="32"/>
        </w:rPr>
        <w:t>改及群众征拆问题</w:t>
      </w:r>
      <w:proofErr w:type="gramEnd"/>
      <w:r>
        <w:rPr>
          <w:snapToGrid w:val="0"/>
          <w:kern w:val="0"/>
          <w:szCs w:val="32"/>
        </w:rPr>
        <w:t>所需的时间纳入计划制定的</w:t>
      </w:r>
      <w:proofErr w:type="gramStart"/>
      <w:r>
        <w:rPr>
          <w:snapToGrid w:val="0"/>
          <w:kern w:val="0"/>
          <w:szCs w:val="32"/>
        </w:rPr>
        <w:t>考量</w:t>
      </w:r>
      <w:proofErr w:type="gramEnd"/>
      <w:r>
        <w:rPr>
          <w:snapToGrid w:val="0"/>
          <w:kern w:val="0"/>
          <w:szCs w:val="32"/>
        </w:rPr>
        <w:t>范围，项目实际工期较计划工期滞后，计划安排的合理性有待进一步提高。</w:t>
      </w:r>
    </w:p>
    <w:p w:rsidR="0029667E" w:rsidRDefault="005F36FF">
      <w:pPr>
        <w:pStyle w:val="4"/>
        <w:ind w:firstLine="640"/>
        <w:rPr>
          <w:rFonts w:cs="Times New Roman"/>
          <w:snapToGrid w:val="0"/>
        </w:rPr>
      </w:pPr>
      <w:r>
        <w:rPr>
          <w:rFonts w:cs="Times New Roman"/>
          <w:snapToGrid w:val="0"/>
        </w:rPr>
        <w:t>（</w:t>
      </w:r>
      <w:r>
        <w:rPr>
          <w:rFonts w:cs="Times New Roman"/>
          <w:snapToGrid w:val="0"/>
        </w:rPr>
        <w:t>4</w:t>
      </w:r>
      <w:r>
        <w:rPr>
          <w:rFonts w:cs="Times New Roman"/>
          <w:snapToGrid w:val="0"/>
        </w:rPr>
        <w:t>）资金到位。</w:t>
      </w:r>
    </w:p>
    <w:p w:rsidR="0029667E" w:rsidRDefault="005F36FF">
      <w:pPr>
        <w:ind w:firstLine="640"/>
        <w:rPr>
          <w:snapToGrid w:val="0"/>
          <w:kern w:val="0"/>
          <w:szCs w:val="32"/>
        </w:rPr>
      </w:pPr>
      <w:r>
        <w:rPr>
          <w:snapToGrid w:val="0"/>
          <w:kern w:val="0"/>
          <w:szCs w:val="32"/>
        </w:rPr>
        <w:t>该指标包括资金到位率、资金到位及时性</w:t>
      </w:r>
      <w:r>
        <w:rPr>
          <w:snapToGrid w:val="0"/>
          <w:kern w:val="0"/>
          <w:szCs w:val="32"/>
        </w:rPr>
        <w:t>2</w:t>
      </w:r>
      <w:r>
        <w:rPr>
          <w:snapToGrid w:val="0"/>
          <w:kern w:val="0"/>
          <w:szCs w:val="32"/>
        </w:rPr>
        <w:t>个方面，指标分值</w:t>
      </w:r>
      <w:r>
        <w:rPr>
          <w:snapToGrid w:val="0"/>
          <w:kern w:val="0"/>
          <w:szCs w:val="32"/>
        </w:rPr>
        <w:t>5</w:t>
      </w:r>
      <w:r>
        <w:rPr>
          <w:snapToGrid w:val="0"/>
          <w:kern w:val="0"/>
          <w:szCs w:val="32"/>
        </w:rPr>
        <w:t>分</w:t>
      </w:r>
      <w:r>
        <w:t>，评价得分</w:t>
      </w:r>
      <w:r>
        <w:t>5</w:t>
      </w:r>
      <w:r>
        <w:t>分，评价得分率为</w:t>
      </w:r>
      <w:r>
        <w:t>100%</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资金到位率。</w:t>
      </w:r>
    </w:p>
    <w:p w:rsidR="0029667E" w:rsidRDefault="005F36FF">
      <w:pPr>
        <w:ind w:firstLine="640"/>
        <w:rPr>
          <w:snapToGrid w:val="0"/>
          <w:kern w:val="0"/>
          <w:szCs w:val="32"/>
        </w:rPr>
      </w:pPr>
      <w:r>
        <w:rPr>
          <w:snapToGrid w:val="0"/>
          <w:kern w:val="0"/>
          <w:szCs w:val="32"/>
        </w:rPr>
        <w:t>指标分值</w:t>
      </w:r>
      <w:r>
        <w:rPr>
          <w:snapToGrid w:val="0"/>
          <w:kern w:val="0"/>
          <w:szCs w:val="32"/>
        </w:rPr>
        <w:t>3</w:t>
      </w:r>
      <w:r>
        <w:rPr>
          <w:snapToGrid w:val="0"/>
          <w:kern w:val="0"/>
          <w:szCs w:val="32"/>
        </w:rPr>
        <w:t>分，评价得分</w:t>
      </w:r>
      <w:r>
        <w:rPr>
          <w:snapToGrid w:val="0"/>
          <w:kern w:val="0"/>
          <w:szCs w:val="32"/>
        </w:rPr>
        <w:t>3</w:t>
      </w:r>
      <w:r>
        <w:rPr>
          <w:snapToGrid w:val="0"/>
          <w:kern w:val="0"/>
          <w:szCs w:val="32"/>
        </w:rPr>
        <w:t>分，评价得分率为</w:t>
      </w:r>
      <w:r>
        <w:rPr>
          <w:snapToGrid w:val="0"/>
          <w:kern w:val="0"/>
          <w:szCs w:val="32"/>
        </w:rPr>
        <w:t>100%</w:t>
      </w:r>
      <w:r>
        <w:rPr>
          <w:snapToGrid w:val="0"/>
          <w:kern w:val="0"/>
          <w:szCs w:val="32"/>
        </w:rPr>
        <w:t>。</w:t>
      </w:r>
    </w:p>
    <w:p w:rsidR="0029667E" w:rsidRDefault="005F36FF">
      <w:pPr>
        <w:ind w:firstLine="640"/>
        <w:rPr>
          <w:szCs w:val="32"/>
        </w:rPr>
      </w:pPr>
      <w:r>
        <w:rPr>
          <w:szCs w:val="32"/>
        </w:rPr>
        <w:t>根据增城区财政局的预算下达与调整文件《广州市增城区财政局关于广州市增</w:t>
      </w:r>
      <w:r>
        <w:rPr>
          <w:szCs w:val="32"/>
        </w:rPr>
        <w:t>城区交通运输局</w:t>
      </w:r>
      <w:r>
        <w:rPr>
          <w:szCs w:val="32"/>
        </w:rPr>
        <w:t>2023</w:t>
      </w:r>
      <w:r>
        <w:rPr>
          <w:szCs w:val="32"/>
        </w:rPr>
        <w:t>年预算的通知》（增财〔</w:t>
      </w:r>
      <w:r>
        <w:rPr>
          <w:szCs w:val="32"/>
        </w:rPr>
        <w:t>2023</w:t>
      </w:r>
      <w:r>
        <w:rPr>
          <w:szCs w:val="32"/>
        </w:rPr>
        <w:t>〕</w:t>
      </w:r>
      <w:r>
        <w:rPr>
          <w:szCs w:val="32"/>
        </w:rPr>
        <w:t>231</w:t>
      </w:r>
      <w:r>
        <w:rPr>
          <w:szCs w:val="32"/>
        </w:rPr>
        <w:t>号）、《广州市增城区财政局关于批复</w:t>
      </w:r>
      <w:r>
        <w:rPr>
          <w:szCs w:val="32"/>
        </w:rPr>
        <w:t>2023</w:t>
      </w:r>
      <w:r>
        <w:rPr>
          <w:szCs w:val="32"/>
        </w:rPr>
        <w:t>年第一次预算调整指标的通知》（增财〔</w:t>
      </w:r>
      <w:r>
        <w:rPr>
          <w:szCs w:val="32"/>
        </w:rPr>
        <w:t>2023</w:t>
      </w:r>
      <w:r>
        <w:rPr>
          <w:szCs w:val="32"/>
        </w:rPr>
        <w:t>〕</w:t>
      </w:r>
      <w:r>
        <w:rPr>
          <w:szCs w:val="32"/>
        </w:rPr>
        <w:t>452</w:t>
      </w:r>
      <w:r>
        <w:rPr>
          <w:szCs w:val="32"/>
        </w:rPr>
        <w:t>号）、《广州市增城区财政局关于批复</w:t>
      </w:r>
      <w:r>
        <w:rPr>
          <w:szCs w:val="32"/>
        </w:rPr>
        <w:t>2023</w:t>
      </w:r>
      <w:r>
        <w:rPr>
          <w:szCs w:val="32"/>
        </w:rPr>
        <w:t>年第二次预算调整指标的通知》（增财〔</w:t>
      </w:r>
      <w:r>
        <w:rPr>
          <w:szCs w:val="32"/>
        </w:rPr>
        <w:t>2023</w:t>
      </w:r>
      <w:r>
        <w:rPr>
          <w:szCs w:val="32"/>
        </w:rPr>
        <w:t>〕</w:t>
      </w:r>
      <w:r>
        <w:rPr>
          <w:szCs w:val="32"/>
        </w:rPr>
        <w:t>680</w:t>
      </w:r>
      <w:r>
        <w:rPr>
          <w:szCs w:val="32"/>
        </w:rPr>
        <w:t>号），以及《广州市增城区财政局关于转发广州市财政局关于下达</w:t>
      </w:r>
      <w:r>
        <w:rPr>
          <w:szCs w:val="32"/>
        </w:rPr>
        <w:t>2023</w:t>
      </w:r>
      <w:r>
        <w:rPr>
          <w:szCs w:val="32"/>
        </w:rPr>
        <w:t>年</w:t>
      </w:r>
      <w:r>
        <w:rPr>
          <w:szCs w:val="32"/>
        </w:rPr>
        <w:t>1</w:t>
      </w:r>
      <w:r>
        <w:rPr>
          <w:szCs w:val="32"/>
        </w:rPr>
        <w:t>月地方政府新增债券转贷资金的通知》（增财〔</w:t>
      </w:r>
      <w:r>
        <w:rPr>
          <w:szCs w:val="32"/>
        </w:rPr>
        <w:t>2023</w:t>
      </w:r>
      <w:r>
        <w:rPr>
          <w:szCs w:val="32"/>
        </w:rPr>
        <w:t>〕</w:t>
      </w:r>
      <w:r>
        <w:rPr>
          <w:szCs w:val="32"/>
        </w:rPr>
        <w:t>65</w:t>
      </w:r>
      <w:r>
        <w:rPr>
          <w:szCs w:val="32"/>
        </w:rPr>
        <w:t>号）、《广州市增城区财政局关于转发广州市财政局关于下达</w:t>
      </w:r>
      <w:r>
        <w:rPr>
          <w:szCs w:val="32"/>
        </w:rPr>
        <w:t>2023</w:t>
      </w:r>
      <w:r>
        <w:rPr>
          <w:szCs w:val="32"/>
        </w:rPr>
        <w:t>年</w:t>
      </w:r>
      <w:r>
        <w:rPr>
          <w:szCs w:val="32"/>
        </w:rPr>
        <w:t>4</w:t>
      </w:r>
      <w:r>
        <w:rPr>
          <w:szCs w:val="32"/>
        </w:rPr>
        <w:t>月地方政府新增债券转贷资金的通知》（增财〔</w:t>
      </w:r>
      <w:r>
        <w:rPr>
          <w:szCs w:val="32"/>
        </w:rPr>
        <w:t>2023</w:t>
      </w:r>
      <w:r>
        <w:rPr>
          <w:szCs w:val="32"/>
        </w:rPr>
        <w:t>〕</w:t>
      </w:r>
      <w:r>
        <w:rPr>
          <w:szCs w:val="32"/>
        </w:rPr>
        <w:t>251</w:t>
      </w:r>
      <w:r>
        <w:rPr>
          <w:szCs w:val="32"/>
        </w:rPr>
        <w:t>号）等，结合项</w:t>
      </w:r>
      <w:r>
        <w:rPr>
          <w:szCs w:val="32"/>
        </w:rPr>
        <w:t>目资金的使用情况，项目</w:t>
      </w:r>
      <w:r>
        <w:rPr>
          <w:szCs w:val="32"/>
        </w:rPr>
        <w:t>2023</w:t>
      </w:r>
      <w:r>
        <w:rPr>
          <w:szCs w:val="32"/>
        </w:rPr>
        <w:t>年使用的专项债券资金</w:t>
      </w:r>
      <w:r>
        <w:rPr>
          <w:szCs w:val="32"/>
        </w:rPr>
        <w:t>67152.86</w:t>
      </w:r>
      <w:r>
        <w:rPr>
          <w:szCs w:val="32"/>
        </w:rPr>
        <w:t>万元，区级财政资金</w:t>
      </w:r>
      <w:r>
        <w:rPr>
          <w:szCs w:val="32"/>
        </w:rPr>
        <w:t>128.69</w:t>
      </w:r>
      <w:r>
        <w:rPr>
          <w:szCs w:val="32"/>
        </w:rPr>
        <w:t>万元均足额到位，资金到位率</w:t>
      </w:r>
      <w:r>
        <w:rPr>
          <w:szCs w:val="32"/>
        </w:rPr>
        <w:t>100%</w:t>
      </w:r>
      <w:r>
        <w:rPr>
          <w:szCs w:val="32"/>
        </w:rPr>
        <w:t>。</w:t>
      </w:r>
    </w:p>
    <w:p w:rsidR="0029667E" w:rsidRDefault="005F36FF">
      <w:pPr>
        <w:ind w:firstLine="640"/>
        <w:rPr>
          <w:snapToGrid w:val="0"/>
          <w:kern w:val="0"/>
          <w:szCs w:val="32"/>
        </w:rPr>
      </w:pPr>
      <w:r>
        <w:rPr>
          <w:rFonts w:ascii="宋体" w:eastAsia="宋体" w:hAnsi="宋体" w:cs="宋体" w:hint="eastAsia"/>
          <w:snapToGrid w:val="0"/>
          <w:kern w:val="0"/>
          <w:szCs w:val="32"/>
        </w:rPr>
        <w:t>②</w:t>
      </w:r>
      <w:r>
        <w:rPr>
          <w:snapToGrid w:val="0"/>
          <w:kern w:val="0"/>
          <w:szCs w:val="32"/>
        </w:rPr>
        <w:t>资金到位及时性。</w:t>
      </w:r>
    </w:p>
    <w:p w:rsidR="0029667E" w:rsidRDefault="005F36FF">
      <w:pPr>
        <w:ind w:firstLine="640"/>
        <w:rPr>
          <w:snapToGrid w:val="0"/>
          <w:kern w:val="0"/>
          <w:szCs w:val="32"/>
        </w:rPr>
      </w:pPr>
      <w:r>
        <w:rPr>
          <w:snapToGrid w:val="0"/>
          <w:kern w:val="0"/>
          <w:szCs w:val="32"/>
        </w:rPr>
        <w:t>指标分值</w:t>
      </w:r>
      <w:r>
        <w:rPr>
          <w:snapToGrid w:val="0"/>
          <w:kern w:val="0"/>
          <w:szCs w:val="32"/>
        </w:rPr>
        <w:t>2</w:t>
      </w:r>
      <w:r>
        <w:rPr>
          <w:snapToGrid w:val="0"/>
          <w:kern w:val="0"/>
          <w:szCs w:val="32"/>
        </w:rPr>
        <w:t>分，评价得分</w:t>
      </w:r>
      <w:r>
        <w:rPr>
          <w:snapToGrid w:val="0"/>
          <w:kern w:val="0"/>
          <w:szCs w:val="32"/>
        </w:rPr>
        <w:t>2</w:t>
      </w:r>
      <w:r>
        <w:rPr>
          <w:snapToGrid w:val="0"/>
          <w:kern w:val="0"/>
          <w:szCs w:val="32"/>
        </w:rPr>
        <w:t>分，评价得分率为</w:t>
      </w:r>
      <w:r>
        <w:rPr>
          <w:snapToGrid w:val="0"/>
          <w:kern w:val="0"/>
          <w:szCs w:val="32"/>
        </w:rPr>
        <w:t>100%</w:t>
      </w:r>
      <w:r>
        <w:rPr>
          <w:snapToGrid w:val="0"/>
          <w:kern w:val="0"/>
          <w:szCs w:val="32"/>
        </w:rPr>
        <w:t>。</w:t>
      </w:r>
    </w:p>
    <w:p w:rsidR="0029667E" w:rsidRDefault="005F36FF">
      <w:pPr>
        <w:ind w:firstLine="640"/>
        <w:rPr>
          <w:szCs w:val="32"/>
        </w:rPr>
      </w:pPr>
      <w:r>
        <w:rPr>
          <w:szCs w:val="32"/>
        </w:rPr>
        <w:t>根据增城区财政局的预算下达与调整文件《广州市增城区财政局关于广州市增城区交通运输局</w:t>
      </w:r>
      <w:r>
        <w:rPr>
          <w:szCs w:val="32"/>
        </w:rPr>
        <w:t>2023</w:t>
      </w:r>
      <w:r>
        <w:rPr>
          <w:szCs w:val="32"/>
        </w:rPr>
        <w:t>年预算的通知》（增财〔</w:t>
      </w:r>
      <w:r>
        <w:rPr>
          <w:szCs w:val="32"/>
        </w:rPr>
        <w:t>2023</w:t>
      </w:r>
      <w:r>
        <w:rPr>
          <w:szCs w:val="32"/>
        </w:rPr>
        <w:t>〕</w:t>
      </w:r>
      <w:r>
        <w:rPr>
          <w:szCs w:val="32"/>
        </w:rPr>
        <w:t>231</w:t>
      </w:r>
      <w:r>
        <w:rPr>
          <w:szCs w:val="32"/>
        </w:rPr>
        <w:t>号）、《广州市增城区财政局关于批复</w:t>
      </w:r>
      <w:r>
        <w:rPr>
          <w:szCs w:val="32"/>
        </w:rPr>
        <w:t>2023</w:t>
      </w:r>
      <w:r>
        <w:rPr>
          <w:szCs w:val="32"/>
        </w:rPr>
        <w:t>年第一次预算调整指标的通知》（增财〔</w:t>
      </w:r>
      <w:r>
        <w:rPr>
          <w:szCs w:val="32"/>
        </w:rPr>
        <w:t>2023</w:t>
      </w:r>
      <w:r>
        <w:rPr>
          <w:szCs w:val="32"/>
        </w:rPr>
        <w:t>〕</w:t>
      </w:r>
      <w:r>
        <w:rPr>
          <w:szCs w:val="32"/>
        </w:rPr>
        <w:t>452</w:t>
      </w:r>
      <w:r>
        <w:rPr>
          <w:szCs w:val="32"/>
        </w:rPr>
        <w:t>号）、《广州市增城区财政局关于批复</w:t>
      </w:r>
      <w:r>
        <w:rPr>
          <w:szCs w:val="32"/>
        </w:rPr>
        <w:t>2023</w:t>
      </w:r>
      <w:r>
        <w:rPr>
          <w:szCs w:val="32"/>
        </w:rPr>
        <w:t>年第二次预算调整指标的通知》（增财〔</w:t>
      </w:r>
      <w:r>
        <w:rPr>
          <w:szCs w:val="32"/>
        </w:rPr>
        <w:t>2023</w:t>
      </w:r>
      <w:r>
        <w:rPr>
          <w:szCs w:val="32"/>
        </w:rPr>
        <w:t>〕</w:t>
      </w:r>
      <w:r>
        <w:rPr>
          <w:szCs w:val="32"/>
        </w:rPr>
        <w:t>680</w:t>
      </w:r>
      <w:r>
        <w:rPr>
          <w:szCs w:val="32"/>
        </w:rPr>
        <w:t>号），以及《广州市增城区财政局关于转发广州市财政局关于下达</w:t>
      </w:r>
      <w:r>
        <w:rPr>
          <w:szCs w:val="32"/>
        </w:rPr>
        <w:t>2023</w:t>
      </w:r>
      <w:r>
        <w:rPr>
          <w:szCs w:val="32"/>
        </w:rPr>
        <w:t>年</w:t>
      </w:r>
      <w:r>
        <w:rPr>
          <w:szCs w:val="32"/>
        </w:rPr>
        <w:t>1</w:t>
      </w:r>
      <w:r>
        <w:rPr>
          <w:szCs w:val="32"/>
        </w:rPr>
        <w:t>月地方政府新增债券转贷资金的通知》（增财〔</w:t>
      </w:r>
      <w:r>
        <w:rPr>
          <w:szCs w:val="32"/>
        </w:rPr>
        <w:t>2023</w:t>
      </w:r>
      <w:r>
        <w:rPr>
          <w:szCs w:val="32"/>
        </w:rPr>
        <w:t>〕</w:t>
      </w:r>
      <w:r>
        <w:rPr>
          <w:szCs w:val="32"/>
        </w:rPr>
        <w:t>65</w:t>
      </w:r>
      <w:r>
        <w:rPr>
          <w:szCs w:val="32"/>
        </w:rPr>
        <w:t>号）、《广州市增城区财政局关于转发广州市财政局关于下达</w:t>
      </w:r>
      <w:r>
        <w:rPr>
          <w:szCs w:val="32"/>
        </w:rPr>
        <w:t>2023</w:t>
      </w:r>
      <w:r>
        <w:rPr>
          <w:szCs w:val="32"/>
        </w:rPr>
        <w:t>年</w:t>
      </w:r>
      <w:r>
        <w:rPr>
          <w:szCs w:val="32"/>
        </w:rPr>
        <w:t>4</w:t>
      </w:r>
      <w:r>
        <w:rPr>
          <w:szCs w:val="32"/>
        </w:rPr>
        <w:t>月地</w:t>
      </w:r>
      <w:r>
        <w:rPr>
          <w:szCs w:val="32"/>
        </w:rPr>
        <w:t>方政府新增债券转贷资金的通知》（增财〔</w:t>
      </w:r>
      <w:r>
        <w:rPr>
          <w:szCs w:val="32"/>
        </w:rPr>
        <w:t>2023</w:t>
      </w:r>
      <w:r>
        <w:rPr>
          <w:szCs w:val="32"/>
        </w:rPr>
        <w:t>〕</w:t>
      </w:r>
      <w:r>
        <w:rPr>
          <w:szCs w:val="32"/>
        </w:rPr>
        <w:t>251</w:t>
      </w:r>
      <w:r>
        <w:rPr>
          <w:szCs w:val="32"/>
        </w:rPr>
        <w:t>号）等，结合项目资金的使用情况，未发现资金到位不及时的情况，资金到位及时性</w:t>
      </w:r>
      <w:r>
        <w:rPr>
          <w:szCs w:val="32"/>
        </w:rPr>
        <w:t>100%</w:t>
      </w:r>
      <w:r>
        <w:rPr>
          <w:szCs w:val="32"/>
        </w:rPr>
        <w:t>。</w:t>
      </w:r>
    </w:p>
    <w:p w:rsidR="0029667E" w:rsidRDefault="005F36FF">
      <w:pPr>
        <w:pStyle w:val="4"/>
        <w:ind w:firstLine="640"/>
        <w:rPr>
          <w:rFonts w:cs="Times New Roman"/>
          <w:snapToGrid w:val="0"/>
        </w:rPr>
      </w:pPr>
      <w:r>
        <w:rPr>
          <w:rFonts w:cs="Times New Roman"/>
          <w:snapToGrid w:val="0"/>
        </w:rPr>
        <w:t>（</w:t>
      </w:r>
      <w:r>
        <w:rPr>
          <w:rFonts w:cs="Times New Roman"/>
          <w:snapToGrid w:val="0"/>
        </w:rPr>
        <w:t>5</w:t>
      </w:r>
      <w:r>
        <w:rPr>
          <w:rFonts w:cs="Times New Roman"/>
          <w:snapToGrid w:val="0"/>
        </w:rPr>
        <w:t>）资金分配。</w:t>
      </w:r>
    </w:p>
    <w:p w:rsidR="0029667E" w:rsidRDefault="005F36FF">
      <w:pPr>
        <w:ind w:firstLine="640"/>
        <w:rPr>
          <w:snapToGrid w:val="0"/>
          <w:kern w:val="0"/>
          <w:szCs w:val="32"/>
        </w:rPr>
      </w:pPr>
      <w:r>
        <w:rPr>
          <w:snapToGrid w:val="0"/>
          <w:kern w:val="0"/>
          <w:szCs w:val="32"/>
        </w:rPr>
        <w:t>该指标包括资金分配合理性</w:t>
      </w:r>
      <w:r>
        <w:rPr>
          <w:snapToGrid w:val="0"/>
          <w:kern w:val="0"/>
          <w:szCs w:val="32"/>
        </w:rPr>
        <w:t>1</w:t>
      </w:r>
      <w:r>
        <w:rPr>
          <w:snapToGrid w:val="0"/>
          <w:kern w:val="0"/>
          <w:szCs w:val="32"/>
        </w:rPr>
        <w:t>个方面，指标分值</w:t>
      </w:r>
      <w:r>
        <w:rPr>
          <w:snapToGrid w:val="0"/>
          <w:kern w:val="0"/>
          <w:szCs w:val="32"/>
        </w:rPr>
        <w:t>3</w:t>
      </w:r>
      <w:r>
        <w:rPr>
          <w:snapToGrid w:val="0"/>
          <w:kern w:val="0"/>
          <w:szCs w:val="32"/>
        </w:rPr>
        <w:t>分</w:t>
      </w:r>
      <w:r>
        <w:t>，评价得分</w:t>
      </w:r>
      <w:r>
        <w:t>3</w:t>
      </w:r>
      <w:r>
        <w:t>分，评价得分率为</w:t>
      </w:r>
      <w:r>
        <w:t>100%</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资金分配合理性。</w:t>
      </w:r>
    </w:p>
    <w:p w:rsidR="0029667E" w:rsidRDefault="005F36FF">
      <w:pPr>
        <w:ind w:firstLine="640"/>
        <w:rPr>
          <w:snapToGrid w:val="0"/>
          <w:kern w:val="0"/>
          <w:szCs w:val="32"/>
        </w:rPr>
      </w:pPr>
      <w:r>
        <w:rPr>
          <w:snapToGrid w:val="0"/>
          <w:kern w:val="0"/>
          <w:szCs w:val="32"/>
        </w:rPr>
        <w:t>指标分值</w:t>
      </w:r>
      <w:r>
        <w:rPr>
          <w:snapToGrid w:val="0"/>
          <w:kern w:val="0"/>
          <w:szCs w:val="32"/>
        </w:rPr>
        <w:t>3</w:t>
      </w:r>
      <w:r>
        <w:rPr>
          <w:snapToGrid w:val="0"/>
          <w:kern w:val="0"/>
          <w:szCs w:val="32"/>
        </w:rPr>
        <w:t>分，评价得分</w:t>
      </w:r>
      <w:r>
        <w:rPr>
          <w:snapToGrid w:val="0"/>
          <w:kern w:val="0"/>
          <w:szCs w:val="32"/>
        </w:rPr>
        <w:t>3</w:t>
      </w:r>
      <w:r>
        <w:rPr>
          <w:snapToGrid w:val="0"/>
          <w:kern w:val="0"/>
          <w:szCs w:val="32"/>
        </w:rPr>
        <w:t>分，评价得分率为</w:t>
      </w:r>
      <w:r>
        <w:rPr>
          <w:snapToGrid w:val="0"/>
          <w:kern w:val="0"/>
          <w:szCs w:val="32"/>
        </w:rPr>
        <w:t>100%</w:t>
      </w:r>
      <w:r>
        <w:rPr>
          <w:snapToGrid w:val="0"/>
          <w:kern w:val="0"/>
          <w:szCs w:val="32"/>
        </w:rPr>
        <w:t>。</w:t>
      </w:r>
    </w:p>
    <w:p w:rsidR="0029667E" w:rsidRDefault="005F36FF">
      <w:pPr>
        <w:ind w:firstLine="640"/>
        <w:rPr>
          <w:snapToGrid w:val="0"/>
          <w:kern w:val="0"/>
          <w:szCs w:val="32"/>
        </w:rPr>
      </w:pPr>
      <w:r>
        <w:rPr>
          <w:snapToGrid w:val="0"/>
          <w:kern w:val="0"/>
          <w:szCs w:val="32"/>
        </w:rPr>
        <w:t>根据区道路养护中心提供的项目资金支付材料，项目资金根据合同要求及工程进度进行分配，能够按时支付工人工资、工程进度款等款项，资金分配基本合理。</w:t>
      </w:r>
    </w:p>
    <w:p w:rsidR="0029667E" w:rsidRDefault="005F36FF">
      <w:pPr>
        <w:pStyle w:val="3"/>
        <w:ind w:firstLine="640"/>
        <w:rPr>
          <w:snapToGrid w:val="0"/>
        </w:rPr>
      </w:pPr>
      <w:r>
        <w:rPr>
          <w:snapToGrid w:val="0"/>
        </w:rPr>
        <w:t>2.</w:t>
      </w:r>
      <w:r>
        <w:rPr>
          <w:snapToGrid w:val="0"/>
        </w:rPr>
        <w:t>过程管理情况分析。</w:t>
      </w:r>
    </w:p>
    <w:p w:rsidR="0029667E" w:rsidRDefault="005F36FF">
      <w:pPr>
        <w:ind w:firstLine="640"/>
        <w:rPr>
          <w:snapToGrid w:val="0"/>
          <w:kern w:val="0"/>
          <w:szCs w:val="32"/>
        </w:rPr>
      </w:pPr>
      <w:r>
        <w:t>指标下设</w:t>
      </w:r>
      <w:r>
        <w:rPr>
          <w:rFonts w:ascii="仿宋_GB2312" w:hint="eastAsia"/>
        </w:rPr>
        <w:t>“</w:t>
      </w:r>
      <w:r>
        <w:t>资金管理</w:t>
      </w:r>
      <w:r>
        <w:rPr>
          <w:rFonts w:ascii="仿宋_GB2312" w:hint="eastAsia"/>
        </w:rPr>
        <w:t>”“</w:t>
      </w:r>
      <w:r>
        <w:t>事项管理</w:t>
      </w:r>
      <w:r>
        <w:rPr>
          <w:rFonts w:ascii="仿宋_GB2312" w:hint="eastAsia"/>
        </w:rPr>
        <w:t>”</w:t>
      </w:r>
      <w:r>
        <w:t>2</w:t>
      </w:r>
      <w:r>
        <w:t>个二级指标，主要从资金支付、支出规范性、实施程序、管理情况</w:t>
      </w:r>
      <w:r>
        <w:t>4</w:t>
      </w:r>
      <w:r>
        <w:t>个方面反映项目财务管理与业务管理情况。指标分值</w:t>
      </w:r>
      <w:r>
        <w:t>20</w:t>
      </w:r>
      <w:r>
        <w:t>分，评价得分</w:t>
      </w:r>
      <w:r>
        <w:t>17</w:t>
      </w:r>
      <w:r>
        <w:t>分，评价得分率为</w:t>
      </w:r>
      <w:r>
        <w:t>85%</w:t>
      </w:r>
      <w:r>
        <w:t>。</w:t>
      </w:r>
    </w:p>
    <w:p w:rsidR="0029667E" w:rsidRDefault="005F36FF">
      <w:pPr>
        <w:pStyle w:val="4"/>
        <w:ind w:firstLine="640"/>
        <w:rPr>
          <w:rFonts w:cs="Times New Roman"/>
        </w:rPr>
      </w:pPr>
      <w:r>
        <w:rPr>
          <w:rFonts w:cs="Times New Roman"/>
        </w:rPr>
        <w:t>（</w:t>
      </w:r>
      <w:r>
        <w:rPr>
          <w:rFonts w:cs="Times New Roman"/>
        </w:rPr>
        <w:t>1</w:t>
      </w:r>
      <w:r>
        <w:rPr>
          <w:rFonts w:cs="Times New Roman"/>
        </w:rPr>
        <w:t>）资金支付。</w:t>
      </w:r>
    </w:p>
    <w:p w:rsidR="0029667E" w:rsidRDefault="005F36FF">
      <w:pPr>
        <w:ind w:firstLine="640"/>
        <w:rPr>
          <w:snapToGrid w:val="0"/>
          <w:kern w:val="0"/>
          <w:szCs w:val="32"/>
        </w:rPr>
      </w:pPr>
      <w:r>
        <w:rPr>
          <w:snapToGrid w:val="0"/>
          <w:kern w:val="0"/>
          <w:szCs w:val="32"/>
        </w:rPr>
        <w:t>该指标包括资金支出率</w:t>
      </w:r>
      <w:r>
        <w:rPr>
          <w:snapToGrid w:val="0"/>
          <w:kern w:val="0"/>
          <w:szCs w:val="32"/>
        </w:rPr>
        <w:t>1</w:t>
      </w:r>
      <w:r>
        <w:rPr>
          <w:snapToGrid w:val="0"/>
          <w:kern w:val="0"/>
          <w:szCs w:val="32"/>
        </w:rPr>
        <w:t>个方面，指标分值</w:t>
      </w:r>
      <w:r>
        <w:rPr>
          <w:snapToGrid w:val="0"/>
          <w:kern w:val="0"/>
          <w:szCs w:val="32"/>
        </w:rPr>
        <w:t>6</w:t>
      </w:r>
      <w:r>
        <w:rPr>
          <w:snapToGrid w:val="0"/>
          <w:kern w:val="0"/>
          <w:szCs w:val="32"/>
        </w:rPr>
        <w:t>分</w:t>
      </w:r>
      <w:r>
        <w:t>，评价得分</w:t>
      </w:r>
      <w:r>
        <w:t>6</w:t>
      </w:r>
      <w:r>
        <w:t>分，评价得分率为</w:t>
      </w:r>
      <w:r>
        <w:t>100%</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资金支出率。</w:t>
      </w:r>
    </w:p>
    <w:p w:rsidR="0029667E" w:rsidRDefault="005F36FF">
      <w:pPr>
        <w:ind w:firstLine="640"/>
        <w:rPr>
          <w:snapToGrid w:val="0"/>
          <w:kern w:val="0"/>
          <w:szCs w:val="32"/>
        </w:rPr>
      </w:pPr>
      <w:r>
        <w:rPr>
          <w:snapToGrid w:val="0"/>
          <w:kern w:val="0"/>
          <w:szCs w:val="32"/>
        </w:rPr>
        <w:t>指标分值</w:t>
      </w:r>
      <w:r>
        <w:rPr>
          <w:snapToGrid w:val="0"/>
          <w:kern w:val="0"/>
          <w:szCs w:val="32"/>
        </w:rPr>
        <w:t>6</w:t>
      </w:r>
      <w:r>
        <w:rPr>
          <w:snapToGrid w:val="0"/>
          <w:kern w:val="0"/>
          <w:szCs w:val="32"/>
        </w:rPr>
        <w:t>分，评价得分</w:t>
      </w:r>
      <w:r>
        <w:rPr>
          <w:snapToGrid w:val="0"/>
          <w:kern w:val="0"/>
          <w:szCs w:val="32"/>
        </w:rPr>
        <w:t>6</w:t>
      </w:r>
      <w:r>
        <w:rPr>
          <w:snapToGrid w:val="0"/>
          <w:kern w:val="0"/>
          <w:szCs w:val="32"/>
        </w:rPr>
        <w:t>分，评价得分率为</w:t>
      </w:r>
      <w:r>
        <w:rPr>
          <w:snapToGrid w:val="0"/>
          <w:kern w:val="0"/>
          <w:szCs w:val="32"/>
        </w:rPr>
        <w:t>100%</w:t>
      </w:r>
      <w:r>
        <w:rPr>
          <w:snapToGrid w:val="0"/>
          <w:kern w:val="0"/>
          <w:szCs w:val="32"/>
        </w:rPr>
        <w:t>。</w:t>
      </w:r>
    </w:p>
    <w:p w:rsidR="0029667E" w:rsidRDefault="005F36FF">
      <w:pPr>
        <w:ind w:firstLine="640"/>
        <w:rPr>
          <w:szCs w:val="32"/>
        </w:rPr>
      </w:pPr>
      <w:r>
        <w:rPr>
          <w:szCs w:val="32"/>
        </w:rPr>
        <w:t>根据《单位指标情况表》，结合项目自评表、自评报告等材料，项目年度预算</w:t>
      </w:r>
      <w:r>
        <w:t>67281.55</w:t>
      </w:r>
      <w:r>
        <w:t>万元，实际支出</w:t>
      </w:r>
      <w:r>
        <w:t>67281.55</w:t>
      </w:r>
      <w:r>
        <w:t>万元，资金支出率</w:t>
      </w:r>
      <w:r>
        <w:t>100%</w:t>
      </w:r>
      <w:r>
        <w:t>。</w:t>
      </w:r>
    </w:p>
    <w:p w:rsidR="0029667E" w:rsidRDefault="005F36FF">
      <w:pPr>
        <w:pStyle w:val="4"/>
        <w:ind w:firstLine="640"/>
        <w:rPr>
          <w:rFonts w:cs="Times New Roman"/>
          <w:snapToGrid w:val="0"/>
        </w:rPr>
      </w:pPr>
      <w:r>
        <w:rPr>
          <w:rFonts w:cs="Times New Roman"/>
          <w:snapToGrid w:val="0"/>
        </w:rPr>
        <w:t>（</w:t>
      </w:r>
      <w:r>
        <w:rPr>
          <w:rFonts w:cs="Times New Roman"/>
          <w:snapToGrid w:val="0"/>
        </w:rPr>
        <w:t>2</w:t>
      </w:r>
      <w:r>
        <w:rPr>
          <w:rFonts w:cs="Times New Roman"/>
          <w:snapToGrid w:val="0"/>
        </w:rPr>
        <w:t>）支出规范性。</w:t>
      </w:r>
    </w:p>
    <w:p w:rsidR="0029667E" w:rsidRDefault="005F36FF">
      <w:pPr>
        <w:ind w:firstLine="640"/>
        <w:rPr>
          <w:snapToGrid w:val="0"/>
          <w:kern w:val="0"/>
          <w:szCs w:val="32"/>
        </w:rPr>
      </w:pPr>
      <w:r>
        <w:rPr>
          <w:snapToGrid w:val="0"/>
          <w:kern w:val="0"/>
          <w:szCs w:val="32"/>
        </w:rPr>
        <w:t>该指标包括支出规范性</w:t>
      </w:r>
      <w:r>
        <w:rPr>
          <w:snapToGrid w:val="0"/>
          <w:kern w:val="0"/>
          <w:szCs w:val="32"/>
        </w:rPr>
        <w:t>1</w:t>
      </w:r>
      <w:r>
        <w:rPr>
          <w:snapToGrid w:val="0"/>
          <w:kern w:val="0"/>
          <w:szCs w:val="32"/>
        </w:rPr>
        <w:t>个方</w:t>
      </w:r>
      <w:r>
        <w:rPr>
          <w:snapToGrid w:val="0"/>
          <w:kern w:val="0"/>
          <w:szCs w:val="32"/>
        </w:rPr>
        <w:t>面，指标分值</w:t>
      </w:r>
      <w:r>
        <w:rPr>
          <w:snapToGrid w:val="0"/>
          <w:kern w:val="0"/>
          <w:szCs w:val="32"/>
        </w:rPr>
        <w:t>6</w:t>
      </w:r>
      <w:r>
        <w:rPr>
          <w:snapToGrid w:val="0"/>
          <w:kern w:val="0"/>
          <w:szCs w:val="32"/>
        </w:rPr>
        <w:t>分</w:t>
      </w:r>
      <w:r>
        <w:t>，评价得分</w:t>
      </w:r>
      <w:r>
        <w:t>6</w:t>
      </w:r>
      <w:r>
        <w:t>分，评价得分率为</w:t>
      </w:r>
      <w:r>
        <w:t>100%</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支出规范性。</w:t>
      </w:r>
    </w:p>
    <w:p w:rsidR="0029667E" w:rsidRDefault="005F36FF">
      <w:pPr>
        <w:ind w:firstLine="640"/>
        <w:rPr>
          <w:snapToGrid w:val="0"/>
          <w:kern w:val="0"/>
          <w:szCs w:val="32"/>
        </w:rPr>
      </w:pPr>
      <w:r>
        <w:rPr>
          <w:snapToGrid w:val="0"/>
          <w:kern w:val="0"/>
          <w:szCs w:val="32"/>
        </w:rPr>
        <w:t>指标分值</w:t>
      </w:r>
      <w:r>
        <w:rPr>
          <w:snapToGrid w:val="0"/>
          <w:kern w:val="0"/>
          <w:szCs w:val="32"/>
        </w:rPr>
        <w:t>6</w:t>
      </w:r>
      <w:r>
        <w:rPr>
          <w:snapToGrid w:val="0"/>
          <w:kern w:val="0"/>
          <w:szCs w:val="32"/>
        </w:rPr>
        <w:t>分，评价得分</w:t>
      </w:r>
      <w:r>
        <w:rPr>
          <w:snapToGrid w:val="0"/>
          <w:kern w:val="0"/>
          <w:szCs w:val="32"/>
        </w:rPr>
        <w:t>6</w:t>
      </w:r>
      <w:r>
        <w:rPr>
          <w:snapToGrid w:val="0"/>
          <w:kern w:val="0"/>
          <w:szCs w:val="32"/>
        </w:rPr>
        <w:t>分，评价得分率为</w:t>
      </w:r>
      <w:r>
        <w:rPr>
          <w:snapToGrid w:val="0"/>
          <w:kern w:val="0"/>
          <w:szCs w:val="32"/>
        </w:rPr>
        <w:t>100%</w:t>
      </w:r>
      <w:r>
        <w:rPr>
          <w:snapToGrid w:val="0"/>
          <w:kern w:val="0"/>
          <w:szCs w:val="32"/>
        </w:rPr>
        <w:t>。</w:t>
      </w:r>
    </w:p>
    <w:p w:rsidR="0029667E" w:rsidRDefault="005F36FF">
      <w:pPr>
        <w:ind w:firstLine="640"/>
        <w:rPr>
          <w:szCs w:val="32"/>
        </w:rPr>
      </w:pPr>
      <w:r>
        <w:rPr>
          <w:szCs w:val="32"/>
        </w:rPr>
        <w:t>项目资金根据《</w:t>
      </w:r>
      <w:r>
        <w:rPr>
          <w:snapToGrid w:val="0"/>
          <w:kern w:val="0"/>
          <w:szCs w:val="32"/>
        </w:rPr>
        <w:t>广州市增城区交通运输局财务管理办法</w:t>
      </w:r>
      <w:r>
        <w:rPr>
          <w:szCs w:val="32"/>
        </w:rPr>
        <w:t>》进行支出、核算与管理，项目预算根据区财政局下达的预算调整文件执行，各项支出根据项目完成进度进行支付。结合现场核查情况，未发现超范围、超标准支出，虚列支出，截留、挤占、挪用资金或其他不符合制度规定支出的现象。</w:t>
      </w:r>
    </w:p>
    <w:p w:rsidR="0029667E" w:rsidRDefault="005F36FF">
      <w:pPr>
        <w:pStyle w:val="4"/>
        <w:ind w:firstLine="640"/>
        <w:rPr>
          <w:rFonts w:cs="Times New Roman"/>
          <w:snapToGrid w:val="0"/>
        </w:rPr>
      </w:pPr>
      <w:r>
        <w:rPr>
          <w:rFonts w:cs="Times New Roman"/>
          <w:snapToGrid w:val="0"/>
        </w:rPr>
        <w:t>（</w:t>
      </w:r>
      <w:r>
        <w:rPr>
          <w:rFonts w:cs="Times New Roman"/>
          <w:snapToGrid w:val="0"/>
        </w:rPr>
        <w:t>3</w:t>
      </w:r>
      <w:r>
        <w:rPr>
          <w:rFonts w:cs="Times New Roman"/>
          <w:snapToGrid w:val="0"/>
        </w:rPr>
        <w:t>）实施程序。</w:t>
      </w:r>
    </w:p>
    <w:p w:rsidR="0029667E" w:rsidRDefault="005F36FF">
      <w:pPr>
        <w:ind w:firstLine="640"/>
        <w:rPr>
          <w:snapToGrid w:val="0"/>
          <w:kern w:val="0"/>
          <w:szCs w:val="32"/>
        </w:rPr>
      </w:pPr>
      <w:r>
        <w:rPr>
          <w:snapToGrid w:val="0"/>
          <w:kern w:val="0"/>
          <w:szCs w:val="32"/>
        </w:rPr>
        <w:t>该指标包括程序规范性</w:t>
      </w:r>
      <w:r>
        <w:rPr>
          <w:snapToGrid w:val="0"/>
          <w:kern w:val="0"/>
          <w:szCs w:val="32"/>
        </w:rPr>
        <w:t>1</w:t>
      </w:r>
      <w:r>
        <w:rPr>
          <w:snapToGrid w:val="0"/>
          <w:kern w:val="0"/>
          <w:szCs w:val="32"/>
        </w:rPr>
        <w:t>个方面，指标分值</w:t>
      </w:r>
      <w:r>
        <w:rPr>
          <w:snapToGrid w:val="0"/>
          <w:kern w:val="0"/>
          <w:szCs w:val="32"/>
        </w:rPr>
        <w:t>4</w:t>
      </w:r>
      <w:r>
        <w:rPr>
          <w:snapToGrid w:val="0"/>
          <w:kern w:val="0"/>
          <w:szCs w:val="32"/>
        </w:rPr>
        <w:t>分</w:t>
      </w:r>
      <w:r>
        <w:t>，评价得分</w:t>
      </w:r>
      <w:r>
        <w:t>2</w:t>
      </w:r>
      <w:r>
        <w:t>分，评价得分率为</w:t>
      </w:r>
      <w:r>
        <w:t>50%</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程序规范性。</w:t>
      </w:r>
    </w:p>
    <w:p w:rsidR="0029667E" w:rsidRDefault="005F36FF">
      <w:pPr>
        <w:ind w:firstLine="640"/>
        <w:rPr>
          <w:snapToGrid w:val="0"/>
          <w:kern w:val="0"/>
          <w:szCs w:val="32"/>
        </w:rPr>
      </w:pPr>
      <w:r>
        <w:rPr>
          <w:snapToGrid w:val="0"/>
          <w:kern w:val="0"/>
          <w:szCs w:val="32"/>
        </w:rPr>
        <w:t>指标分值</w:t>
      </w:r>
      <w:r>
        <w:rPr>
          <w:snapToGrid w:val="0"/>
          <w:kern w:val="0"/>
          <w:szCs w:val="32"/>
        </w:rPr>
        <w:t>4</w:t>
      </w:r>
      <w:r>
        <w:rPr>
          <w:snapToGrid w:val="0"/>
          <w:kern w:val="0"/>
          <w:szCs w:val="32"/>
        </w:rPr>
        <w:t>分，评</w:t>
      </w:r>
      <w:r>
        <w:rPr>
          <w:snapToGrid w:val="0"/>
          <w:kern w:val="0"/>
          <w:szCs w:val="32"/>
        </w:rPr>
        <w:t>价得分</w:t>
      </w:r>
      <w:r>
        <w:rPr>
          <w:snapToGrid w:val="0"/>
          <w:kern w:val="0"/>
          <w:szCs w:val="32"/>
        </w:rPr>
        <w:t>2</w:t>
      </w:r>
      <w:r>
        <w:rPr>
          <w:snapToGrid w:val="0"/>
          <w:kern w:val="0"/>
          <w:szCs w:val="32"/>
        </w:rPr>
        <w:t>分，评价得分率为</w:t>
      </w:r>
      <w:r>
        <w:rPr>
          <w:snapToGrid w:val="0"/>
          <w:kern w:val="0"/>
          <w:szCs w:val="32"/>
        </w:rPr>
        <w:t>50%</w:t>
      </w:r>
      <w:r>
        <w:rPr>
          <w:snapToGrid w:val="0"/>
          <w:kern w:val="0"/>
          <w:szCs w:val="32"/>
        </w:rPr>
        <w:t>。</w:t>
      </w:r>
    </w:p>
    <w:p w:rsidR="0029667E" w:rsidRDefault="005F36FF">
      <w:pPr>
        <w:ind w:firstLine="640"/>
        <w:rPr>
          <w:snapToGrid w:val="0"/>
          <w:kern w:val="0"/>
          <w:szCs w:val="32"/>
        </w:rPr>
      </w:pPr>
      <w:r>
        <w:rPr>
          <w:snapToGrid w:val="0"/>
          <w:kern w:val="0"/>
          <w:szCs w:val="32"/>
        </w:rPr>
        <w:t>项目根据《广州东部交通枢纽中心片区基础设施配套项目管理办法》的相关规定推进项目招投标、项目建设及监督管理等工作；根据区道路养护中心提供的《广州市增城区发展和改革局关于新塘站片区路网</w:t>
      </w:r>
      <w:r>
        <w:rPr>
          <w:snapToGrid w:val="0"/>
          <w:kern w:val="0"/>
          <w:szCs w:val="32"/>
        </w:rPr>
        <w:t>-</w:t>
      </w:r>
      <w:r>
        <w:rPr>
          <w:snapToGrid w:val="0"/>
          <w:kern w:val="0"/>
          <w:szCs w:val="32"/>
        </w:rPr>
        <w:t>纵一路、新源路及汽车城大道建设工程项目可行性研究报告的批复》（增发改投〔</w:t>
      </w:r>
      <w:r>
        <w:rPr>
          <w:snapToGrid w:val="0"/>
          <w:kern w:val="0"/>
          <w:szCs w:val="32"/>
        </w:rPr>
        <w:t>2019</w:t>
      </w:r>
      <w:r>
        <w:rPr>
          <w:snapToGrid w:val="0"/>
          <w:kern w:val="0"/>
          <w:szCs w:val="32"/>
        </w:rPr>
        <w:t>〕</w:t>
      </w:r>
      <w:r>
        <w:rPr>
          <w:snapToGrid w:val="0"/>
          <w:kern w:val="0"/>
          <w:szCs w:val="32"/>
        </w:rPr>
        <w:t>129</w:t>
      </w:r>
      <w:r>
        <w:rPr>
          <w:snapToGrid w:val="0"/>
          <w:kern w:val="0"/>
          <w:szCs w:val="32"/>
        </w:rPr>
        <w:t>号），项目可行性研究报告按规定获得了</w:t>
      </w:r>
      <w:r>
        <w:rPr>
          <w:rFonts w:ascii="仿宋_GB2312" w:hint="eastAsia"/>
        </w:rPr>
        <w:t>区发展</w:t>
      </w:r>
      <w:proofErr w:type="gramStart"/>
      <w:r>
        <w:rPr>
          <w:rFonts w:ascii="仿宋_GB2312" w:hint="eastAsia"/>
        </w:rPr>
        <w:t>改革局</w:t>
      </w:r>
      <w:proofErr w:type="gramEnd"/>
      <w:r>
        <w:rPr>
          <w:snapToGrid w:val="0"/>
          <w:kern w:val="0"/>
          <w:szCs w:val="32"/>
        </w:rPr>
        <w:t>的批复；根据</w:t>
      </w:r>
      <w:r>
        <w:t>《广州市增城区发展和改革局关于调整新塘站片区路网一纵一路、新源路及汽车城大道建设工程项目建设规模和建设内容的复函》（穗</w:t>
      </w:r>
      <w:proofErr w:type="gramStart"/>
      <w:r>
        <w:t>增发改函〔</w:t>
      </w:r>
      <w:r>
        <w:t>2021</w:t>
      </w:r>
      <w:r>
        <w:t>〕</w:t>
      </w:r>
      <w:proofErr w:type="gramEnd"/>
      <w:r>
        <w:t>412</w:t>
      </w:r>
      <w:r>
        <w:t>号）</w:t>
      </w:r>
      <w:r>
        <w:t>，项目建设规模和建设内容的调整能够及时报送并取得</w:t>
      </w:r>
      <w:r>
        <w:rPr>
          <w:rFonts w:ascii="仿宋_GB2312" w:hint="eastAsia"/>
        </w:rPr>
        <w:t>区发展</w:t>
      </w:r>
      <w:proofErr w:type="gramStart"/>
      <w:r>
        <w:rPr>
          <w:rFonts w:ascii="仿宋_GB2312" w:hint="eastAsia"/>
        </w:rPr>
        <w:t>改革局</w:t>
      </w:r>
      <w:proofErr w:type="gramEnd"/>
      <w:r>
        <w:t>的批准；根据《广州市增城区交通运输局党组会议纪要》（增交</w:t>
      </w:r>
      <w:proofErr w:type="gramStart"/>
      <w:r>
        <w:t>党会纪〔</w:t>
      </w:r>
      <w:r>
        <w:t>2021</w:t>
      </w:r>
      <w:r>
        <w:t>〕</w:t>
      </w:r>
      <w:proofErr w:type="gramEnd"/>
      <w:r>
        <w:t>27</w:t>
      </w:r>
      <w:r>
        <w:t>号），合同进度款支付比例的变更经过了党组会议的审定。但在管理方面存在些许不足，</w:t>
      </w:r>
      <w:r>
        <w:rPr>
          <w:b/>
          <w:bCs/>
        </w:rPr>
        <w:t>一是</w:t>
      </w:r>
      <w:r>
        <w:t>一标段施工图预算审核工作于</w:t>
      </w:r>
      <w:r>
        <w:t>2024</w:t>
      </w:r>
      <w:r>
        <w:t>年</w:t>
      </w:r>
      <w:r>
        <w:t>6</w:t>
      </w:r>
      <w:r>
        <w:t>月完成，二标段截至</w:t>
      </w:r>
      <w:r>
        <w:t>2024</w:t>
      </w:r>
      <w:r>
        <w:t>年</w:t>
      </w:r>
      <w:r>
        <w:t>6</w:t>
      </w:r>
      <w:r>
        <w:t>月仍未完成施工图预算审核工作，项目施工图预算审核与确认工作在工程完工时仍未完成，反映审核周期过长。</w:t>
      </w:r>
      <w:r>
        <w:rPr>
          <w:b/>
          <w:bCs/>
        </w:rPr>
        <w:t>二是</w:t>
      </w:r>
      <w:r>
        <w:t>项目进度存在较大程度的滞后，且未见工程延期手续，在项目管理方面程序规范性不足。</w:t>
      </w:r>
    </w:p>
    <w:p w:rsidR="0029667E" w:rsidRDefault="005F36FF">
      <w:pPr>
        <w:pStyle w:val="4"/>
        <w:ind w:firstLine="640"/>
        <w:rPr>
          <w:rFonts w:cs="Times New Roman"/>
          <w:snapToGrid w:val="0"/>
        </w:rPr>
      </w:pPr>
      <w:r>
        <w:rPr>
          <w:rFonts w:cs="Times New Roman"/>
          <w:snapToGrid w:val="0"/>
        </w:rPr>
        <w:t>（</w:t>
      </w:r>
      <w:r>
        <w:rPr>
          <w:rFonts w:cs="Times New Roman"/>
          <w:snapToGrid w:val="0"/>
        </w:rPr>
        <w:t>4</w:t>
      </w:r>
      <w:r>
        <w:rPr>
          <w:rFonts w:cs="Times New Roman"/>
          <w:snapToGrid w:val="0"/>
        </w:rPr>
        <w:t>）管理情况。</w:t>
      </w:r>
    </w:p>
    <w:p w:rsidR="0029667E" w:rsidRDefault="005F36FF">
      <w:pPr>
        <w:ind w:firstLine="640"/>
        <w:rPr>
          <w:snapToGrid w:val="0"/>
          <w:kern w:val="0"/>
          <w:szCs w:val="32"/>
        </w:rPr>
      </w:pPr>
      <w:r>
        <w:rPr>
          <w:snapToGrid w:val="0"/>
          <w:kern w:val="0"/>
          <w:szCs w:val="32"/>
        </w:rPr>
        <w:t>该指标包括监管有效性</w:t>
      </w:r>
      <w:r>
        <w:rPr>
          <w:snapToGrid w:val="0"/>
          <w:kern w:val="0"/>
          <w:szCs w:val="32"/>
        </w:rPr>
        <w:t>1</w:t>
      </w:r>
      <w:r>
        <w:rPr>
          <w:snapToGrid w:val="0"/>
          <w:kern w:val="0"/>
          <w:szCs w:val="32"/>
        </w:rPr>
        <w:t>个方面，指标分值</w:t>
      </w:r>
      <w:r>
        <w:rPr>
          <w:snapToGrid w:val="0"/>
          <w:kern w:val="0"/>
          <w:szCs w:val="32"/>
        </w:rPr>
        <w:t>4</w:t>
      </w:r>
      <w:r>
        <w:rPr>
          <w:snapToGrid w:val="0"/>
          <w:kern w:val="0"/>
          <w:szCs w:val="32"/>
        </w:rPr>
        <w:t>分</w:t>
      </w:r>
      <w:r>
        <w:t>，评价得分</w:t>
      </w:r>
      <w:r>
        <w:t>3</w:t>
      </w:r>
      <w:r>
        <w:t>分，评价得分率为</w:t>
      </w:r>
      <w:r>
        <w:t>75%</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监管有效性。</w:t>
      </w:r>
    </w:p>
    <w:p w:rsidR="0029667E" w:rsidRDefault="005F36FF">
      <w:pPr>
        <w:ind w:firstLine="640"/>
        <w:rPr>
          <w:snapToGrid w:val="0"/>
          <w:kern w:val="0"/>
          <w:szCs w:val="32"/>
        </w:rPr>
      </w:pPr>
      <w:r>
        <w:rPr>
          <w:snapToGrid w:val="0"/>
          <w:kern w:val="0"/>
          <w:szCs w:val="32"/>
        </w:rPr>
        <w:t>指标分值</w:t>
      </w:r>
      <w:r>
        <w:rPr>
          <w:snapToGrid w:val="0"/>
          <w:kern w:val="0"/>
          <w:szCs w:val="32"/>
        </w:rPr>
        <w:t>4</w:t>
      </w:r>
      <w:r>
        <w:rPr>
          <w:snapToGrid w:val="0"/>
          <w:kern w:val="0"/>
          <w:szCs w:val="32"/>
        </w:rPr>
        <w:t>分，评价得分</w:t>
      </w:r>
      <w:r>
        <w:rPr>
          <w:snapToGrid w:val="0"/>
          <w:kern w:val="0"/>
          <w:szCs w:val="32"/>
        </w:rPr>
        <w:t>3</w:t>
      </w:r>
      <w:r>
        <w:rPr>
          <w:snapToGrid w:val="0"/>
          <w:kern w:val="0"/>
          <w:szCs w:val="32"/>
        </w:rPr>
        <w:t>分，评价得分率为</w:t>
      </w:r>
      <w:r>
        <w:rPr>
          <w:snapToGrid w:val="0"/>
          <w:kern w:val="0"/>
          <w:szCs w:val="32"/>
        </w:rPr>
        <w:t>75%</w:t>
      </w:r>
      <w:r>
        <w:rPr>
          <w:snapToGrid w:val="0"/>
          <w:kern w:val="0"/>
          <w:szCs w:val="32"/>
        </w:rPr>
        <w:t>。</w:t>
      </w:r>
    </w:p>
    <w:p w:rsidR="0029667E" w:rsidRDefault="005F36FF">
      <w:pPr>
        <w:ind w:firstLine="640"/>
        <w:rPr>
          <w:snapToGrid w:val="0"/>
        </w:rPr>
      </w:pPr>
      <w:r>
        <w:rPr>
          <w:snapToGrid w:val="0"/>
        </w:rPr>
        <w:t>项目根据《广州东部交通枢纽中心片区基础设施配套项目管理办法》的相关规定</w:t>
      </w:r>
      <w:r>
        <w:rPr>
          <w:snapToGrid w:val="0"/>
          <w:kern w:val="0"/>
          <w:szCs w:val="32"/>
        </w:rPr>
        <w:t>推进项目招投标、项目建设及质量检测等管理工作；项目成立了</w:t>
      </w:r>
      <w:r>
        <w:rPr>
          <w:snapToGrid w:val="0"/>
        </w:rPr>
        <w:t>领导小组，制定了《广州东部交通枢纽中心片区基础设施配套项目管理指挥部工作人员及分工职责方案》，对领导小组的职责和分工进行规定；依据《广州市增城区道路养护中心关于印发广州东部交通枢纽中心片区基础设施配套项目监理单位工作人员管理细则和设计施工总</w:t>
      </w:r>
      <w:r>
        <w:rPr>
          <w:snapToGrid w:val="0"/>
        </w:rPr>
        <w:t>承包单位主要人员管理细则的通知》（增道发</w:t>
      </w:r>
      <w:r>
        <w:t>〔</w:t>
      </w:r>
      <w:r>
        <w:t>2021</w:t>
      </w:r>
      <w:r>
        <w:t>〕</w:t>
      </w:r>
      <w:r>
        <w:rPr>
          <w:snapToGrid w:val="0"/>
        </w:rPr>
        <w:t>3</w:t>
      </w:r>
      <w:r>
        <w:rPr>
          <w:snapToGrid w:val="0"/>
        </w:rPr>
        <w:t>号）对监理人员和设计施工主要人员进行管理。</w:t>
      </w:r>
    </w:p>
    <w:p w:rsidR="0029667E" w:rsidRDefault="005F36FF">
      <w:pPr>
        <w:widowControl/>
        <w:ind w:firstLine="640"/>
        <w:jc w:val="left"/>
        <w:rPr>
          <w:snapToGrid w:val="0"/>
        </w:rPr>
      </w:pPr>
      <w:r>
        <w:rPr>
          <w:snapToGrid w:val="0"/>
        </w:rPr>
        <w:t>根据《东部中心片区基础设施配套项目工作简报》，</w:t>
      </w:r>
      <w:r>
        <w:rPr>
          <w:color w:val="000000"/>
          <w:kern w:val="0"/>
          <w:sz w:val="31"/>
          <w:szCs w:val="31"/>
          <w:lang w:bidi="ar"/>
        </w:rPr>
        <w:t>东部中心片区配套项目管理指挥部每月报送项目进度，对存在问题提出建议；根据</w:t>
      </w:r>
      <w:r>
        <w:rPr>
          <w:snapToGrid w:val="0"/>
        </w:rPr>
        <w:t>《广州市增城区道路养护中心关于广州东部枢纽中心片区基础设施配套项目</w:t>
      </w:r>
      <w:r>
        <w:rPr>
          <w:snapToGrid w:val="0"/>
        </w:rPr>
        <w:t>2023</w:t>
      </w:r>
      <w:r>
        <w:rPr>
          <w:snapToGrid w:val="0"/>
        </w:rPr>
        <w:t>年第一季度综合查情况的通报》等文件，区道路养护中心紧密跟进项目实施情况，每季度发布综合检查情况的通报，对项目室内作业和室外作业进行检查，对检查中发现的问题提出整改意见；根据《广州市增城区道路养护中心东部交通枢纽建设指挥部关</w:t>
      </w:r>
      <w:r>
        <w:rPr>
          <w:snapToGrid w:val="0"/>
        </w:rPr>
        <w:t>于新塘站片区路网建设工程安全专项检查的通报》，区道路养护中心不定期对工程建设情况进行安全专项检查。</w:t>
      </w:r>
    </w:p>
    <w:p w:rsidR="0029667E" w:rsidRDefault="005F36FF">
      <w:pPr>
        <w:widowControl/>
        <w:tabs>
          <w:tab w:val="left" w:pos="5120"/>
        </w:tabs>
        <w:ind w:firstLine="640"/>
        <w:jc w:val="left"/>
        <w:rPr>
          <w:snapToGrid w:val="0"/>
        </w:rPr>
      </w:pPr>
      <w:r>
        <w:rPr>
          <w:rFonts w:hint="eastAsia"/>
          <w:snapToGrid w:val="0"/>
        </w:rPr>
        <w:t>但根据《广州市增城区发展和改革局关于调整新塘站片区路网一纵一路、新源路及汽车城大道建设工程项目建设规模和建设内容的复函》（穗</w:t>
      </w:r>
      <w:proofErr w:type="gramStart"/>
      <w:r>
        <w:rPr>
          <w:rFonts w:hint="eastAsia"/>
          <w:snapToGrid w:val="0"/>
        </w:rPr>
        <w:t>增发改函〔</w:t>
      </w:r>
      <w:r>
        <w:rPr>
          <w:rFonts w:hint="eastAsia"/>
          <w:snapToGrid w:val="0"/>
        </w:rPr>
        <w:t>2021</w:t>
      </w:r>
      <w:r>
        <w:rPr>
          <w:rFonts w:hint="eastAsia"/>
          <w:snapToGrid w:val="0"/>
        </w:rPr>
        <w:t>〕</w:t>
      </w:r>
      <w:proofErr w:type="gramEnd"/>
      <w:r>
        <w:rPr>
          <w:rFonts w:hint="eastAsia"/>
          <w:snapToGrid w:val="0"/>
        </w:rPr>
        <w:t>412</w:t>
      </w:r>
      <w:r>
        <w:rPr>
          <w:rFonts w:hint="eastAsia"/>
          <w:snapToGrid w:val="0"/>
        </w:rPr>
        <w:t>号）以及项目一、二标段施工图，除新新公路与新源路外，项目内其他路段的建设长度在可行性研究报告和施工图中均存在不同程度的差异，如汽车城大道支线</w:t>
      </w:r>
      <w:r>
        <w:rPr>
          <w:rFonts w:hint="eastAsia"/>
          <w:snapToGrid w:val="0"/>
        </w:rPr>
        <w:t>1</w:t>
      </w:r>
      <w:r>
        <w:rPr>
          <w:rFonts w:hint="eastAsia"/>
          <w:snapToGrid w:val="0"/>
        </w:rPr>
        <w:t>施工图规划长度</w:t>
      </w:r>
      <w:r>
        <w:rPr>
          <w:rFonts w:hint="eastAsia"/>
          <w:snapToGrid w:val="0"/>
        </w:rPr>
        <w:t>0.212</w:t>
      </w:r>
      <w:r>
        <w:rPr>
          <w:rFonts w:hint="eastAsia"/>
          <w:snapToGrid w:val="0"/>
        </w:rPr>
        <w:t>公里与可行性研究报告规划长度</w:t>
      </w:r>
      <w:r>
        <w:rPr>
          <w:rFonts w:hint="eastAsia"/>
          <w:snapToGrid w:val="0"/>
        </w:rPr>
        <w:t>0.437</w:t>
      </w:r>
      <w:r>
        <w:rPr>
          <w:rFonts w:hint="eastAsia"/>
          <w:snapToGrid w:val="0"/>
        </w:rPr>
        <w:t>公里之间存在</w:t>
      </w:r>
      <w:r>
        <w:rPr>
          <w:rFonts w:hint="eastAsia"/>
          <w:snapToGrid w:val="0"/>
        </w:rPr>
        <w:t>0.225</w:t>
      </w:r>
      <w:r>
        <w:rPr>
          <w:rFonts w:hint="eastAsia"/>
          <w:snapToGrid w:val="0"/>
        </w:rPr>
        <w:t>公里的差距；环城路施工图规划长度</w:t>
      </w:r>
      <w:r>
        <w:rPr>
          <w:rFonts w:hint="eastAsia"/>
          <w:snapToGrid w:val="0"/>
        </w:rPr>
        <w:t>1.7</w:t>
      </w:r>
      <w:r>
        <w:rPr>
          <w:rFonts w:hint="eastAsia"/>
          <w:snapToGrid w:val="0"/>
        </w:rPr>
        <w:t>公里与可行性研究报告规划长度</w:t>
      </w:r>
      <w:r>
        <w:rPr>
          <w:rFonts w:hint="eastAsia"/>
          <w:snapToGrid w:val="0"/>
        </w:rPr>
        <w:t>2.3</w:t>
      </w:r>
      <w:r>
        <w:rPr>
          <w:rFonts w:hint="eastAsia"/>
          <w:snapToGrid w:val="0"/>
        </w:rPr>
        <w:t>公里之间存在</w:t>
      </w:r>
      <w:r>
        <w:rPr>
          <w:rFonts w:hint="eastAsia"/>
          <w:snapToGrid w:val="0"/>
        </w:rPr>
        <w:t>0.6</w:t>
      </w:r>
      <w:r>
        <w:rPr>
          <w:rFonts w:hint="eastAsia"/>
          <w:snapToGrid w:val="0"/>
        </w:rPr>
        <w:t>公里的差距。而施工图设计编制时间为</w:t>
      </w:r>
      <w:r>
        <w:rPr>
          <w:rFonts w:hint="eastAsia"/>
          <w:snapToGrid w:val="0"/>
        </w:rPr>
        <w:t>2020</w:t>
      </w:r>
      <w:r>
        <w:rPr>
          <w:rFonts w:hint="eastAsia"/>
          <w:snapToGrid w:val="0"/>
        </w:rPr>
        <w:t>年</w:t>
      </w:r>
      <w:r>
        <w:rPr>
          <w:rFonts w:hint="eastAsia"/>
          <w:snapToGrid w:val="0"/>
        </w:rPr>
        <w:t>7</w:t>
      </w:r>
      <w:r>
        <w:rPr>
          <w:rFonts w:hint="eastAsia"/>
          <w:snapToGrid w:val="0"/>
        </w:rPr>
        <w:t>月，区道路养护中心申请调整可行性研究报告时间为</w:t>
      </w:r>
      <w:r>
        <w:rPr>
          <w:rFonts w:hint="eastAsia"/>
          <w:snapToGrid w:val="0"/>
        </w:rPr>
        <w:t>2021</w:t>
      </w:r>
      <w:r>
        <w:rPr>
          <w:rFonts w:hint="eastAsia"/>
          <w:snapToGrid w:val="0"/>
        </w:rPr>
        <w:t>年</w:t>
      </w:r>
      <w:r>
        <w:rPr>
          <w:rFonts w:hint="eastAsia"/>
          <w:snapToGrid w:val="0"/>
        </w:rPr>
        <w:t>3</w:t>
      </w:r>
      <w:r>
        <w:rPr>
          <w:rFonts w:hint="eastAsia"/>
          <w:snapToGrid w:val="0"/>
        </w:rPr>
        <w:t>月，反映单位调整可行性研究报告时未将施工图设计规划数据及时同步，综上，程序管理严谨性和及时性有待加强。</w:t>
      </w:r>
    </w:p>
    <w:p w:rsidR="0029667E" w:rsidRDefault="005F36FF">
      <w:pPr>
        <w:pStyle w:val="3"/>
        <w:ind w:firstLine="640"/>
        <w:rPr>
          <w:snapToGrid w:val="0"/>
        </w:rPr>
      </w:pPr>
      <w:r>
        <w:rPr>
          <w:snapToGrid w:val="0"/>
        </w:rPr>
        <w:t>3.</w:t>
      </w:r>
      <w:r>
        <w:rPr>
          <w:snapToGrid w:val="0"/>
        </w:rPr>
        <w:t>产出实现情况分析。</w:t>
      </w:r>
    </w:p>
    <w:p w:rsidR="0029667E" w:rsidRDefault="005F36FF">
      <w:pPr>
        <w:ind w:firstLine="640"/>
        <w:rPr>
          <w:snapToGrid w:val="0"/>
          <w:kern w:val="0"/>
          <w:szCs w:val="32"/>
        </w:rPr>
      </w:pPr>
      <w:r>
        <w:t>指标下设</w:t>
      </w:r>
      <w:r>
        <w:rPr>
          <w:rFonts w:ascii="仿宋_GB2312" w:hint="eastAsia"/>
        </w:rPr>
        <w:t>“</w:t>
      </w:r>
      <w:r>
        <w:t>经济性</w:t>
      </w:r>
      <w:r>
        <w:rPr>
          <w:rFonts w:ascii="仿宋_GB2312" w:hint="eastAsia"/>
        </w:rPr>
        <w:t>”“</w:t>
      </w:r>
      <w:r>
        <w:t>效率性</w:t>
      </w:r>
      <w:r>
        <w:rPr>
          <w:rFonts w:ascii="仿宋_GB2312" w:hint="eastAsia"/>
        </w:rPr>
        <w:t>”</w:t>
      </w:r>
      <w:r>
        <w:t>2</w:t>
      </w:r>
      <w:r>
        <w:t>个二级指标，主要从预算控制、成本控制、完成进度、完成质量</w:t>
      </w:r>
      <w:r>
        <w:t>4</w:t>
      </w:r>
      <w:r>
        <w:t>个方面反映项目预算控制、产出绩效完成情况。指标分值</w:t>
      </w:r>
      <w:r>
        <w:t>35</w:t>
      </w:r>
      <w:r>
        <w:t>分，评价得分</w:t>
      </w:r>
      <w:r>
        <w:rPr>
          <w:rFonts w:hint="eastAsia"/>
        </w:rPr>
        <w:t>30</w:t>
      </w:r>
      <w:r>
        <w:t>分，评价得分率为</w:t>
      </w:r>
      <w:r>
        <w:rPr>
          <w:rFonts w:hint="eastAsia"/>
        </w:rPr>
        <w:t>85.71</w:t>
      </w:r>
      <w:r>
        <w:t>%</w:t>
      </w:r>
      <w:r>
        <w:t>。</w:t>
      </w:r>
    </w:p>
    <w:p w:rsidR="0029667E" w:rsidRDefault="005F36FF">
      <w:pPr>
        <w:pStyle w:val="4"/>
        <w:ind w:firstLine="640"/>
        <w:rPr>
          <w:rFonts w:cs="Times New Roman"/>
          <w:snapToGrid w:val="0"/>
        </w:rPr>
      </w:pPr>
      <w:r>
        <w:rPr>
          <w:rFonts w:cs="Times New Roman"/>
          <w:snapToGrid w:val="0"/>
        </w:rPr>
        <w:t>（</w:t>
      </w:r>
      <w:r>
        <w:rPr>
          <w:rFonts w:cs="Times New Roman"/>
          <w:snapToGrid w:val="0"/>
        </w:rPr>
        <w:t>1</w:t>
      </w:r>
      <w:r>
        <w:rPr>
          <w:rFonts w:cs="Times New Roman"/>
          <w:snapToGrid w:val="0"/>
        </w:rPr>
        <w:t>）预算控制。</w:t>
      </w:r>
    </w:p>
    <w:p w:rsidR="0029667E" w:rsidRDefault="005F36FF">
      <w:pPr>
        <w:ind w:firstLine="640"/>
        <w:rPr>
          <w:snapToGrid w:val="0"/>
          <w:kern w:val="0"/>
          <w:szCs w:val="32"/>
        </w:rPr>
      </w:pPr>
      <w:r>
        <w:rPr>
          <w:snapToGrid w:val="0"/>
          <w:kern w:val="0"/>
          <w:szCs w:val="32"/>
        </w:rPr>
        <w:t>该指标包括预算控制</w:t>
      </w:r>
      <w:r>
        <w:rPr>
          <w:snapToGrid w:val="0"/>
          <w:kern w:val="0"/>
          <w:szCs w:val="32"/>
        </w:rPr>
        <w:t>1</w:t>
      </w:r>
      <w:r>
        <w:rPr>
          <w:snapToGrid w:val="0"/>
          <w:kern w:val="0"/>
          <w:szCs w:val="32"/>
        </w:rPr>
        <w:t>个方面，指标分值</w:t>
      </w:r>
      <w:r>
        <w:rPr>
          <w:snapToGrid w:val="0"/>
          <w:kern w:val="0"/>
          <w:szCs w:val="32"/>
        </w:rPr>
        <w:t>3</w:t>
      </w:r>
      <w:r>
        <w:rPr>
          <w:snapToGrid w:val="0"/>
          <w:kern w:val="0"/>
          <w:szCs w:val="32"/>
        </w:rPr>
        <w:t>分</w:t>
      </w:r>
      <w:r>
        <w:t>，评价得分</w:t>
      </w:r>
      <w:r>
        <w:t>3</w:t>
      </w:r>
      <w:r>
        <w:t>分，评价得分率为</w:t>
      </w:r>
      <w:r>
        <w:t>100%</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预算控制。</w:t>
      </w:r>
    </w:p>
    <w:p w:rsidR="0029667E" w:rsidRDefault="005F36FF">
      <w:pPr>
        <w:ind w:firstLine="640"/>
        <w:rPr>
          <w:snapToGrid w:val="0"/>
          <w:kern w:val="0"/>
          <w:szCs w:val="32"/>
        </w:rPr>
      </w:pPr>
      <w:r>
        <w:rPr>
          <w:snapToGrid w:val="0"/>
          <w:kern w:val="0"/>
          <w:szCs w:val="32"/>
        </w:rPr>
        <w:t>指标分值</w:t>
      </w:r>
      <w:r>
        <w:rPr>
          <w:snapToGrid w:val="0"/>
          <w:kern w:val="0"/>
          <w:szCs w:val="32"/>
        </w:rPr>
        <w:t>3</w:t>
      </w:r>
      <w:r>
        <w:rPr>
          <w:snapToGrid w:val="0"/>
          <w:kern w:val="0"/>
          <w:szCs w:val="32"/>
        </w:rPr>
        <w:t>分，评价得分</w:t>
      </w:r>
      <w:r>
        <w:rPr>
          <w:snapToGrid w:val="0"/>
          <w:kern w:val="0"/>
          <w:szCs w:val="32"/>
        </w:rPr>
        <w:t>3</w:t>
      </w:r>
      <w:r>
        <w:rPr>
          <w:snapToGrid w:val="0"/>
          <w:kern w:val="0"/>
          <w:szCs w:val="32"/>
        </w:rPr>
        <w:t>分，评价得分率为</w:t>
      </w:r>
      <w:r>
        <w:rPr>
          <w:snapToGrid w:val="0"/>
          <w:kern w:val="0"/>
          <w:szCs w:val="32"/>
        </w:rPr>
        <w:t>100%</w:t>
      </w:r>
      <w:r>
        <w:rPr>
          <w:snapToGrid w:val="0"/>
          <w:kern w:val="0"/>
          <w:szCs w:val="32"/>
        </w:rPr>
        <w:t>。</w:t>
      </w:r>
    </w:p>
    <w:p w:rsidR="0029667E" w:rsidRDefault="005F36FF">
      <w:pPr>
        <w:ind w:firstLine="640"/>
        <w:rPr>
          <w:szCs w:val="32"/>
        </w:rPr>
      </w:pPr>
      <w:r>
        <w:rPr>
          <w:szCs w:val="32"/>
        </w:rPr>
        <w:t>根据项目预算下达情况及资金使用明细，项目</w:t>
      </w:r>
      <w:r>
        <w:rPr>
          <w:szCs w:val="32"/>
        </w:rPr>
        <w:t>2023</w:t>
      </w:r>
      <w:r>
        <w:rPr>
          <w:szCs w:val="32"/>
        </w:rPr>
        <w:t>年实际支出为</w:t>
      </w:r>
      <w:r>
        <w:t>67281.55</w:t>
      </w:r>
      <w:r>
        <w:rPr>
          <w:szCs w:val="32"/>
        </w:rPr>
        <w:t>万元，结合现场核查沟通情况，项目根据工程进度及合同约定支付工人工资、工程进度款及其他管理费用等，实际支出未超过预算计划。</w:t>
      </w:r>
    </w:p>
    <w:p w:rsidR="0029667E" w:rsidRDefault="005F36FF">
      <w:pPr>
        <w:pStyle w:val="4"/>
        <w:ind w:firstLine="640"/>
        <w:rPr>
          <w:rFonts w:cs="Times New Roman"/>
          <w:snapToGrid w:val="0"/>
        </w:rPr>
      </w:pPr>
      <w:r>
        <w:rPr>
          <w:rFonts w:cs="Times New Roman"/>
          <w:snapToGrid w:val="0"/>
        </w:rPr>
        <w:t>（</w:t>
      </w:r>
      <w:r>
        <w:rPr>
          <w:rFonts w:cs="Times New Roman"/>
          <w:snapToGrid w:val="0"/>
        </w:rPr>
        <w:t>2</w:t>
      </w:r>
      <w:r>
        <w:rPr>
          <w:rFonts w:cs="Times New Roman"/>
          <w:snapToGrid w:val="0"/>
        </w:rPr>
        <w:t>）成本控制。</w:t>
      </w:r>
    </w:p>
    <w:p w:rsidR="0029667E" w:rsidRDefault="005F36FF">
      <w:pPr>
        <w:ind w:firstLine="640"/>
        <w:rPr>
          <w:snapToGrid w:val="0"/>
          <w:kern w:val="0"/>
          <w:szCs w:val="32"/>
        </w:rPr>
      </w:pPr>
      <w:r>
        <w:rPr>
          <w:snapToGrid w:val="0"/>
          <w:kern w:val="0"/>
          <w:szCs w:val="32"/>
        </w:rPr>
        <w:t>该指标包括成本节约</w:t>
      </w:r>
      <w:r>
        <w:rPr>
          <w:snapToGrid w:val="0"/>
          <w:kern w:val="0"/>
          <w:szCs w:val="32"/>
        </w:rPr>
        <w:t>1</w:t>
      </w:r>
      <w:r>
        <w:rPr>
          <w:snapToGrid w:val="0"/>
          <w:kern w:val="0"/>
          <w:szCs w:val="32"/>
        </w:rPr>
        <w:t>个方面，指标分值</w:t>
      </w:r>
      <w:r>
        <w:rPr>
          <w:snapToGrid w:val="0"/>
          <w:kern w:val="0"/>
          <w:szCs w:val="32"/>
        </w:rPr>
        <w:t>2</w:t>
      </w:r>
      <w:r>
        <w:rPr>
          <w:snapToGrid w:val="0"/>
          <w:kern w:val="0"/>
          <w:szCs w:val="32"/>
        </w:rPr>
        <w:t>分</w:t>
      </w:r>
      <w:r>
        <w:t>，评价得分</w:t>
      </w:r>
      <w:r>
        <w:t>2</w:t>
      </w:r>
      <w:r>
        <w:t>分，评价得分率为</w:t>
      </w:r>
      <w:r>
        <w:t>100%</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成本节约（成本指标）。</w:t>
      </w:r>
    </w:p>
    <w:p w:rsidR="0029667E" w:rsidRDefault="005F36FF">
      <w:pPr>
        <w:ind w:firstLine="640"/>
        <w:rPr>
          <w:snapToGrid w:val="0"/>
          <w:kern w:val="0"/>
          <w:szCs w:val="32"/>
        </w:rPr>
      </w:pPr>
      <w:r>
        <w:rPr>
          <w:snapToGrid w:val="0"/>
          <w:kern w:val="0"/>
          <w:szCs w:val="32"/>
        </w:rPr>
        <w:t>指标分值</w:t>
      </w:r>
      <w:r>
        <w:rPr>
          <w:snapToGrid w:val="0"/>
          <w:kern w:val="0"/>
          <w:szCs w:val="32"/>
        </w:rPr>
        <w:t>2</w:t>
      </w:r>
      <w:r>
        <w:rPr>
          <w:snapToGrid w:val="0"/>
          <w:kern w:val="0"/>
          <w:szCs w:val="32"/>
        </w:rPr>
        <w:t>分，评价得分</w:t>
      </w:r>
      <w:r>
        <w:rPr>
          <w:snapToGrid w:val="0"/>
          <w:kern w:val="0"/>
          <w:szCs w:val="32"/>
        </w:rPr>
        <w:t>2</w:t>
      </w:r>
      <w:r>
        <w:rPr>
          <w:snapToGrid w:val="0"/>
          <w:kern w:val="0"/>
          <w:szCs w:val="32"/>
        </w:rPr>
        <w:t>分，评价得分率为</w:t>
      </w:r>
      <w:r>
        <w:rPr>
          <w:snapToGrid w:val="0"/>
          <w:kern w:val="0"/>
          <w:szCs w:val="32"/>
        </w:rPr>
        <w:t>100%</w:t>
      </w:r>
      <w:r>
        <w:rPr>
          <w:snapToGrid w:val="0"/>
          <w:kern w:val="0"/>
          <w:szCs w:val="32"/>
        </w:rPr>
        <w:t>。</w:t>
      </w:r>
    </w:p>
    <w:p w:rsidR="0029667E" w:rsidRDefault="005F36FF">
      <w:pPr>
        <w:ind w:firstLine="640"/>
      </w:pPr>
      <w:r>
        <w:t>根据《广州市增城区发展和改革局关于新塘站片区路网</w:t>
      </w:r>
      <w:r>
        <w:t>-</w:t>
      </w:r>
      <w:r>
        <w:t>纵一路、新源路及汽车城大道建设工程项目可行性研究报告的批复》</w:t>
      </w:r>
      <w:r>
        <w:t>（增发改投〔</w:t>
      </w:r>
      <w:r>
        <w:t>2019</w:t>
      </w:r>
      <w:r>
        <w:t>〕</w:t>
      </w:r>
      <w:r>
        <w:t>129</w:t>
      </w:r>
      <w:r>
        <w:t>号），项目总投资约</w:t>
      </w:r>
      <w:r>
        <w:t>25.26</w:t>
      </w:r>
      <w:r>
        <w:t>亿元。根据《广州市增城区道路养护中心关于广州东部中心片区基础设施配套项目</w:t>
      </w:r>
      <w:r>
        <w:t>2023</w:t>
      </w:r>
      <w:r>
        <w:t>年第三季度综合查情况的通报》，截至</w:t>
      </w:r>
      <w:r>
        <w:t>2023</w:t>
      </w:r>
      <w:r>
        <w:t>年</w:t>
      </w:r>
      <w:r>
        <w:t>12</w:t>
      </w:r>
      <w:r>
        <w:t>月，项目累计完成支付约</w:t>
      </w:r>
      <w:r>
        <w:t>18.94</w:t>
      </w:r>
      <w:r>
        <w:t>亿元，未超出项目计划投资规模。结合现场核查情况，未发现项目实施成本超过合理范围的情况。</w:t>
      </w:r>
    </w:p>
    <w:p w:rsidR="0029667E" w:rsidRDefault="005F36FF">
      <w:pPr>
        <w:pStyle w:val="4"/>
        <w:ind w:firstLine="640"/>
        <w:rPr>
          <w:rFonts w:cs="Times New Roman"/>
          <w:snapToGrid w:val="0"/>
        </w:rPr>
      </w:pPr>
      <w:r>
        <w:rPr>
          <w:rFonts w:cs="Times New Roman"/>
          <w:snapToGrid w:val="0"/>
        </w:rPr>
        <w:t>（</w:t>
      </w:r>
      <w:r>
        <w:rPr>
          <w:rFonts w:cs="Times New Roman"/>
          <w:snapToGrid w:val="0"/>
        </w:rPr>
        <w:t>3</w:t>
      </w:r>
      <w:r>
        <w:rPr>
          <w:rFonts w:cs="Times New Roman"/>
          <w:snapToGrid w:val="0"/>
        </w:rPr>
        <w:t>）完成进度。</w:t>
      </w:r>
    </w:p>
    <w:p w:rsidR="0029667E" w:rsidRDefault="005F36FF">
      <w:pPr>
        <w:ind w:firstLine="640"/>
        <w:rPr>
          <w:snapToGrid w:val="0"/>
          <w:kern w:val="0"/>
          <w:szCs w:val="32"/>
        </w:rPr>
      </w:pPr>
      <w:r>
        <w:rPr>
          <w:snapToGrid w:val="0"/>
          <w:kern w:val="0"/>
          <w:szCs w:val="32"/>
        </w:rPr>
        <w:t>该指标包括工程进度达标率、新建道路里程、改造道路里程、配套工程建设完成率</w:t>
      </w:r>
      <w:r>
        <w:rPr>
          <w:snapToGrid w:val="0"/>
          <w:kern w:val="0"/>
          <w:szCs w:val="32"/>
        </w:rPr>
        <w:t>4</w:t>
      </w:r>
      <w:r>
        <w:rPr>
          <w:snapToGrid w:val="0"/>
          <w:kern w:val="0"/>
          <w:szCs w:val="32"/>
        </w:rPr>
        <w:t>个方面，指标分值</w:t>
      </w:r>
      <w:r>
        <w:rPr>
          <w:snapToGrid w:val="0"/>
          <w:kern w:val="0"/>
          <w:szCs w:val="32"/>
        </w:rPr>
        <w:t>20</w:t>
      </w:r>
      <w:r>
        <w:rPr>
          <w:snapToGrid w:val="0"/>
          <w:kern w:val="0"/>
          <w:szCs w:val="32"/>
        </w:rPr>
        <w:t>分</w:t>
      </w:r>
      <w:r>
        <w:t>，评价得分</w:t>
      </w:r>
      <w:r>
        <w:t>1</w:t>
      </w:r>
      <w:r>
        <w:rPr>
          <w:rFonts w:hint="eastAsia"/>
        </w:rPr>
        <w:t>6</w:t>
      </w:r>
      <w:r>
        <w:t>分，评价得分率为</w:t>
      </w:r>
      <w:r>
        <w:rPr>
          <w:rFonts w:hint="eastAsia"/>
        </w:rPr>
        <w:t>80</w:t>
      </w:r>
      <w:r>
        <w:t>%</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工程进度达标率。</w:t>
      </w:r>
    </w:p>
    <w:p w:rsidR="0029667E" w:rsidRDefault="005F36FF">
      <w:pPr>
        <w:ind w:firstLine="640"/>
        <w:rPr>
          <w:snapToGrid w:val="0"/>
          <w:kern w:val="0"/>
          <w:szCs w:val="32"/>
        </w:rPr>
      </w:pPr>
      <w:r>
        <w:rPr>
          <w:snapToGrid w:val="0"/>
          <w:kern w:val="0"/>
          <w:szCs w:val="32"/>
        </w:rPr>
        <w:t>指标分值</w:t>
      </w:r>
      <w:r>
        <w:rPr>
          <w:snapToGrid w:val="0"/>
          <w:kern w:val="0"/>
          <w:szCs w:val="32"/>
        </w:rPr>
        <w:t>5</w:t>
      </w:r>
      <w:r>
        <w:rPr>
          <w:snapToGrid w:val="0"/>
          <w:kern w:val="0"/>
          <w:szCs w:val="32"/>
        </w:rPr>
        <w:t>分，评价得分</w:t>
      </w:r>
      <w:r>
        <w:rPr>
          <w:snapToGrid w:val="0"/>
          <w:kern w:val="0"/>
          <w:szCs w:val="32"/>
        </w:rPr>
        <w:t>3</w:t>
      </w:r>
      <w:r>
        <w:rPr>
          <w:snapToGrid w:val="0"/>
          <w:kern w:val="0"/>
          <w:szCs w:val="32"/>
        </w:rPr>
        <w:t>分，评价得分率为</w:t>
      </w:r>
      <w:r>
        <w:rPr>
          <w:snapToGrid w:val="0"/>
          <w:kern w:val="0"/>
          <w:szCs w:val="32"/>
        </w:rPr>
        <w:t>60%</w:t>
      </w:r>
      <w:r>
        <w:rPr>
          <w:snapToGrid w:val="0"/>
          <w:kern w:val="0"/>
          <w:szCs w:val="32"/>
        </w:rPr>
        <w:t>。</w:t>
      </w:r>
    </w:p>
    <w:p w:rsidR="0029667E" w:rsidRDefault="005F36FF">
      <w:pPr>
        <w:ind w:firstLine="640"/>
        <w:rPr>
          <w:rFonts w:eastAsia="宋体"/>
          <w:snapToGrid w:val="0"/>
          <w:kern w:val="0"/>
          <w:szCs w:val="32"/>
        </w:rPr>
      </w:pPr>
      <w:r>
        <w:rPr>
          <w:snapToGrid w:val="0"/>
          <w:kern w:val="0"/>
          <w:szCs w:val="32"/>
        </w:rPr>
        <w:t>预期目标值为</w:t>
      </w:r>
      <w:r>
        <w:rPr>
          <w:rFonts w:ascii="仿宋_GB2312" w:hint="eastAsia"/>
          <w:snapToGrid w:val="0"/>
          <w:kern w:val="0"/>
          <w:szCs w:val="32"/>
        </w:rPr>
        <w:t>“</w:t>
      </w:r>
      <w:r>
        <w:rPr>
          <w:snapToGrid w:val="0"/>
          <w:kern w:val="0"/>
          <w:szCs w:val="32"/>
        </w:rPr>
        <w:t>100%</w:t>
      </w:r>
      <w:r>
        <w:rPr>
          <w:rFonts w:ascii="仿宋_GB2312" w:hint="eastAsia"/>
          <w:snapToGrid w:val="0"/>
          <w:kern w:val="0"/>
          <w:szCs w:val="32"/>
        </w:rPr>
        <w:t>”</w:t>
      </w:r>
      <w:r>
        <w:rPr>
          <w:snapToGrid w:val="0"/>
          <w:kern w:val="0"/>
          <w:szCs w:val="32"/>
        </w:rPr>
        <w:t>，</w:t>
      </w:r>
      <w:r>
        <w:t>根据一、二标段施工合同，一、二标段施工计划工期均为</w:t>
      </w:r>
      <w:r>
        <w:t>18</w:t>
      </w:r>
      <w:r>
        <w:t>个月，总工期均为</w:t>
      </w:r>
      <w:r>
        <w:t>22</w:t>
      </w:r>
      <w:r>
        <w:t>个月。根据项目一、二标段施工总结报告，一、二标段开工时间均为</w:t>
      </w:r>
      <w:r>
        <w:t>2020</w:t>
      </w:r>
      <w:r>
        <w:t>年</w:t>
      </w:r>
      <w:r>
        <w:t>9</w:t>
      </w:r>
      <w:r>
        <w:t>月</w:t>
      </w:r>
      <w:r>
        <w:t>11</w:t>
      </w:r>
      <w:r>
        <w:t>日，一标段完工时间为</w:t>
      </w:r>
      <w:r>
        <w:t>2023</w:t>
      </w:r>
      <w:r>
        <w:t>年</w:t>
      </w:r>
      <w:r>
        <w:t>12</w:t>
      </w:r>
      <w:r>
        <w:t>月</w:t>
      </w:r>
      <w:r>
        <w:t>31</w:t>
      </w:r>
      <w:r>
        <w:t>日，二标段完工时间为</w:t>
      </w:r>
      <w:r>
        <w:t>2023</w:t>
      </w:r>
      <w:r>
        <w:t>年</w:t>
      </w:r>
      <w:r>
        <w:t>9</w:t>
      </w:r>
      <w:r>
        <w:t>月</w:t>
      </w:r>
      <w:r>
        <w:t>30</w:t>
      </w:r>
      <w:r>
        <w:t>日，工程进度存在较大程度滞后，</w:t>
      </w:r>
      <w:r>
        <w:tab/>
      </w:r>
      <w:r>
        <w:t>且未见工程延期手续，结合现场核查情况，滞后原因主要为涉及专业管线迁移及用地问题</w:t>
      </w:r>
      <w:proofErr w:type="gramStart"/>
      <w:r>
        <w:t>征拆工作</w:t>
      </w:r>
      <w:proofErr w:type="gramEnd"/>
      <w:r>
        <w:t>涉及群众赔偿与搬迁问题，难以按原定计划时间完成。</w:t>
      </w:r>
      <w:r>
        <w:t>2024</w:t>
      </w:r>
      <w:r>
        <w:t>年</w:t>
      </w:r>
      <w:r>
        <w:t>5</w:t>
      </w:r>
      <w:r>
        <w:t>月</w:t>
      </w:r>
      <w:r>
        <w:t>28</w:t>
      </w:r>
      <w:r>
        <w:t>日，区道路养护中心向增</w:t>
      </w:r>
      <w:r>
        <w:t>城区交通工程质量监督站提交了《广州市交通建设项目交工质量核验申请书》，申请项目一标段交工质量核验，二标段计划于</w:t>
      </w:r>
      <w:r>
        <w:t>2024</w:t>
      </w:r>
      <w:r>
        <w:t>年</w:t>
      </w:r>
      <w:r>
        <w:t>9</w:t>
      </w:r>
      <w:r>
        <w:t>月办理交工验收手续，截至</w:t>
      </w:r>
      <w:r>
        <w:t>2024</w:t>
      </w:r>
      <w:r>
        <w:t>年</w:t>
      </w:r>
      <w:r>
        <w:t>6</w:t>
      </w:r>
      <w:r>
        <w:t>月，项目一、二标段的验收手续尚未完成办理。</w:t>
      </w:r>
    </w:p>
    <w:p w:rsidR="0029667E" w:rsidRDefault="005F36FF">
      <w:pPr>
        <w:ind w:firstLine="640"/>
        <w:rPr>
          <w:snapToGrid w:val="0"/>
          <w:kern w:val="0"/>
          <w:szCs w:val="32"/>
        </w:rPr>
      </w:pPr>
      <w:r>
        <w:rPr>
          <w:rFonts w:ascii="宋体" w:eastAsia="宋体" w:hAnsi="宋体" w:cs="宋体" w:hint="eastAsia"/>
          <w:snapToGrid w:val="0"/>
          <w:kern w:val="0"/>
          <w:szCs w:val="32"/>
        </w:rPr>
        <w:t>②</w:t>
      </w:r>
      <w:r>
        <w:rPr>
          <w:snapToGrid w:val="0"/>
          <w:kern w:val="0"/>
          <w:szCs w:val="32"/>
        </w:rPr>
        <w:t>新建道路里程。</w:t>
      </w:r>
    </w:p>
    <w:p w:rsidR="0029667E" w:rsidRDefault="005F36FF">
      <w:pPr>
        <w:ind w:firstLine="640"/>
        <w:rPr>
          <w:snapToGrid w:val="0"/>
          <w:kern w:val="0"/>
          <w:szCs w:val="32"/>
        </w:rPr>
      </w:pPr>
      <w:r>
        <w:rPr>
          <w:snapToGrid w:val="0"/>
          <w:kern w:val="0"/>
          <w:szCs w:val="32"/>
        </w:rPr>
        <w:t>指标分值</w:t>
      </w:r>
      <w:r>
        <w:rPr>
          <w:snapToGrid w:val="0"/>
          <w:kern w:val="0"/>
          <w:szCs w:val="32"/>
        </w:rPr>
        <w:t>5</w:t>
      </w:r>
      <w:r>
        <w:rPr>
          <w:snapToGrid w:val="0"/>
          <w:kern w:val="0"/>
          <w:szCs w:val="32"/>
        </w:rPr>
        <w:t>分，评价得分</w:t>
      </w:r>
      <w:r>
        <w:rPr>
          <w:rFonts w:hint="eastAsia"/>
          <w:snapToGrid w:val="0"/>
          <w:kern w:val="0"/>
          <w:szCs w:val="32"/>
        </w:rPr>
        <w:t>4</w:t>
      </w:r>
      <w:r>
        <w:rPr>
          <w:snapToGrid w:val="0"/>
          <w:kern w:val="0"/>
          <w:szCs w:val="32"/>
        </w:rPr>
        <w:t>分，评价得分率为</w:t>
      </w:r>
      <w:r>
        <w:rPr>
          <w:rFonts w:hint="eastAsia"/>
          <w:snapToGrid w:val="0"/>
          <w:kern w:val="0"/>
          <w:szCs w:val="32"/>
        </w:rPr>
        <w:t>8</w:t>
      </w:r>
      <w:r>
        <w:rPr>
          <w:snapToGrid w:val="0"/>
          <w:kern w:val="0"/>
          <w:szCs w:val="32"/>
        </w:rPr>
        <w:t>0%</w:t>
      </w:r>
      <w:r>
        <w:rPr>
          <w:snapToGrid w:val="0"/>
          <w:kern w:val="0"/>
          <w:szCs w:val="32"/>
        </w:rPr>
        <w:t>。</w:t>
      </w:r>
    </w:p>
    <w:p w:rsidR="0029667E" w:rsidRDefault="005F36FF">
      <w:pPr>
        <w:ind w:firstLine="640"/>
        <w:rPr>
          <w:snapToGrid w:val="0"/>
          <w:kern w:val="0"/>
          <w:szCs w:val="32"/>
        </w:rPr>
      </w:pPr>
      <w:r>
        <w:t>预期目标值为</w:t>
      </w:r>
      <w:r>
        <w:rPr>
          <w:rFonts w:ascii="仿宋_GB2312" w:hint="eastAsia"/>
        </w:rPr>
        <w:t>“</w:t>
      </w:r>
      <w:r>
        <w:t>6.374</w:t>
      </w:r>
      <w:r>
        <w:t>公里</w:t>
      </w:r>
      <w:r>
        <w:rPr>
          <w:rFonts w:ascii="仿宋_GB2312" w:hint="eastAsia"/>
        </w:rPr>
        <w:t>”</w:t>
      </w:r>
      <w:r>
        <w:t>，</w:t>
      </w:r>
      <w:r>
        <w:rPr>
          <w:rFonts w:hint="eastAsia"/>
          <w:snapToGrid w:val="0"/>
          <w:kern w:val="0"/>
          <w:szCs w:val="32"/>
        </w:rPr>
        <w:t>结合现场核查情况，项目已完工，</w:t>
      </w:r>
      <w:r>
        <w:rPr>
          <w:snapToGrid w:val="0"/>
          <w:kern w:val="0"/>
          <w:szCs w:val="32"/>
        </w:rPr>
        <w:t>根据施工总结报告，</w:t>
      </w:r>
      <w:r>
        <w:t>项目</w:t>
      </w:r>
      <w:r>
        <w:rPr>
          <w:rFonts w:hint="eastAsia"/>
        </w:rPr>
        <w:t>建设</w:t>
      </w:r>
      <w:proofErr w:type="gramStart"/>
      <w:r>
        <w:t>纵</w:t>
      </w:r>
      <w:proofErr w:type="gramEnd"/>
      <w:r>
        <w:t>一路长度</w:t>
      </w:r>
      <w:r>
        <w:t>1.0</w:t>
      </w:r>
      <w:r>
        <w:t>公里、站前路长度</w:t>
      </w:r>
      <w:r>
        <w:t>0.795</w:t>
      </w:r>
      <w:r>
        <w:t>公里、汽车城大道主道长度</w:t>
      </w:r>
      <w:r>
        <w:t>2.453</w:t>
      </w:r>
      <w:r>
        <w:t>公里、支线</w:t>
      </w:r>
      <w:r>
        <w:t>1</w:t>
      </w:r>
      <w:r>
        <w:t>长度</w:t>
      </w:r>
      <w:r>
        <w:t>0.212</w:t>
      </w:r>
      <w:r>
        <w:t>公里、支线</w:t>
      </w:r>
      <w:r>
        <w:t>2</w:t>
      </w:r>
      <w:r>
        <w:t>长度</w:t>
      </w:r>
      <w:r>
        <w:t>0.</w:t>
      </w:r>
      <w:r>
        <w:rPr>
          <w:rFonts w:hint="eastAsia"/>
        </w:rPr>
        <w:t>1</w:t>
      </w:r>
      <w:r>
        <w:t>09</w:t>
      </w:r>
      <w:r>
        <w:t>公里、新源路长度</w:t>
      </w:r>
      <w:r>
        <w:t>1.5</w:t>
      </w:r>
      <w:r>
        <w:t>公里</w:t>
      </w:r>
      <w:r>
        <w:t>、新源路支线长度</w:t>
      </w:r>
      <w:r>
        <w:t>0.305</w:t>
      </w:r>
      <w:r>
        <w:t>公里，合计</w:t>
      </w:r>
      <w:r>
        <w:t>6.</w:t>
      </w:r>
      <w:r>
        <w:rPr>
          <w:rFonts w:hint="eastAsia"/>
        </w:rPr>
        <w:t>3</w:t>
      </w:r>
      <w:r>
        <w:t>74</w:t>
      </w:r>
      <w:r>
        <w:t>公里，</w:t>
      </w:r>
      <w:r>
        <w:rPr>
          <w:rFonts w:hint="eastAsia"/>
          <w:snapToGrid w:val="0"/>
          <w:kern w:val="0"/>
          <w:szCs w:val="32"/>
        </w:rPr>
        <w:t>但项目未完成竣工验收工作，实际新建道路里程暂不明确，综合以上情况，本指标扣</w:t>
      </w:r>
      <w:r>
        <w:rPr>
          <w:rFonts w:hint="eastAsia"/>
          <w:snapToGrid w:val="0"/>
          <w:kern w:val="0"/>
          <w:szCs w:val="32"/>
        </w:rPr>
        <w:t>1</w:t>
      </w:r>
      <w:r>
        <w:rPr>
          <w:rFonts w:hint="eastAsia"/>
          <w:snapToGrid w:val="0"/>
          <w:kern w:val="0"/>
          <w:szCs w:val="32"/>
        </w:rPr>
        <w:t>分。</w:t>
      </w:r>
    </w:p>
    <w:p w:rsidR="0029667E" w:rsidRDefault="005F36FF">
      <w:pPr>
        <w:pStyle w:val="20"/>
        <w:ind w:firstLine="640"/>
        <w:rPr>
          <w:rFonts w:eastAsia="仿宋_GB2312"/>
          <w:snapToGrid w:val="0"/>
          <w:kern w:val="0"/>
          <w:szCs w:val="32"/>
        </w:rPr>
      </w:pPr>
      <w:r>
        <w:rPr>
          <w:rFonts w:ascii="宋体" w:eastAsia="宋体" w:hAnsi="宋体" w:cs="宋体" w:hint="eastAsia"/>
          <w:snapToGrid w:val="0"/>
          <w:kern w:val="0"/>
          <w:szCs w:val="32"/>
        </w:rPr>
        <w:t>③</w:t>
      </w:r>
      <w:r>
        <w:rPr>
          <w:rFonts w:eastAsia="仿宋_GB2312"/>
          <w:snapToGrid w:val="0"/>
          <w:kern w:val="0"/>
          <w:szCs w:val="32"/>
        </w:rPr>
        <w:t>改造道路里程。</w:t>
      </w:r>
    </w:p>
    <w:p w:rsidR="0029667E" w:rsidRDefault="005F36FF">
      <w:pPr>
        <w:ind w:firstLine="640"/>
        <w:rPr>
          <w:snapToGrid w:val="0"/>
          <w:kern w:val="0"/>
          <w:szCs w:val="32"/>
        </w:rPr>
      </w:pPr>
      <w:r>
        <w:rPr>
          <w:snapToGrid w:val="0"/>
          <w:kern w:val="0"/>
          <w:szCs w:val="32"/>
        </w:rPr>
        <w:t>指标分值</w:t>
      </w:r>
      <w:r>
        <w:rPr>
          <w:snapToGrid w:val="0"/>
          <w:kern w:val="0"/>
          <w:szCs w:val="32"/>
        </w:rPr>
        <w:t>5</w:t>
      </w:r>
      <w:r>
        <w:rPr>
          <w:snapToGrid w:val="0"/>
          <w:kern w:val="0"/>
          <w:szCs w:val="32"/>
        </w:rPr>
        <w:t>分，评价得分</w:t>
      </w:r>
      <w:r>
        <w:rPr>
          <w:rFonts w:hint="eastAsia"/>
          <w:snapToGrid w:val="0"/>
          <w:kern w:val="0"/>
          <w:szCs w:val="32"/>
        </w:rPr>
        <w:t>4</w:t>
      </w:r>
      <w:r>
        <w:rPr>
          <w:snapToGrid w:val="0"/>
          <w:kern w:val="0"/>
          <w:szCs w:val="32"/>
        </w:rPr>
        <w:t>分，评价得分率为</w:t>
      </w:r>
      <w:r>
        <w:rPr>
          <w:rFonts w:hint="eastAsia"/>
          <w:snapToGrid w:val="0"/>
          <w:kern w:val="0"/>
          <w:szCs w:val="32"/>
        </w:rPr>
        <w:t>8</w:t>
      </w:r>
      <w:r>
        <w:rPr>
          <w:snapToGrid w:val="0"/>
          <w:kern w:val="0"/>
          <w:szCs w:val="32"/>
        </w:rPr>
        <w:t>0%</w:t>
      </w:r>
      <w:r>
        <w:rPr>
          <w:snapToGrid w:val="0"/>
          <w:kern w:val="0"/>
          <w:szCs w:val="32"/>
        </w:rPr>
        <w:t>。</w:t>
      </w:r>
    </w:p>
    <w:p w:rsidR="0029667E" w:rsidRDefault="005F36FF">
      <w:pPr>
        <w:ind w:firstLine="640"/>
        <w:rPr>
          <w:snapToGrid w:val="0"/>
          <w:kern w:val="0"/>
          <w:szCs w:val="32"/>
        </w:rPr>
      </w:pPr>
      <w:r>
        <w:rPr>
          <w:snapToGrid w:val="0"/>
          <w:kern w:val="0"/>
          <w:szCs w:val="32"/>
        </w:rPr>
        <w:t>预期目标值为</w:t>
      </w:r>
      <w:r>
        <w:rPr>
          <w:rFonts w:ascii="仿宋_GB2312" w:hint="eastAsia"/>
          <w:snapToGrid w:val="0"/>
          <w:kern w:val="0"/>
          <w:szCs w:val="32"/>
        </w:rPr>
        <w:t>“</w:t>
      </w:r>
      <w:r>
        <w:rPr>
          <w:snapToGrid w:val="0"/>
          <w:kern w:val="0"/>
          <w:szCs w:val="32"/>
        </w:rPr>
        <w:t>2.618</w:t>
      </w:r>
      <w:r>
        <w:rPr>
          <w:snapToGrid w:val="0"/>
          <w:kern w:val="0"/>
          <w:szCs w:val="32"/>
        </w:rPr>
        <w:t>公里</w:t>
      </w:r>
      <w:r>
        <w:rPr>
          <w:rFonts w:ascii="仿宋_GB2312" w:hint="eastAsia"/>
          <w:snapToGrid w:val="0"/>
          <w:kern w:val="0"/>
          <w:szCs w:val="32"/>
        </w:rPr>
        <w:t>”</w:t>
      </w:r>
      <w:r>
        <w:rPr>
          <w:snapToGrid w:val="0"/>
          <w:kern w:val="0"/>
          <w:szCs w:val="32"/>
        </w:rPr>
        <w:t>，</w:t>
      </w:r>
      <w:r>
        <w:rPr>
          <w:rFonts w:hint="eastAsia"/>
          <w:snapToGrid w:val="0"/>
          <w:kern w:val="0"/>
          <w:szCs w:val="32"/>
        </w:rPr>
        <w:t>结合现场核查情况，项目已完工，</w:t>
      </w:r>
      <w:r>
        <w:rPr>
          <w:snapToGrid w:val="0"/>
          <w:kern w:val="0"/>
          <w:szCs w:val="32"/>
        </w:rPr>
        <w:t>根据施工总结报告，项目完成环城路长度</w:t>
      </w:r>
      <w:r>
        <w:rPr>
          <w:snapToGrid w:val="0"/>
          <w:kern w:val="0"/>
          <w:szCs w:val="32"/>
        </w:rPr>
        <w:t>1.7</w:t>
      </w:r>
      <w:r>
        <w:rPr>
          <w:snapToGrid w:val="0"/>
          <w:kern w:val="0"/>
          <w:szCs w:val="32"/>
        </w:rPr>
        <w:t>公里以及新新公路长度</w:t>
      </w:r>
      <w:r>
        <w:rPr>
          <w:snapToGrid w:val="0"/>
          <w:kern w:val="0"/>
          <w:szCs w:val="32"/>
        </w:rPr>
        <w:t>0.918</w:t>
      </w:r>
      <w:r>
        <w:rPr>
          <w:snapToGrid w:val="0"/>
          <w:kern w:val="0"/>
          <w:szCs w:val="32"/>
        </w:rPr>
        <w:t>公里，合计</w:t>
      </w:r>
      <w:r>
        <w:rPr>
          <w:snapToGrid w:val="0"/>
          <w:kern w:val="0"/>
          <w:szCs w:val="32"/>
        </w:rPr>
        <w:t>2.618</w:t>
      </w:r>
      <w:r>
        <w:rPr>
          <w:snapToGrid w:val="0"/>
          <w:kern w:val="0"/>
          <w:szCs w:val="32"/>
        </w:rPr>
        <w:t>公里，完成了施工图设计长度。</w:t>
      </w:r>
      <w:r>
        <w:rPr>
          <w:rFonts w:hint="eastAsia"/>
          <w:snapToGrid w:val="0"/>
          <w:kern w:val="0"/>
          <w:szCs w:val="32"/>
        </w:rPr>
        <w:t>但项目未完成竣工验收工作，实际改造道路里程暂不明确，综合以上情况，本指标扣</w:t>
      </w:r>
      <w:r>
        <w:rPr>
          <w:rFonts w:hint="eastAsia"/>
          <w:snapToGrid w:val="0"/>
          <w:kern w:val="0"/>
          <w:szCs w:val="32"/>
        </w:rPr>
        <w:t>1</w:t>
      </w:r>
      <w:r>
        <w:rPr>
          <w:rFonts w:hint="eastAsia"/>
          <w:snapToGrid w:val="0"/>
          <w:kern w:val="0"/>
          <w:szCs w:val="32"/>
        </w:rPr>
        <w:t>分。</w:t>
      </w:r>
    </w:p>
    <w:p w:rsidR="0029667E" w:rsidRDefault="005F36FF">
      <w:pPr>
        <w:ind w:firstLine="640"/>
        <w:rPr>
          <w:snapToGrid w:val="0"/>
          <w:kern w:val="0"/>
          <w:szCs w:val="32"/>
        </w:rPr>
      </w:pPr>
      <w:r>
        <w:rPr>
          <w:rFonts w:ascii="宋体" w:eastAsia="宋体" w:hAnsi="宋体" w:cs="宋体" w:hint="eastAsia"/>
          <w:snapToGrid w:val="0"/>
          <w:kern w:val="0"/>
          <w:szCs w:val="32"/>
        </w:rPr>
        <w:t>④</w:t>
      </w:r>
      <w:r>
        <w:rPr>
          <w:snapToGrid w:val="0"/>
          <w:kern w:val="0"/>
          <w:szCs w:val="32"/>
        </w:rPr>
        <w:t>配套工程建设完成率。</w:t>
      </w:r>
    </w:p>
    <w:p w:rsidR="0029667E" w:rsidRDefault="005F36FF">
      <w:pPr>
        <w:ind w:firstLine="640"/>
        <w:rPr>
          <w:snapToGrid w:val="0"/>
          <w:kern w:val="0"/>
          <w:szCs w:val="32"/>
        </w:rPr>
      </w:pPr>
      <w:r>
        <w:rPr>
          <w:snapToGrid w:val="0"/>
          <w:kern w:val="0"/>
          <w:szCs w:val="32"/>
        </w:rPr>
        <w:t>指标分值</w:t>
      </w:r>
      <w:r>
        <w:rPr>
          <w:snapToGrid w:val="0"/>
          <w:kern w:val="0"/>
          <w:szCs w:val="32"/>
        </w:rPr>
        <w:t>5</w:t>
      </w:r>
      <w:r>
        <w:rPr>
          <w:snapToGrid w:val="0"/>
          <w:kern w:val="0"/>
          <w:szCs w:val="32"/>
        </w:rPr>
        <w:t>分，评价得分</w:t>
      </w:r>
      <w:r>
        <w:rPr>
          <w:rFonts w:hint="eastAsia"/>
          <w:snapToGrid w:val="0"/>
          <w:kern w:val="0"/>
          <w:szCs w:val="32"/>
        </w:rPr>
        <w:t>5</w:t>
      </w:r>
      <w:r>
        <w:rPr>
          <w:snapToGrid w:val="0"/>
          <w:kern w:val="0"/>
          <w:szCs w:val="32"/>
        </w:rPr>
        <w:t>分，评价得分率为</w:t>
      </w:r>
      <w:r>
        <w:rPr>
          <w:rFonts w:hint="eastAsia"/>
          <w:snapToGrid w:val="0"/>
          <w:kern w:val="0"/>
          <w:szCs w:val="32"/>
        </w:rPr>
        <w:t>10</w:t>
      </w:r>
      <w:r>
        <w:rPr>
          <w:snapToGrid w:val="0"/>
          <w:kern w:val="0"/>
          <w:szCs w:val="32"/>
        </w:rPr>
        <w:t>0%</w:t>
      </w:r>
      <w:r>
        <w:rPr>
          <w:snapToGrid w:val="0"/>
          <w:kern w:val="0"/>
          <w:szCs w:val="32"/>
        </w:rPr>
        <w:t>。</w:t>
      </w:r>
    </w:p>
    <w:p w:rsidR="0029667E" w:rsidRDefault="005F36FF">
      <w:pPr>
        <w:ind w:firstLine="640"/>
        <w:rPr>
          <w:snapToGrid w:val="0"/>
          <w:kern w:val="0"/>
          <w:szCs w:val="32"/>
        </w:rPr>
      </w:pPr>
      <w:r>
        <w:rPr>
          <w:snapToGrid w:val="0"/>
          <w:kern w:val="0"/>
          <w:szCs w:val="32"/>
        </w:rPr>
        <w:t>预期目标值为</w:t>
      </w:r>
      <w:r>
        <w:rPr>
          <w:rFonts w:ascii="仿宋_GB2312" w:hint="eastAsia"/>
          <w:snapToGrid w:val="0"/>
          <w:kern w:val="0"/>
          <w:szCs w:val="32"/>
        </w:rPr>
        <w:t>“</w:t>
      </w:r>
      <w:r>
        <w:rPr>
          <w:snapToGrid w:val="0"/>
          <w:kern w:val="0"/>
          <w:szCs w:val="32"/>
        </w:rPr>
        <w:t>100%</w:t>
      </w:r>
      <w:r>
        <w:rPr>
          <w:rFonts w:ascii="仿宋_GB2312" w:hint="eastAsia"/>
          <w:snapToGrid w:val="0"/>
          <w:kern w:val="0"/>
          <w:szCs w:val="32"/>
        </w:rPr>
        <w:t>”</w:t>
      </w:r>
      <w:r>
        <w:rPr>
          <w:snapToGrid w:val="0"/>
          <w:kern w:val="0"/>
          <w:szCs w:val="32"/>
        </w:rPr>
        <w:t>，</w:t>
      </w:r>
      <w:r>
        <w:rPr>
          <w:rFonts w:hint="eastAsia"/>
        </w:rPr>
        <w:t>根据项目一、二标段施工总结报告，结合现场核查情况，项目桥梁、排水、照明、绿化等配套工程均按计划完成建设。</w:t>
      </w:r>
    </w:p>
    <w:p w:rsidR="0029667E" w:rsidRDefault="005F36FF">
      <w:pPr>
        <w:pStyle w:val="4"/>
        <w:ind w:firstLine="640"/>
        <w:rPr>
          <w:rFonts w:cs="Times New Roman"/>
          <w:snapToGrid w:val="0"/>
        </w:rPr>
      </w:pPr>
      <w:r>
        <w:rPr>
          <w:rFonts w:cs="Times New Roman"/>
          <w:snapToGrid w:val="0"/>
        </w:rPr>
        <w:t>（</w:t>
      </w:r>
      <w:r>
        <w:rPr>
          <w:rFonts w:cs="Times New Roman"/>
          <w:snapToGrid w:val="0"/>
        </w:rPr>
        <w:t>4</w:t>
      </w:r>
      <w:r>
        <w:rPr>
          <w:rFonts w:cs="Times New Roman"/>
          <w:snapToGrid w:val="0"/>
        </w:rPr>
        <w:t>）完成质量。</w:t>
      </w:r>
    </w:p>
    <w:p w:rsidR="0029667E" w:rsidRDefault="005F36FF">
      <w:pPr>
        <w:ind w:firstLine="640"/>
        <w:rPr>
          <w:snapToGrid w:val="0"/>
          <w:kern w:val="0"/>
          <w:szCs w:val="32"/>
        </w:rPr>
      </w:pPr>
      <w:r>
        <w:rPr>
          <w:snapToGrid w:val="0"/>
          <w:kern w:val="0"/>
          <w:szCs w:val="32"/>
        </w:rPr>
        <w:t>该指标包括工程质量达标率、变更合</w:t>
      </w:r>
      <w:proofErr w:type="gramStart"/>
      <w:r>
        <w:rPr>
          <w:snapToGrid w:val="0"/>
          <w:kern w:val="0"/>
          <w:szCs w:val="32"/>
        </w:rPr>
        <w:t>规</w:t>
      </w:r>
      <w:proofErr w:type="gramEnd"/>
      <w:r>
        <w:rPr>
          <w:snapToGrid w:val="0"/>
          <w:kern w:val="0"/>
          <w:szCs w:val="32"/>
        </w:rPr>
        <w:t>率</w:t>
      </w:r>
      <w:r>
        <w:rPr>
          <w:snapToGrid w:val="0"/>
          <w:kern w:val="0"/>
          <w:szCs w:val="32"/>
        </w:rPr>
        <w:t>2</w:t>
      </w:r>
      <w:r>
        <w:rPr>
          <w:snapToGrid w:val="0"/>
          <w:kern w:val="0"/>
          <w:szCs w:val="32"/>
        </w:rPr>
        <w:t>个方面，指标分值</w:t>
      </w:r>
      <w:r>
        <w:rPr>
          <w:snapToGrid w:val="0"/>
          <w:kern w:val="0"/>
          <w:szCs w:val="32"/>
        </w:rPr>
        <w:t>10</w:t>
      </w:r>
      <w:r>
        <w:rPr>
          <w:snapToGrid w:val="0"/>
          <w:kern w:val="0"/>
          <w:szCs w:val="32"/>
        </w:rPr>
        <w:t>分</w:t>
      </w:r>
      <w:r>
        <w:t>，评价得分</w:t>
      </w:r>
      <w:r>
        <w:t>9</w:t>
      </w:r>
      <w:r>
        <w:t>分，评价得分率为</w:t>
      </w:r>
      <w:r>
        <w:t>90%</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建设质量达标率。</w:t>
      </w:r>
    </w:p>
    <w:p w:rsidR="0029667E" w:rsidRDefault="005F36FF">
      <w:pPr>
        <w:ind w:firstLine="640"/>
        <w:rPr>
          <w:snapToGrid w:val="0"/>
          <w:kern w:val="0"/>
          <w:szCs w:val="32"/>
        </w:rPr>
      </w:pPr>
      <w:r>
        <w:rPr>
          <w:snapToGrid w:val="0"/>
          <w:kern w:val="0"/>
          <w:szCs w:val="32"/>
        </w:rPr>
        <w:t>指标分值</w:t>
      </w:r>
      <w:r>
        <w:rPr>
          <w:snapToGrid w:val="0"/>
          <w:kern w:val="0"/>
          <w:szCs w:val="32"/>
        </w:rPr>
        <w:t>5</w:t>
      </w:r>
      <w:r>
        <w:rPr>
          <w:snapToGrid w:val="0"/>
          <w:kern w:val="0"/>
          <w:szCs w:val="32"/>
        </w:rPr>
        <w:t>分，评价得分</w:t>
      </w:r>
      <w:r>
        <w:rPr>
          <w:snapToGrid w:val="0"/>
          <w:kern w:val="0"/>
          <w:szCs w:val="32"/>
        </w:rPr>
        <w:t>4</w:t>
      </w:r>
      <w:r>
        <w:rPr>
          <w:snapToGrid w:val="0"/>
          <w:kern w:val="0"/>
          <w:szCs w:val="32"/>
        </w:rPr>
        <w:t>分，评价得分率为</w:t>
      </w:r>
      <w:r>
        <w:rPr>
          <w:snapToGrid w:val="0"/>
          <w:kern w:val="0"/>
          <w:szCs w:val="32"/>
        </w:rPr>
        <w:t>90%</w:t>
      </w:r>
      <w:r>
        <w:rPr>
          <w:snapToGrid w:val="0"/>
          <w:kern w:val="0"/>
          <w:szCs w:val="32"/>
        </w:rPr>
        <w:t>。</w:t>
      </w:r>
    </w:p>
    <w:p w:rsidR="0029667E" w:rsidRDefault="005F36FF">
      <w:pPr>
        <w:ind w:firstLine="640"/>
        <w:rPr>
          <w:snapToGrid w:val="0"/>
          <w:kern w:val="0"/>
          <w:szCs w:val="32"/>
        </w:rPr>
      </w:pPr>
      <w:r>
        <w:rPr>
          <w:snapToGrid w:val="0"/>
          <w:kern w:val="0"/>
          <w:szCs w:val="32"/>
        </w:rPr>
        <w:t>预期目标值为</w:t>
      </w:r>
      <w:r>
        <w:rPr>
          <w:rFonts w:ascii="仿宋_GB2312" w:hint="eastAsia"/>
          <w:snapToGrid w:val="0"/>
          <w:kern w:val="0"/>
          <w:szCs w:val="32"/>
        </w:rPr>
        <w:t>“</w:t>
      </w:r>
      <w:r>
        <w:rPr>
          <w:snapToGrid w:val="0"/>
          <w:kern w:val="0"/>
          <w:szCs w:val="32"/>
        </w:rPr>
        <w:t>100%</w:t>
      </w:r>
      <w:r>
        <w:rPr>
          <w:rFonts w:ascii="仿宋_GB2312" w:hint="eastAsia"/>
          <w:snapToGrid w:val="0"/>
          <w:kern w:val="0"/>
          <w:szCs w:val="32"/>
        </w:rPr>
        <w:t>”</w:t>
      </w:r>
      <w:r>
        <w:rPr>
          <w:snapToGrid w:val="0"/>
          <w:kern w:val="0"/>
          <w:szCs w:val="32"/>
        </w:rPr>
        <w:t>，根据现场核查工程检验检测资料及施工方提供的施工总结报告，项目路面、路基、交通、给排水、通信电力、照明与绿化景观等各部分工程均通过质量监测。</w:t>
      </w:r>
      <w:r>
        <w:rPr>
          <w:snapToGrid w:val="0"/>
          <w:kern w:val="0"/>
          <w:szCs w:val="32"/>
        </w:rPr>
        <w:t>但项目一、二标段截至</w:t>
      </w:r>
      <w:r>
        <w:rPr>
          <w:snapToGrid w:val="0"/>
          <w:kern w:val="0"/>
          <w:szCs w:val="32"/>
        </w:rPr>
        <w:t>2024</w:t>
      </w:r>
      <w:r>
        <w:rPr>
          <w:snapToGrid w:val="0"/>
          <w:kern w:val="0"/>
          <w:szCs w:val="32"/>
        </w:rPr>
        <w:t>年</w:t>
      </w:r>
      <w:r>
        <w:rPr>
          <w:snapToGrid w:val="0"/>
          <w:kern w:val="0"/>
          <w:szCs w:val="32"/>
        </w:rPr>
        <w:t>6</w:t>
      </w:r>
      <w:r>
        <w:rPr>
          <w:snapToGrid w:val="0"/>
          <w:kern w:val="0"/>
          <w:szCs w:val="32"/>
        </w:rPr>
        <w:t>月均未完成验收工作，工程验收质量不明确。</w:t>
      </w:r>
    </w:p>
    <w:p w:rsidR="0029667E" w:rsidRDefault="005F36FF">
      <w:pPr>
        <w:ind w:firstLine="640"/>
        <w:rPr>
          <w:snapToGrid w:val="0"/>
          <w:kern w:val="0"/>
          <w:szCs w:val="32"/>
        </w:rPr>
      </w:pPr>
      <w:r>
        <w:rPr>
          <w:rFonts w:ascii="宋体" w:eastAsia="宋体" w:hAnsi="宋体" w:cs="宋体" w:hint="eastAsia"/>
        </w:rPr>
        <w:t>②</w:t>
      </w:r>
      <w:r>
        <w:t>变更合</w:t>
      </w:r>
      <w:proofErr w:type="gramStart"/>
      <w:r>
        <w:t>规</w:t>
      </w:r>
      <w:proofErr w:type="gramEnd"/>
      <w:r>
        <w:t>率。</w:t>
      </w:r>
    </w:p>
    <w:p w:rsidR="0029667E" w:rsidRDefault="005F36FF">
      <w:pPr>
        <w:ind w:firstLine="640"/>
        <w:rPr>
          <w:snapToGrid w:val="0"/>
          <w:kern w:val="0"/>
          <w:szCs w:val="32"/>
        </w:rPr>
      </w:pPr>
      <w:r>
        <w:rPr>
          <w:snapToGrid w:val="0"/>
          <w:kern w:val="0"/>
          <w:szCs w:val="32"/>
        </w:rPr>
        <w:t>指标分值</w:t>
      </w:r>
      <w:r>
        <w:rPr>
          <w:snapToGrid w:val="0"/>
          <w:kern w:val="0"/>
          <w:szCs w:val="32"/>
        </w:rPr>
        <w:t>5</w:t>
      </w:r>
      <w:r>
        <w:rPr>
          <w:snapToGrid w:val="0"/>
          <w:kern w:val="0"/>
          <w:szCs w:val="32"/>
        </w:rPr>
        <w:t>分，评价得分</w:t>
      </w:r>
      <w:r>
        <w:rPr>
          <w:snapToGrid w:val="0"/>
          <w:kern w:val="0"/>
          <w:szCs w:val="32"/>
        </w:rPr>
        <w:t>5</w:t>
      </w:r>
      <w:r>
        <w:rPr>
          <w:snapToGrid w:val="0"/>
          <w:kern w:val="0"/>
          <w:szCs w:val="32"/>
        </w:rPr>
        <w:t>分，评价得分率为</w:t>
      </w:r>
      <w:r>
        <w:rPr>
          <w:snapToGrid w:val="0"/>
          <w:kern w:val="0"/>
          <w:szCs w:val="32"/>
        </w:rPr>
        <w:t>100%</w:t>
      </w:r>
      <w:r>
        <w:rPr>
          <w:snapToGrid w:val="0"/>
          <w:kern w:val="0"/>
          <w:szCs w:val="32"/>
        </w:rPr>
        <w:t>。</w:t>
      </w:r>
    </w:p>
    <w:p w:rsidR="0029667E" w:rsidRDefault="005F36FF">
      <w:pPr>
        <w:ind w:firstLine="640"/>
      </w:pPr>
      <w:r>
        <w:rPr>
          <w:snapToGrid w:val="0"/>
          <w:kern w:val="0"/>
          <w:szCs w:val="32"/>
        </w:rPr>
        <w:t>预期目标值为</w:t>
      </w:r>
      <w:r>
        <w:rPr>
          <w:rFonts w:ascii="仿宋_GB2312" w:hint="eastAsia"/>
          <w:snapToGrid w:val="0"/>
          <w:kern w:val="0"/>
          <w:szCs w:val="32"/>
        </w:rPr>
        <w:t>“</w:t>
      </w:r>
      <w:r>
        <w:rPr>
          <w:snapToGrid w:val="0"/>
          <w:kern w:val="0"/>
          <w:szCs w:val="32"/>
        </w:rPr>
        <w:t>100%</w:t>
      </w:r>
      <w:r>
        <w:rPr>
          <w:rFonts w:ascii="仿宋_GB2312" w:hint="eastAsia"/>
          <w:snapToGrid w:val="0"/>
          <w:kern w:val="0"/>
          <w:szCs w:val="32"/>
        </w:rPr>
        <w:t>”</w:t>
      </w:r>
      <w:r>
        <w:rPr>
          <w:snapToGrid w:val="0"/>
          <w:kern w:val="0"/>
          <w:szCs w:val="32"/>
        </w:rPr>
        <w:t>，根据《广州市增城区道路养护中心关于申请调整新塘站片区路网一纵一路、新源路及汽车城大道建设工程项目可行性研究报告建设内容的函》（</w:t>
      </w:r>
      <w:proofErr w:type="gramStart"/>
      <w:r>
        <w:rPr>
          <w:snapToGrid w:val="0"/>
          <w:kern w:val="0"/>
          <w:szCs w:val="32"/>
        </w:rPr>
        <w:t>增道函〔</w:t>
      </w:r>
      <w:r>
        <w:rPr>
          <w:snapToGrid w:val="0"/>
          <w:kern w:val="0"/>
          <w:szCs w:val="32"/>
        </w:rPr>
        <w:t>2021</w:t>
      </w:r>
      <w:r>
        <w:rPr>
          <w:snapToGrid w:val="0"/>
          <w:kern w:val="0"/>
          <w:szCs w:val="32"/>
        </w:rPr>
        <w:t>〕</w:t>
      </w:r>
      <w:proofErr w:type="gramEnd"/>
      <w:r>
        <w:rPr>
          <w:snapToGrid w:val="0"/>
          <w:kern w:val="0"/>
          <w:szCs w:val="32"/>
        </w:rPr>
        <w:t>24</w:t>
      </w:r>
      <w:r>
        <w:rPr>
          <w:snapToGrid w:val="0"/>
          <w:kern w:val="0"/>
          <w:szCs w:val="32"/>
        </w:rPr>
        <w:t>号）及</w:t>
      </w:r>
      <w:r>
        <w:t>《广州市增城区发展和改革局关于调整新塘站片区路网一纵一路、新源路及汽车城大道建设工程项目建设规模和建设内容的复函》（穗</w:t>
      </w:r>
      <w:proofErr w:type="gramStart"/>
      <w:r>
        <w:t>增发改函〔</w:t>
      </w:r>
      <w:r>
        <w:t>2021</w:t>
      </w:r>
      <w:r>
        <w:t>〕</w:t>
      </w:r>
      <w:proofErr w:type="gramEnd"/>
      <w:r>
        <w:t>412</w:t>
      </w:r>
      <w:r>
        <w:t>号），因新源路广</w:t>
      </w:r>
      <w:proofErr w:type="gramStart"/>
      <w:r>
        <w:t>园快速</w:t>
      </w:r>
      <w:proofErr w:type="gramEnd"/>
      <w:r>
        <w:t>路以北段拆迁量较大，当时</w:t>
      </w:r>
      <w:r>
        <w:t>难以实施，且新新大道属于东部交通枢纽南北向交通疏解的重要通道，具有缓解堵塞交通的重要作用，区道路养护中心优化了项目设计方案，</w:t>
      </w:r>
      <w:r>
        <w:t>2021</w:t>
      </w:r>
      <w:r>
        <w:t>年</w:t>
      </w:r>
      <w:r>
        <w:t>3</w:t>
      </w:r>
      <w:r>
        <w:t>月</w:t>
      </w:r>
      <w:r>
        <w:t>15</w:t>
      </w:r>
      <w:r>
        <w:t>日向区发展</w:t>
      </w:r>
      <w:proofErr w:type="gramStart"/>
      <w:r>
        <w:t>改革局</w:t>
      </w:r>
      <w:proofErr w:type="gramEnd"/>
      <w:r>
        <w:t>申请调整建设内容，调整内容如下：一、新源路起点调整为北接</w:t>
      </w:r>
      <w:proofErr w:type="gramStart"/>
      <w:r>
        <w:t>现状广园快速</w:t>
      </w:r>
      <w:proofErr w:type="gramEnd"/>
      <w:r>
        <w:t>路下穿通道，南接驳现状汇</w:t>
      </w:r>
      <w:proofErr w:type="gramStart"/>
      <w:r>
        <w:t>太</w:t>
      </w:r>
      <w:proofErr w:type="gramEnd"/>
      <w:r>
        <w:t>路，新源路道路长度由</w:t>
      </w:r>
      <w:r>
        <w:t>2.03km</w:t>
      </w:r>
      <w:r>
        <w:t>调整为</w:t>
      </w:r>
      <w:r>
        <w:t>1.5km</w:t>
      </w:r>
      <w:r>
        <w:t>；二、增加新新大道改造工程，新新大道</w:t>
      </w:r>
      <w:proofErr w:type="gramStart"/>
      <w:r>
        <w:t>起点北</w:t>
      </w:r>
      <w:proofErr w:type="gramEnd"/>
      <w:r>
        <w:t>下穿广</w:t>
      </w:r>
      <w:proofErr w:type="gramStart"/>
      <w:r>
        <w:t>园快速</w:t>
      </w:r>
      <w:proofErr w:type="gramEnd"/>
      <w:r>
        <w:t>路，</w:t>
      </w:r>
      <w:proofErr w:type="gramStart"/>
      <w:r>
        <w:t>终点南接站</w:t>
      </w:r>
      <w:proofErr w:type="gramEnd"/>
      <w:r>
        <w:t>前路，道路长度约</w:t>
      </w:r>
      <w:r>
        <w:t>0.918km</w:t>
      </w:r>
      <w:r>
        <w:t>，规划红线宽度</w:t>
      </w:r>
      <w:r>
        <w:t>60m</w:t>
      </w:r>
      <w:r>
        <w:t>。三、汽车城大道支线</w:t>
      </w:r>
      <w:r>
        <w:t>2</w:t>
      </w:r>
      <w:r>
        <w:t>规划红线宽度根据最新控</w:t>
      </w:r>
      <w:proofErr w:type="gramStart"/>
      <w:r>
        <w:t>规</w:t>
      </w:r>
      <w:proofErr w:type="gramEnd"/>
      <w:r>
        <w:t>由</w:t>
      </w:r>
      <w:r>
        <w:t>15m</w:t>
      </w:r>
      <w:r>
        <w:t>调整为</w:t>
      </w:r>
      <w:r>
        <w:t>20m</w:t>
      </w:r>
      <w:r>
        <w:t>，原可行性研究报告批复总投资</w:t>
      </w:r>
      <w:r>
        <w:t>等其它内容不变。区发展</w:t>
      </w:r>
      <w:proofErr w:type="gramStart"/>
      <w:r>
        <w:t>改革局</w:t>
      </w:r>
      <w:proofErr w:type="gramEnd"/>
      <w:r>
        <w:t>于</w:t>
      </w:r>
      <w:r>
        <w:t>2021</w:t>
      </w:r>
      <w:r>
        <w:t>年</w:t>
      </w:r>
      <w:r>
        <w:t>3</w:t>
      </w:r>
      <w:r>
        <w:t>月</w:t>
      </w:r>
      <w:r>
        <w:t>19</w:t>
      </w:r>
      <w:r>
        <w:t>日批复同意。</w:t>
      </w:r>
    </w:p>
    <w:p w:rsidR="0029667E" w:rsidRDefault="005F36FF">
      <w:pPr>
        <w:ind w:firstLine="640"/>
      </w:pPr>
      <w:r>
        <w:t>根据项目一、二标段工程变更台账，施工期间发生的增加道路标线、增加指示牌、调整管线布置等变更均建立了变更单并经过区道路养护中心会议讨论决定或报送区交通运输局进行审批。</w:t>
      </w:r>
    </w:p>
    <w:p w:rsidR="0029667E" w:rsidRDefault="005F36FF">
      <w:pPr>
        <w:pStyle w:val="3"/>
        <w:ind w:firstLine="640"/>
        <w:rPr>
          <w:snapToGrid w:val="0"/>
        </w:rPr>
      </w:pPr>
      <w:r>
        <w:rPr>
          <w:snapToGrid w:val="0"/>
        </w:rPr>
        <w:t>4.</w:t>
      </w:r>
      <w:r>
        <w:rPr>
          <w:snapToGrid w:val="0"/>
        </w:rPr>
        <w:t>效益实现情况分析。</w:t>
      </w:r>
    </w:p>
    <w:p w:rsidR="0029667E" w:rsidRDefault="005F36FF">
      <w:pPr>
        <w:ind w:firstLine="640"/>
        <w:rPr>
          <w:snapToGrid w:val="0"/>
          <w:kern w:val="0"/>
          <w:szCs w:val="32"/>
        </w:rPr>
      </w:pPr>
      <w:r>
        <w:t>指标下设</w:t>
      </w:r>
      <w:r>
        <w:rPr>
          <w:rFonts w:ascii="仿宋_GB2312" w:hint="eastAsia"/>
        </w:rPr>
        <w:t>“</w:t>
      </w:r>
      <w:r>
        <w:t>效果性</w:t>
      </w:r>
      <w:r>
        <w:rPr>
          <w:rFonts w:ascii="仿宋_GB2312" w:hint="eastAsia"/>
        </w:rPr>
        <w:t>”“</w:t>
      </w:r>
      <w:r>
        <w:t>公平性</w:t>
      </w:r>
      <w:r>
        <w:rPr>
          <w:rFonts w:ascii="仿宋_GB2312" w:hint="eastAsia"/>
        </w:rPr>
        <w:t>”</w:t>
      </w:r>
      <w:r>
        <w:t>2</w:t>
      </w:r>
      <w:r>
        <w:t>个二级指标，主要从经济效益、社会效益、生态效益、满意度</w:t>
      </w:r>
      <w:r>
        <w:t>4</w:t>
      </w:r>
      <w:r>
        <w:t>个方面反映项目效益完成情况。指标分值</w:t>
      </w:r>
      <w:r>
        <w:t>25</w:t>
      </w:r>
      <w:r>
        <w:t>分，评价得分</w:t>
      </w:r>
      <w:r>
        <w:t>25</w:t>
      </w:r>
      <w:r>
        <w:t>分，评价得分率为</w:t>
      </w:r>
      <w:r>
        <w:t>100%</w:t>
      </w:r>
      <w:r>
        <w:t>。</w:t>
      </w:r>
    </w:p>
    <w:p w:rsidR="0029667E" w:rsidRDefault="005F36FF">
      <w:pPr>
        <w:pStyle w:val="4"/>
        <w:ind w:firstLine="640"/>
        <w:rPr>
          <w:rFonts w:cs="Times New Roman"/>
          <w:snapToGrid w:val="0"/>
        </w:rPr>
      </w:pPr>
      <w:r>
        <w:rPr>
          <w:rFonts w:cs="Times New Roman"/>
          <w:snapToGrid w:val="0"/>
        </w:rPr>
        <w:t>（</w:t>
      </w:r>
      <w:r>
        <w:rPr>
          <w:rFonts w:cs="Times New Roman"/>
          <w:snapToGrid w:val="0"/>
        </w:rPr>
        <w:t>1</w:t>
      </w:r>
      <w:r>
        <w:rPr>
          <w:rFonts w:cs="Times New Roman"/>
          <w:snapToGrid w:val="0"/>
        </w:rPr>
        <w:t>）经济效益。</w:t>
      </w:r>
    </w:p>
    <w:p w:rsidR="0029667E" w:rsidRDefault="005F36FF">
      <w:pPr>
        <w:ind w:firstLine="640"/>
        <w:rPr>
          <w:snapToGrid w:val="0"/>
          <w:kern w:val="0"/>
          <w:szCs w:val="32"/>
          <w:highlight w:val="yellow"/>
        </w:rPr>
      </w:pPr>
      <w:r>
        <w:rPr>
          <w:snapToGrid w:val="0"/>
          <w:kern w:val="0"/>
          <w:szCs w:val="32"/>
        </w:rPr>
        <w:t>该指标包括改善区域经济环境</w:t>
      </w:r>
      <w:r>
        <w:rPr>
          <w:snapToGrid w:val="0"/>
          <w:kern w:val="0"/>
          <w:szCs w:val="32"/>
        </w:rPr>
        <w:t>1</w:t>
      </w:r>
      <w:r>
        <w:rPr>
          <w:snapToGrid w:val="0"/>
          <w:kern w:val="0"/>
          <w:szCs w:val="32"/>
        </w:rPr>
        <w:t>个方面，指标分值</w:t>
      </w:r>
      <w:r>
        <w:rPr>
          <w:snapToGrid w:val="0"/>
          <w:kern w:val="0"/>
          <w:szCs w:val="32"/>
        </w:rPr>
        <w:t>7</w:t>
      </w:r>
      <w:r>
        <w:rPr>
          <w:snapToGrid w:val="0"/>
          <w:kern w:val="0"/>
          <w:szCs w:val="32"/>
        </w:rPr>
        <w:t>分</w:t>
      </w:r>
      <w:r>
        <w:t>，评价得分</w:t>
      </w:r>
      <w:r>
        <w:t>7</w:t>
      </w:r>
      <w:r>
        <w:t>分，评价得分率为</w:t>
      </w:r>
      <w:r>
        <w:t>100%</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改善区域经济环境。</w:t>
      </w:r>
    </w:p>
    <w:p w:rsidR="0029667E" w:rsidRDefault="005F36FF">
      <w:pPr>
        <w:ind w:firstLine="640"/>
        <w:rPr>
          <w:snapToGrid w:val="0"/>
          <w:kern w:val="0"/>
          <w:szCs w:val="32"/>
        </w:rPr>
      </w:pPr>
      <w:proofErr w:type="gramStart"/>
      <w:r>
        <w:rPr>
          <w:snapToGrid w:val="0"/>
          <w:kern w:val="0"/>
          <w:szCs w:val="32"/>
        </w:rPr>
        <w:t>预指标</w:t>
      </w:r>
      <w:proofErr w:type="gramEnd"/>
      <w:r>
        <w:rPr>
          <w:snapToGrid w:val="0"/>
          <w:kern w:val="0"/>
          <w:szCs w:val="32"/>
        </w:rPr>
        <w:t>分值</w:t>
      </w:r>
      <w:r>
        <w:rPr>
          <w:snapToGrid w:val="0"/>
          <w:kern w:val="0"/>
          <w:szCs w:val="32"/>
        </w:rPr>
        <w:t>7</w:t>
      </w:r>
      <w:r>
        <w:rPr>
          <w:snapToGrid w:val="0"/>
          <w:kern w:val="0"/>
          <w:szCs w:val="32"/>
        </w:rPr>
        <w:t>分，评价得分</w:t>
      </w:r>
      <w:r>
        <w:rPr>
          <w:snapToGrid w:val="0"/>
          <w:kern w:val="0"/>
          <w:szCs w:val="32"/>
        </w:rPr>
        <w:t>7</w:t>
      </w:r>
      <w:r>
        <w:rPr>
          <w:snapToGrid w:val="0"/>
          <w:kern w:val="0"/>
          <w:szCs w:val="32"/>
        </w:rPr>
        <w:t>分，评价得分率为</w:t>
      </w:r>
      <w:r>
        <w:rPr>
          <w:snapToGrid w:val="0"/>
          <w:kern w:val="0"/>
          <w:szCs w:val="32"/>
        </w:rPr>
        <w:t>100%</w:t>
      </w:r>
      <w:r>
        <w:rPr>
          <w:snapToGrid w:val="0"/>
          <w:kern w:val="0"/>
          <w:szCs w:val="32"/>
        </w:rPr>
        <w:t>。</w:t>
      </w:r>
    </w:p>
    <w:p w:rsidR="0029667E" w:rsidRDefault="005F36FF">
      <w:pPr>
        <w:ind w:firstLine="640"/>
        <w:rPr>
          <w:snapToGrid w:val="0"/>
          <w:kern w:val="0"/>
          <w:szCs w:val="32"/>
        </w:rPr>
      </w:pPr>
      <w:proofErr w:type="gramStart"/>
      <w:r>
        <w:rPr>
          <w:snapToGrid w:val="0"/>
          <w:kern w:val="0"/>
          <w:szCs w:val="32"/>
        </w:rPr>
        <w:t>期指标</w:t>
      </w:r>
      <w:proofErr w:type="gramEnd"/>
      <w:r>
        <w:rPr>
          <w:snapToGrid w:val="0"/>
          <w:kern w:val="0"/>
          <w:szCs w:val="32"/>
        </w:rPr>
        <w:t>值</w:t>
      </w:r>
      <w:r>
        <w:rPr>
          <w:rFonts w:ascii="仿宋_GB2312" w:hint="eastAsia"/>
          <w:snapToGrid w:val="0"/>
          <w:kern w:val="0"/>
          <w:szCs w:val="32"/>
        </w:rPr>
        <w:t>“</w:t>
      </w:r>
      <w:r>
        <w:rPr>
          <w:snapToGrid w:val="0"/>
          <w:kern w:val="0"/>
          <w:szCs w:val="32"/>
        </w:rPr>
        <w:t>提高交通效率，促进经济发展</w:t>
      </w:r>
      <w:r>
        <w:rPr>
          <w:rFonts w:ascii="仿宋_GB2312" w:hint="eastAsia"/>
          <w:snapToGrid w:val="0"/>
          <w:kern w:val="0"/>
          <w:szCs w:val="32"/>
        </w:rPr>
        <w:t>”</w:t>
      </w:r>
      <w:r>
        <w:rPr>
          <w:snapToGrid w:val="0"/>
          <w:kern w:val="0"/>
          <w:szCs w:val="32"/>
        </w:rPr>
        <w:t>。项目通过建设</w:t>
      </w:r>
      <w:r>
        <w:rPr>
          <w:snapToGrid w:val="0"/>
          <w:kern w:val="0"/>
          <w:szCs w:val="32"/>
        </w:rPr>
        <w:t>6</w:t>
      </w:r>
      <w:r>
        <w:rPr>
          <w:snapToGrid w:val="0"/>
          <w:kern w:val="0"/>
          <w:szCs w:val="32"/>
        </w:rPr>
        <w:t>条设计时速达</w:t>
      </w:r>
      <w:r>
        <w:rPr>
          <w:snapToGrid w:val="0"/>
          <w:kern w:val="0"/>
          <w:szCs w:val="32"/>
        </w:rPr>
        <w:t>60km</w:t>
      </w:r>
      <w:r>
        <w:rPr>
          <w:snapToGrid w:val="0"/>
          <w:kern w:val="0"/>
          <w:szCs w:val="32"/>
        </w:rPr>
        <w:t>的一级公路结合城市主干路，</w:t>
      </w:r>
      <w:r>
        <w:t>提升了增城区内部以及与外部区域的交通连接性，改善了交通流动性；同时缓解了新塘站落成运营后对周边区域主要道路的交通压力和城市交通拥堵问题，提高了道路运输效率</w:t>
      </w:r>
      <w:r>
        <w:rPr>
          <w:snapToGrid w:val="0"/>
          <w:kern w:val="0"/>
          <w:szCs w:val="32"/>
        </w:rPr>
        <w:t>，完善了新塘站的客运输送能力，对于促进新塘站和增城区对外往来和经济发展提供了有力支撑。</w:t>
      </w:r>
    </w:p>
    <w:p w:rsidR="0029667E" w:rsidRDefault="005F36FF">
      <w:pPr>
        <w:pStyle w:val="4"/>
        <w:ind w:firstLine="640"/>
        <w:rPr>
          <w:rFonts w:cs="Times New Roman"/>
          <w:snapToGrid w:val="0"/>
        </w:rPr>
      </w:pPr>
      <w:r>
        <w:rPr>
          <w:rFonts w:cs="Times New Roman"/>
          <w:snapToGrid w:val="0"/>
        </w:rPr>
        <w:t>（</w:t>
      </w:r>
      <w:r>
        <w:rPr>
          <w:rFonts w:cs="Times New Roman"/>
          <w:snapToGrid w:val="0"/>
        </w:rPr>
        <w:t>2</w:t>
      </w:r>
      <w:r>
        <w:rPr>
          <w:rFonts w:cs="Times New Roman"/>
          <w:snapToGrid w:val="0"/>
        </w:rPr>
        <w:t>）社会效益。</w:t>
      </w:r>
    </w:p>
    <w:p w:rsidR="0029667E" w:rsidRDefault="005F36FF">
      <w:pPr>
        <w:ind w:firstLine="640"/>
        <w:rPr>
          <w:snapToGrid w:val="0"/>
          <w:highlight w:val="yellow"/>
        </w:rPr>
      </w:pPr>
      <w:r>
        <w:rPr>
          <w:snapToGrid w:val="0"/>
        </w:rPr>
        <w:t>该指标包括完善区域交通路网</w:t>
      </w:r>
      <w:r>
        <w:rPr>
          <w:snapToGrid w:val="0"/>
        </w:rPr>
        <w:t>1</w:t>
      </w:r>
      <w:r>
        <w:rPr>
          <w:snapToGrid w:val="0"/>
        </w:rPr>
        <w:t>个方面，</w:t>
      </w:r>
      <w:r>
        <w:rPr>
          <w:snapToGrid w:val="0"/>
        </w:rPr>
        <w:t>指标分值</w:t>
      </w:r>
      <w:r>
        <w:rPr>
          <w:snapToGrid w:val="0"/>
        </w:rPr>
        <w:t>7</w:t>
      </w:r>
      <w:r>
        <w:rPr>
          <w:snapToGrid w:val="0"/>
        </w:rPr>
        <w:t>分，评价得分</w:t>
      </w:r>
      <w:r>
        <w:rPr>
          <w:snapToGrid w:val="0"/>
        </w:rPr>
        <w:t>7</w:t>
      </w:r>
      <w:r>
        <w:rPr>
          <w:snapToGrid w:val="0"/>
        </w:rPr>
        <w:t>分，评价得分率为</w:t>
      </w:r>
      <w:r>
        <w:rPr>
          <w:snapToGrid w:val="0"/>
          <w:kern w:val="0"/>
          <w:szCs w:val="32"/>
        </w:rPr>
        <w:t>100</w:t>
      </w:r>
      <w:r>
        <w:rPr>
          <w:snapToGrid w:val="0"/>
        </w:rPr>
        <w:t>%</w:t>
      </w:r>
      <w:r>
        <w:rPr>
          <w:snapToGrid w:val="0"/>
        </w:rP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完善区域交通路网。</w:t>
      </w:r>
    </w:p>
    <w:p w:rsidR="0029667E" w:rsidRDefault="005F36FF">
      <w:pPr>
        <w:ind w:firstLine="640"/>
        <w:rPr>
          <w:snapToGrid w:val="0"/>
          <w:kern w:val="0"/>
          <w:szCs w:val="32"/>
        </w:rPr>
      </w:pPr>
      <w:r>
        <w:rPr>
          <w:snapToGrid w:val="0"/>
          <w:kern w:val="0"/>
          <w:szCs w:val="32"/>
        </w:rPr>
        <w:t>指标分值</w:t>
      </w:r>
      <w:r>
        <w:rPr>
          <w:snapToGrid w:val="0"/>
          <w:kern w:val="0"/>
          <w:szCs w:val="32"/>
        </w:rPr>
        <w:t>7</w:t>
      </w:r>
      <w:r>
        <w:rPr>
          <w:snapToGrid w:val="0"/>
          <w:kern w:val="0"/>
          <w:szCs w:val="32"/>
        </w:rPr>
        <w:t>分，评价得分</w:t>
      </w:r>
      <w:r>
        <w:rPr>
          <w:snapToGrid w:val="0"/>
          <w:kern w:val="0"/>
          <w:szCs w:val="32"/>
        </w:rPr>
        <w:t>7</w:t>
      </w:r>
      <w:r>
        <w:rPr>
          <w:snapToGrid w:val="0"/>
          <w:kern w:val="0"/>
          <w:szCs w:val="32"/>
        </w:rPr>
        <w:t>分，评价得分率为</w:t>
      </w:r>
      <w:r>
        <w:rPr>
          <w:snapToGrid w:val="0"/>
          <w:kern w:val="0"/>
          <w:szCs w:val="32"/>
        </w:rPr>
        <w:t>100%</w:t>
      </w:r>
      <w:r>
        <w:rPr>
          <w:snapToGrid w:val="0"/>
          <w:kern w:val="0"/>
          <w:szCs w:val="32"/>
        </w:rPr>
        <w:t>。</w:t>
      </w:r>
    </w:p>
    <w:p w:rsidR="0029667E" w:rsidRDefault="005F36FF">
      <w:pPr>
        <w:ind w:firstLine="640"/>
        <w:rPr>
          <w:snapToGrid w:val="0"/>
          <w:kern w:val="0"/>
          <w:szCs w:val="32"/>
        </w:rPr>
      </w:pPr>
      <w:r>
        <w:rPr>
          <w:snapToGrid w:val="0"/>
        </w:rPr>
        <w:t>预期目标值为</w:t>
      </w:r>
      <w:r>
        <w:rPr>
          <w:rFonts w:ascii="仿宋_GB2312" w:hint="eastAsia"/>
          <w:snapToGrid w:val="0"/>
        </w:rPr>
        <w:t>“</w:t>
      </w:r>
      <w:r>
        <w:rPr>
          <w:snapToGrid w:val="0"/>
        </w:rPr>
        <w:t>提高区域交通路网密度，完善区域路网建设</w:t>
      </w:r>
      <w:r>
        <w:rPr>
          <w:rFonts w:ascii="仿宋_GB2312" w:hint="eastAsia"/>
          <w:snapToGrid w:val="0"/>
        </w:rPr>
        <w:t>”</w:t>
      </w:r>
      <w:r>
        <w:rPr>
          <w:snapToGrid w:val="0"/>
        </w:rPr>
        <w:t>，</w:t>
      </w:r>
      <w:r>
        <w:rPr>
          <w:snapToGrid w:val="0"/>
          <w:kern w:val="0"/>
          <w:szCs w:val="32"/>
        </w:rPr>
        <w:t>项目通过新建</w:t>
      </w:r>
      <w:proofErr w:type="gramStart"/>
      <w:r>
        <w:rPr>
          <w:snapToGrid w:val="0"/>
          <w:kern w:val="0"/>
          <w:szCs w:val="32"/>
        </w:rPr>
        <w:t>纵</w:t>
      </w:r>
      <w:proofErr w:type="gramEnd"/>
      <w:r>
        <w:rPr>
          <w:snapToGrid w:val="0"/>
          <w:kern w:val="0"/>
          <w:szCs w:val="32"/>
        </w:rPr>
        <w:t>一路、站前路隧道、汽车大道主线及其支线；改造新源路主线及其支线、环城路、新新公路等，完善了新塘站片区路网的建设，将新塘站与周围区域连接起来，实现了新塘镇乃至增城区交通内联外通的目标，对于提高区域交通路网密度，完善区域路网建设发挥了良好效果。</w:t>
      </w:r>
    </w:p>
    <w:p w:rsidR="0029667E" w:rsidRDefault="005F36FF">
      <w:pPr>
        <w:pStyle w:val="4"/>
        <w:ind w:firstLine="640"/>
        <w:rPr>
          <w:rFonts w:cs="Times New Roman"/>
          <w:snapToGrid w:val="0"/>
        </w:rPr>
      </w:pPr>
      <w:r>
        <w:rPr>
          <w:rFonts w:cs="Times New Roman"/>
          <w:snapToGrid w:val="0"/>
        </w:rPr>
        <w:t>（</w:t>
      </w:r>
      <w:r>
        <w:rPr>
          <w:rFonts w:cs="Times New Roman"/>
          <w:snapToGrid w:val="0"/>
        </w:rPr>
        <w:t>3</w:t>
      </w:r>
      <w:r>
        <w:rPr>
          <w:rFonts w:cs="Times New Roman"/>
          <w:snapToGrid w:val="0"/>
        </w:rPr>
        <w:t>）生态效益。</w:t>
      </w:r>
    </w:p>
    <w:p w:rsidR="0029667E" w:rsidRDefault="005F36FF">
      <w:pPr>
        <w:ind w:firstLine="640"/>
        <w:rPr>
          <w:snapToGrid w:val="0"/>
          <w:kern w:val="0"/>
          <w:szCs w:val="32"/>
        </w:rPr>
      </w:pPr>
      <w:r>
        <w:rPr>
          <w:snapToGrid w:val="0"/>
          <w:kern w:val="0"/>
          <w:szCs w:val="32"/>
        </w:rPr>
        <w:t>该指标包括提高区域绿化水平</w:t>
      </w:r>
      <w:r>
        <w:rPr>
          <w:snapToGrid w:val="0"/>
          <w:kern w:val="0"/>
          <w:szCs w:val="32"/>
        </w:rPr>
        <w:t>1</w:t>
      </w:r>
      <w:r>
        <w:rPr>
          <w:snapToGrid w:val="0"/>
          <w:kern w:val="0"/>
          <w:szCs w:val="32"/>
        </w:rPr>
        <w:t>个方面，指标分值</w:t>
      </w:r>
      <w:r>
        <w:rPr>
          <w:snapToGrid w:val="0"/>
          <w:kern w:val="0"/>
          <w:szCs w:val="32"/>
        </w:rPr>
        <w:t>6</w:t>
      </w:r>
      <w:r>
        <w:rPr>
          <w:snapToGrid w:val="0"/>
          <w:kern w:val="0"/>
          <w:szCs w:val="32"/>
        </w:rPr>
        <w:t>分</w:t>
      </w:r>
      <w:r>
        <w:t>，评价得</w:t>
      </w:r>
      <w:r>
        <w:t>分</w:t>
      </w:r>
      <w:r>
        <w:t>6</w:t>
      </w:r>
      <w:r>
        <w:t>分，评价得分率为</w:t>
      </w:r>
      <w:r>
        <w:t>100%</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提高区域绿化水平。</w:t>
      </w:r>
    </w:p>
    <w:p w:rsidR="0029667E" w:rsidRDefault="005F36FF">
      <w:pPr>
        <w:ind w:firstLine="640"/>
        <w:rPr>
          <w:snapToGrid w:val="0"/>
          <w:kern w:val="0"/>
          <w:szCs w:val="32"/>
        </w:rPr>
      </w:pPr>
      <w:r>
        <w:rPr>
          <w:snapToGrid w:val="0"/>
          <w:kern w:val="0"/>
          <w:szCs w:val="32"/>
        </w:rPr>
        <w:t>指标分值</w:t>
      </w:r>
      <w:r>
        <w:rPr>
          <w:snapToGrid w:val="0"/>
          <w:kern w:val="0"/>
          <w:szCs w:val="32"/>
        </w:rPr>
        <w:t>6</w:t>
      </w:r>
      <w:r>
        <w:rPr>
          <w:snapToGrid w:val="0"/>
          <w:kern w:val="0"/>
          <w:szCs w:val="32"/>
        </w:rPr>
        <w:t>分，评价得分</w:t>
      </w:r>
      <w:r>
        <w:rPr>
          <w:snapToGrid w:val="0"/>
          <w:kern w:val="0"/>
          <w:szCs w:val="32"/>
        </w:rPr>
        <w:t>6</w:t>
      </w:r>
      <w:r>
        <w:rPr>
          <w:snapToGrid w:val="0"/>
          <w:kern w:val="0"/>
          <w:szCs w:val="32"/>
        </w:rPr>
        <w:t>分，评价得分率为</w:t>
      </w:r>
      <w:r>
        <w:rPr>
          <w:snapToGrid w:val="0"/>
          <w:kern w:val="0"/>
          <w:szCs w:val="32"/>
        </w:rPr>
        <w:t>100%</w:t>
      </w:r>
      <w:r>
        <w:rPr>
          <w:snapToGrid w:val="0"/>
          <w:kern w:val="0"/>
          <w:szCs w:val="32"/>
        </w:rPr>
        <w:t>。</w:t>
      </w:r>
    </w:p>
    <w:p w:rsidR="0029667E" w:rsidRDefault="005F36FF">
      <w:pPr>
        <w:ind w:firstLine="640"/>
      </w:pPr>
      <w:r>
        <w:t>预期指标值</w:t>
      </w:r>
      <w:r>
        <w:rPr>
          <w:rFonts w:ascii="仿宋_GB2312" w:hint="eastAsia"/>
        </w:rPr>
        <w:t>“</w:t>
      </w:r>
      <w:r>
        <w:t>增加道路绿化面积，提高区域绿化水平</w:t>
      </w:r>
      <w:r>
        <w:rPr>
          <w:rFonts w:ascii="仿宋_GB2312" w:hint="eastAsia"/>
        </w:rPr>
        <w:t>”</w:t>
      </w:r>
      <w:r>
        <w:t>，根据项目一、二标段施工总结报告，一标段种植绿化面积</w:t>
      </w:r>
      <w:r>
        <w:t>14508</w:t>
      </w:r>
      <w:r>
        <w:t>平方米，二标段种植绿化面积</w:t>
      </w:r>
      <w:r>
        <w:t>14081</w:t>
      </w:r>
      <w:r>
        <w:t>平方米，结合现场核查情况，道路绿化覆盖情况良好，植物茂盛，景观环境优美，有效提高了区域绿化水平。道路绿化一方面有助于减少汽车尾气和灰尘、悬浮颗粒对空气的污染，改善空气质量；另一方面提升了城市景观，提高居民生活环境质量的同时也提高了城市整体形象。</w:t>
      </w:r>
    </w:p>
    <w:p w:rsidR="0029667E" w:rsidRDefault="005F36FF">
      <w:pPr>
        <w:pStyle w:val="4"/>
        <w:ind w:firstLine="640"/>
        <w:rPr>
          <w:rFonts w:cs="Times New Roman"/>
          <w:snapToGrid w:val="0"/>
        </w:rPr>
      </w:pPr>
      <w:r>
        <w:rPr>
          <w:rFonts w:cs="Times New Roman"/>
          <w:snapToGrid w:val="0"/>
        </w:rPr>
        <w:t>（</w:t>
      </w:r>
      <w:r>
        <w:rPr>
          <w:rFonts w:cs="Times New Roman"/>
          <w:snapToGrid w:val="0"/>
        </w:rPr>
        <w:t>4</w:t>
      </w:r>
      <w:r>
        <w:rPr>
          <w:rFonts w:cs="Times New Roman"/>
          <w:snapToGrid w:val="0"/>
        </w:rPr>
        <w:t>）满意度。</w:t>
      </w:r>
    </w:p>
    <w:p w:rsidR="0029667E" w:rsidRDefault="005F36FF">
      <w:pPr>
        <w:ind w:firstLine="640"/>
        <w:rPr>
          <w:snapToGrid w:val="0"/>
          <w:kern w:val="0"/>
          <w:szCs w:val="32"/>
        </w:rPr>
      </w:pPr>
      <w:r>
        <w:rPr>
          <w:snapToGrid w:val="0"/>
          <w:kern w:val="0"/>
          <w:szCs w:val="32"/>
        </w:rPr>
        <w:t>该指标包括服务对象满意度</w:t>
      </w:r>
      <w:r>
        <w:rPr>
          <w:snapToGrid w:val="0"/>
          <w:kern w:val="0"/>
          <w:szCs w:val="32"/>
        </w:rPr>
        <w:t>1</w:t>
      </w:r>
      <w:r>
        <w:rPr>
          <w:snapToGrid w:val="0"/>
          <w:kern w:val="0"/>
          <w:szCs w:val="32"/>
        </w:rPr>
        <w:t>方面。指标分值</w:t>
      </w:r>
      <w:r>
        <w:rPr>
          <w:snapToGrid w:val="0"/>
          <w:kern w:val="0"/>
          <w:szCs w:val="32"/>
        </w:rPr>
        <w:t>5</w:t>
      </w:r>
      <w:r>
        <w:rPr>
          <w:snapToGrid w:val="0"/>
          <w:kern w:val="0"/>
          <w:szCs w:val="32"/>
        </w:rPr>
        <w:t>分</w:t>
      </w:r>
      <w:r>
        <w:t>，评价得分</w:t>
      </w:r>
      <w:r>
        <w:t>5</w:t>
      </w:r>
      <w:r>
        <w:t>分，评价得分率为</w:t>
      </w:r>
      <w:r>
        <w:t>100%</w:t>
      </w:r>
      <w:r>
        <w:t>。</w:t>
      </w:r>
    </w:p>
    <w:p w:rsidR="0029667E" w:rsidRDefault="005F36FF">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服务对象满意度。</w:t>
      </w:r>
    </w:p>
    <w:p w:rsidR="0029667E" w:rsidRDefault="005F36FF">
      <w:pPr>
        <w:ind w:firstLine="640"/>
        <w:rPr>
          <w:snapToGrid w:val="0"/>
          <w:kern w:val="0"/>
          <w:szCs w:val="32"/>
        </w:rPr>
      </w:pPr>
      <w:r>
        <w:rPr>
          <w:snapToGrid w:val="0"/>
          <w:kern w:val="0"/>
          <w:szCs w:val="32"/>
        </w:rPr>
        <w:t>指标分值</w:t>
      </w:r>
      <w:r>
        <w:rPr>
          <w:snapToGrid w:val="0"/>
          <w:kern w:val="0"/>
          <w:szCs w:val="32"/>
        </w:rPr>
        <w:t>5</w:t>
      </w:r>
      <w:r>
        <w:rPr>
          <w:snapToGrid w:val="0"/>
          <w:kern w:val="0"/>
          <w:szCs w:val="32"/>
        </w:rPr>
        <w:t>分，评价得分</w:t>
      </w:r>
      <w:r>
        <w:rPr>
          <w:snapToGrid w:val="0"/>
          <w:kern w:val="0"/>
          <w:szCs w:val="32"/>
        </w:rPr>
        <w:t>5</w:t>
      </w:r>
      <w:r>
        <w:rPr>
          <w:snapToGrid w:val="0"/>
          <w:kern w:val="0"/>
          <w:szCs w:val="32"/>
        </w:rPr>
        <w:t>分，评价得分率</w:t>
      </w:r>
      <w:r>
        <w:rPr>
          <w:snapToGrid w:val="0"/>
          <w:kern w:val="0"/>
          <w:szCs w:val="32"/>
        </w:rPr>
        <w:t>100%</w:t>
      </w:r>
      <w:r>
        <w:rPr>
          <w:snapToGrid w:val="0"/>
          <w:kern w:val="0"/>
          <w:szCs w:val="32"/>
        </w:rPr>
        <w:t>。</w:t>
      </w:r>
    </w:p>
    <w:p w:rsidR="0029667E" w:rsidRDefault="005F36FF">
      <w:pPr>
        <w:pStyle w:val="20"/>
        <w:ind w:firstLine="640"/>
        <w:rPr>
          <w:rFonts w:eastAsia="仿宋_GB2312"/>
        </w:rPr>
      </w:pPr>
      <w:r>
        <w:rPr>
          <w:rFonts w:eastAsia="仿宋_GB2312"/>
          <w:snapToGrid w:val="0"/>
          <w:kern w:val="0"/>
          <w:szCs w:val="32"/>
        </w:rPr>
        <w:t>项目满意</w:t>
      </w:r>
      <w:proofErr w:type="gramStart"/>
      <w:r>
        <w:rPr>
          <w:rFonts w:eastAsia="仿宋_GB2312"/>
          <w:snapToGrid w:val="0"/>
          <w:kern w:val="0"/>
          <w:szCs w:val="32"/>
        </w:rPr>
        <w:t>度针对</w:t>
      </w:r>
      <w:proofErr w:type="gramEnd"/>
      <w:r>
        <w:rPr>
          <w:rFonts w:eastAsia="仿宋_GB2312"/>
          <w:snapToGrid w:val="0"/>
          <w:kern w:val="0"/>
          <w:szCs w:val="32"/>
        </w:rPr>
        <w:t>工程质量、工程进度、施工安全、文明施工、整治道路周边环境和提高道路安全服务水平等方面开展调查，最终回收问卷</w:t>
      </w:r>
      <w:r>
        <w:rPr>
          <w:rFonts w:eastAsia="仿宋_GB2312"/>
          <w:snapToGrid w:val="0"/>
          <w:kern w:val="0"/>
          <w:szCs w:val="32"/>
        </w:rPr>
        <w:t>215</w:t>
      </w:r>
      <w:r>
        <w:rPr>
          <w:rFonts w:eastAsia="仿宋_GB2312"/>
          <w:snapToGrid w:val="0"/>
          <w:kern w:val="0"/>
          <w:szCs w:val="32"/>
        </w:rPr>
        <w:t>份，有效问卷</w:t>
      </w:r>
      <w:r>
        <w:rPr>
          <w:rFonts w:eastAsia="仿宋_GB2312"/>
          <w:snapToGrid w:val="0"/>
          <w:kern w:val="0"/>
          <w:szCs w:val="32"/>
        </w:rPr>
        <w:t>211</w:t>
      </w:r>
      <w:r>
        <w:rPr>
          <w:rFonts w:eastAsia="仿宋_GB2312"/>
          <w:snapToGrid w:val="0"/>
          <w:kern w:val="0"/>
          <w:szCs w:val="32"/>
        </w:rPr>
        <w:t>份，综合满意度</w:t>
      </w:r>
      <w:r>
        <w:rPr>
          <w:rFonts w:eastAsia="仿宋_GB2312"/>
          <w:snapToGrid w:val="0"/>
          <w:kern w:val="0"/>
          <w:szCs w:val="32"/>
        </w:rPr>
        <w:t>90.17%</w:t>
      </w:r>
      <w:r>
        <w:rPr>
          <w:rFonts w:eastAsia="仿宋_GB2312"/>
          <w:snapToGrid w:val="0"/>
          <w:kern w:val="0"/>
          <w:szCs w:val="32"/>
        </w:rPr>
        <w:t>。</w:t>
      </w:r>
    </w:p>
    <w:p w:rsidR="0029667E" w:rsidRDefault="005F36FF">
      <w:pPr>
        <w:pStyle w:val="1"/>
        <w:ind w:firstLine="640"/>
        <w:rPr>
          <w:snapToGrid w:val="0"/>
        </w:rPr>
      </w:pPr>
      <w:bookmarkStart w:id="57" w:name="_Toc8584"/>
      <w:bookmarkStart w:id="58" w:name="_Toc20938"/>
      <w:bookmarkStart w:id="59" w:name="_Toc28179"/>
      <w:bookmarkStart w:id="60" w:name="_Toc24432"/>
      <w:r>
        <w:rPr>
          <w:snapToGrid w:val="0"/>
        </w:rPr>
        <w:t>四、项目主要绩效或成功经验</w:t>
      </w:r>
      <w:bookmarkEnd w:id="57"/>
      <w:bookmarkEnd w:id="58"/>
      <w:bookmarkEnd w:id="59"/>
      <w:bookmarkEnd w:id="60"/>
    </w:p>
    <w:p w:rsidR="0029667E" w:rsidRDefault="005F36FF">
      <w:pPr>
        <w:pStyle w:val="2"/>
        <w:ind w:firstLine="640"/>
        <w:rPr>
          <w:rFonts w:cs="Times New Roman"/>
          <w:snapToGrid w:val="0"/>
        </w:rPr>
      </w:pPr>
      <w:bookmarkStart w:id="61" w:name="_Toc12919"/>
      <w:bookmarkStart w:id="62" w:name="_Toc30514"/>
      <w:bookmarkStart w:id="63" w:name="_Toc17800"/>
      <w:bookmarkStart w:id="64" w:name="_Toc25439"/>
      <w:r>
        <w:rPr>
          <w:rFonts w:cs="Times New Roman"/>
          <w:snapToGrid w:val="0"/>
        </w:rPr>
        <w:t>（一）提高交通运行效率，促进区域经济发展。</w:t>
      </w:r>
      <w:bookmarkEnd w:id="61"/>
      <w:bookmarkEnd w:id="62"/>
      <w:bookmarkEnd w:id="63"/>
      <w:bookmarkEnd w:id="64"/>
    </w:p>
    <w:p w:rsidR="0029667E" w:rsidRDefault="005F36FF">
      <w:pPr>
        <w:ind w:firstLine="640"/>
      </w:pPr>
      <w:r>
        <w:t>项目通过在新塘站片区建设</w:t>
      </w:r>
      <w:r>
        <w:t>6</w:t>
      </w:r>
      <w:r>
        <w:t>条城市主干道和</w:t>
      </w:r>
      <w:r>
        <w:t>3</w:t>
      </w:r>
      <w:r>
        <w:t>条城市支路，提升了增城区内部以及与外部区域的交通连接性，改善了交通流动性；同时缓解了新塘站落成运营后对周边区域主要道路的交通压力和城市交通拥堵问题，提高了道路运输效率。通过完善区域交通路网，促进货物和人员的高效流动，改善区域投资环境，以更便捷的交通网络吸引更多企业投资和商业活动，提升区域内外的经济交流与合作水平，提高增城区经济社会竞争力，带动区域经济增长，促进区域可持续发展。</w:t>
      </w:r>
    </w:p>
    <w:p w:rsidR="0029667E" w:rsidRDefault="005F36FF">
      <w:pPr>
        <w:pStyle w:val="2"/>
        <w:ind w:firstLine="640"/>
        <w:rPr>
          <w:rFonts w:cs="Times New Roman"/>
          <w:snapToGrid w:val="0"/>
        </w:rPr>
      </w:pPr>
      <w:bookmarkStart w:id="65" w:name="_Toc27746"/>
      <w:bookmarkStart w:id="66" w:name="_Toc27875"/>
      <w:bookmarkStart w:id="67" w:name="_Toc14753"/>
      <w:bookmarkStart w:id="68" w:name="_Toc27530"/>
      <w:r>
        <w:rPr>
          <w:rFonts w:cs="Times New Roman"/>
          <w:snapToGrid w:val="0"/>
        </w:rPr>
        <w:t>（二）完善城市空间规划，</w:t>
      </w:r>
      <w:bookmarkEnd w:id="65"/>
      <w:r>
        <w:rPr>
          <w:rFonts w:cs="Times New Roman"/>
          <w:snapToGrid w:val="0"/>
        </w:rPr>
        <w:t>推动城市化发展进程。</w:t>
      </w:r>
      <w:bookmarkEnd w:id="66"/>
      <w:bookmarkEnd w:id="67"/>
      <w:bookmarkEnd w:id="68"/>
    </w:p>
    <w:p w:rsidR="0029667E" w:rsidRDefault="005F36FF">
      <w:pPr>
        <w:ind w:firstLine="640"/>
      </w:pPr>
      <w:r>
        <w:t>项目通过建设路网相应配套设施与绿化景观，一方</w:t>
      </w:r>
      <w:r>
        <w:t>面完善城市规划，提高了新塘镇的城市化水平，另一方面美化了空间环境，提高了周边绿化率与城市整体美感。完善的交通路网促进交通便利的同时也支持了城市发展，能够促进新城区的开发和旧城区的改造，以优质的空间景观和生活环境吸引更多人口集聚，加快推进城市化进程。</w:t>
      </w:r>
    </w:p>
    <w:p w:rsidR="0029667E" w:rsidRDefault="005F36FF">
      <w:pPr>
        <w:pStyle w:val="1"/>
        <w:ind w:firstLine="640"/>
        <w:rPr>
          <w:snapToGrid w:val="0"/>
        </w:rPr>
      </w:pPr>
      <w:bookmarkStart w:id="69" w:name="_Toc30773"/>
      <w:bookmarkStart w:id="70" w:name="_Toc29026"/>
      <w:bookmarkStart w:id="71" w:name="_Toc8053"/>
      <w:bookmarkStart w:id="72" w:name="_Toc21137"/>
      <w:r>
        <w:rPr>
          <w:snapToGrid w:val="0"/>
        </w:rPr>
        <w:t>五、存在问题或不足</w:t>
      </w:r>
      <w:bookmarkEnd w:id="69"/>
      <w:bookmarkEnd w:id="70"/>
      <w:bookmarkEnd w:id="71"/>
      <w:bookmarkEnd w:id="72"/>
    </w:p>
    <w:p w:rsidR="0029667E" w:rsidRDefault="005F36FF">
      <w:pPr>
        <w:pStyle w:val="2"/>
        <w:ind w:firstLine="640"/>
        <w:rPr>
          <w:rFonts w:cs="Times New Roman"/>
        </w:rPr>
      </w:pPr>
      <w:bookmarkStart w:id="73" w:name="_Toc17315"/>
      <w:bookmarkStart w:id="74" w:name="_Toc26817"/>
      <w:bookmarkStart w:id="75" w:name="_Toc15539"/>
      <w:bookmarkStart w:id="76" w:name="_Toc11414"/>
      <w:r>
        <w:rPr>
          <w:rFonts w:cs="Times New Roman"/>
          <w:snapToGrid w:val="0"/>
        </w:rPr>
        <w:t>（一）</w:t>
      </w:r>
      <w:bookmarkStart w:id="77" w:name="_Toc30410"/>
      <w:bookmarkStart w:id="78" w:name="_Toc15422"/>
      <w:bookmarkStart w:id="79" w:name="_Toc23422"/>
      <w:bookmarkEnd w:id="73"/>
      <w:bookmarkEnd w:id="74"/>
      <w:bookmarkEnd w:id="75"/>
      <w:r>
        <w:rPr>
          <w:rFonts w:cs="Times New Roman"/>
        </w:rPr>
        <w:t>实施程序规范性不足，监管工作力度有待提高。</w:t>
      </w:r>
      <w:bookmarkEnd w:id="76"/>
      <w:bookmarkEnd w:id="77"/>
      <w:bookmarkEnd w:id="78"/>
      <w:bookmarkEnd w:id="79"/>
    </w:p>
    <w:p w:rsidR="0029667E" w:rsidRDefault="005F36FF">
      <w:pPr>
        <w:ind w:firstLine="640"/>
        <w:rPr>
          <w:snapToGrid w:val="0"/>
        </w:rPr>
      </w:pPr>
      <w:r>
        <w:rPr>
          <w:rFonts w:hint="eastAsia"/>
          <w:snapToGrid w:val="0"/>
        </w:rPr>
        <w:t>一是</w:t>
      </w:r>
      <w:r>
        <w:rPr>
          <w:snapToGrid w:val="0"/>
        </w:rPr>
        <w:t>项目实施进度对比施工合同工期目标有偏离延误情况。其一，项目一标段施工图预算审核工作于</w:t>
      </w:r>
      <w:r>
        <w:rPr>
          <w:snapToGrid w:val="0"/>
        </w:rPr>
        <w:t>2024</w:t>
      </w:r>
      <w:r>
        <w:rPr>
          <w:snapToGrid w:val="0"/>
        </w:rPr>
        <w:t>年</w:t>
      </w:r>
      <w:r>
        <w:rPr>
          <w:snapToGrid w:val="0"/>
        </w:rPr>
        <w:t>6</w:t>
      </w:r>
      <w:r>
        <w:rPr>
          <w:snapToGrid w:val="0"/>
        </w:rPr>
        <w:t>月完成，二标段仍未完成施工图预算审核工作，施工图预算编制一般于施工图设计阶段完成，但本项目施</w:t>
      </w:r>
      <w:r>
        <w:rPr>
          <w:snapToGrid w:val="0"/>
        </w:rPr>
        <w:t>工图预算审核与确认工作在工程完工后进行，反映审核周期过长。其二，项目一、二标段</w:t>
      </w:r>
      <w:r>
        <w:rPr>
          <w:snapToGrid w:val="0"/>
        </w:rPr>
        <w:t>2020</w:t>
      </w:r>
      <w:r>
        <w:rPr>
          <w:snapToGrid w:val="0"/>
        </w:rPr>
        <w:t>年</w:t>
      </w:r>
      <w:r>
        <w:rPr>
          <w:snapToGrid w:val="0"/>
        </w:rPr>
        <w:t>9</w:t>
      </w:r>
      <w:r>
        <w:rPr>
          <w:snapToGrid w:val="0"/>
        </w:rPr>
        <w:t>月</w:t>
      </w:r>
      <w:r>
        <w:rPr>
          <w:snapToGrid w:val="0"/>
        </w:rPr>
        <w:t>11</w:t>
      </w:r>
      <w:r>
        <w:rPr>
          <w:snapToGrid w:val="0"/>
        </w:rPr>
        <w:t>日开始施工，总工期</w:t>
      </w:r>
      <w:r>
        <w:rPr>
          <w:snapToGrid w:val="0"/>
        </w:rPr>
        <w:t>22</w:t>
      </w:r>
      <w:r>
        <w:rPr>
          <w:snapToGrid w:val="0"/>
        </w:rPr>
        <w:t>个月，按合同约定应于</w:t>
      </w:r>
      <w:r>
        <w:rPr>
          <w:snapToGrid w:val="0"/>
        </w:rPr>
        <w:t>2022</w:t>
      </w:r>
      <w:r>
        <w:rPr>
          <w:snapToGrid w:val="0"/>
        </w:rPr>
        <w:t>年</w:t>
      </w:r>
      <w:r>
        <w:rPr>
          <w:snapToGrid w:val="0"/>
        </w:rPr>
        <w:t>7</w:t>
      </w:r>
      <w:r>
        <w:rPr>
          <w:snapToGrid w:val="0"/>
        </w:rPr>
        <w:t>月</w:t>
      </w:r>
      <w:r>
        <w:rPr>
          <w:snapToGrid w:val="0"/>
        </w:rPr>
        <w:t>11</w:t>
      </w:r>
      <w:r>
        <w:rPr>
          <w:snapToGrid w:val="0"/>
        </w:rPr>
        <w:t>日前完工，实际一标段工期滞后约</w:t>
      </w:r>
      <w:r>
        <w:rPr>
          <w:snapToGrid w:val="0"/>
        </w:rPr>
        <w:t>17</w:t>
      </w:r>
      <w:r>
        <w:rPr>
          <w:snapToGrid w:val="0"/>
        </w:rPr>
        <w:t>个月，二标段工期滞后约</w:t>
      </w:r>
      <w:r>
        <w:rPr>
          <w:snapToGrid w:val="0"/>
        </w:rPr>
        <w:t>14</w:t>
      </w:r>
      <w:r>
        <w:rPr>
          <w:snapToGrid w:val="0"/>
        </w:rPr>
        <w:t>个月。根据现场核查沟通情况，主要原因是涉及专业管线迁移及用地问题</w:t>
      </w:r>
      <w:proofErr w:type="gramStart"/>
      <w:r>
        <w:rPr>
          <w:snapToGrid w:val="0"/>
        </w:rPr>
        <w:t>征拆工作</w:t>
      </w:r>
      <w:proofErr w:type="gramEnd"/>
      <w:r>
        <w:rPr>
          <w:snapToGrid w:val="0"/>
        </w:rPr>
        <w:t>涉及群众赔偿与搬迁问题，难以按原定计划时间完成，施工方暂缓施工，但未见工程延期手续，实施程序规范性不足。</w:t>
      </w:r>
      <w:bookmarkStart w:id="80" w:name="_Toc12421"/>
      <w:bookmarkStart w:id="81" w:name="_Toc16636"/>
      <w:bookmarkStart w:id="82" w:name="_Toc29913"/>
    </w:p>
    <w:p w:rsidR="0029667E" w:rsidRDefault="005F36FF">
      <w:pPr>
        <w:widowControl/>
        <w:tabs>
          <w:tab w:val="left" w:pos="5120"/>
        </w:tabs>
        <w:ind w:firstLine="640"/>
        <w:jc w:val="left"/>
      </w:pPr>
      <w:r>
        <w:rPr>
          <w:rFonts w:hint="eastAsia"/>
          <w:snapToGrid w:val="0"/>
        </w:rPr>
        <w:t>二是根据</w:t>
      </w:r>
      <w:r>
        <w:t>《广州市增城区发展和改革局关于调整新塘站片区路网一纵一路、新源路及汽车城大道建设工程项目建设规模和建设内容的复</w:t>
      </w:r>
      <w:r>
        <w:t>函》（穗</w:t>
      </w:r>
      <w:proofErr w:type="gramStart"/>
      <w:r>
        <w:t>增发改函〔</w:t>
      </w:r>
      <w:r>
        <w:t>2021</w:t>
      </w:r>
      <w:r>
        <w:t>〕</w:t>
      </w:r>
      <w:proofErr w:type="gramEnd"/>
      <w:r>
        <w:t>412</w:t>
      </w:r>
      <w:r>
        <w:t>号）</w:t>
      </w:r>
      <w:r>
        <w:rPr>
          <w:rFonts w:hint="eastAsia"/>
        </w:rPr>
        <w:t>以及项目一、二标段施工图，除新新公路与新源路外，项目内其他路段的建设长度在可行性研究报告和施工图中均存在不同程度的差异，如</w:t>
      </w:r>
      <w:r>
        <w:rPr>
          <w:snapToGrid w:val="0"/>
        </w:rPr>
        <w:t>汽车城大道支线</w:t>
      </w:r>
      <w:r>
        <w:rPr>
          <w:snapToGrid w:val="0"/>
        </w:rPr>
        <w:t>1</w:t>
      </w:r>
      <w:r>
        <w:rPr>
          <w:snapToGrid w:val="0"/>
        </w:rPr>
        <w:t>施工图规划长度</w:t>
      </w:r>
      <w:r>
        <w:rPr>
          <w:snapToGrid w:val="0"/>
        </w:rPr>
        <w:t>0.212</w:t>
      </w:r>
      <w:r>
        <w:rPr>
          <w:snapToGrid w:val="0"/>
        </w:rPr>
        <w:t>公里与可行性研究报告规划长度</w:t>
      </w:r>
      <w:r>
        <w:rPr>
          <w:snapToGrid w:val="0"/>
        </w:rPr>
        <w:t>0.437</w:t>
      </w:r>
      <w:r>
        <w:rPr>
          <w:snapToGrid w:val="0"/>
        </w:rPr>
        <w:t>公里之间存在</w:t>
      </w:r>
      <w:r>
        <w:rPr>
          <w:snapToGrid w:val="0"/>
        </w:rPr>
        <w:t>0.225</w:t>
      </w:r>
      <w:r>
        <w:rPr>
          <w:snapToGrid w:val="0"/>
        </w:rPr>
        <w:t>公里的差距；环城路施工图规划</w:t>
      </w:r>
      <w:r>
        <w:t>长度</w:t>
      </w:r>
      <w:r>
        <w:t>1.7</w:t>
      </w:r>
      <w:r>
        <w:t>公里与</w:t>
      </w:r>
      <w:r>
        <w:rPr>
          <w:snapToGrid w:val="0"/>
        </w:rPr>
        <w:t>可行性研究报告</w:t>
      </w:r>
      <w:r>
        <w:t>规划长度</w:t>
      </w:r>
      <w:r>
        <w:t>2.3</w:t>
      </w:r>
      <w:r>
        <w:t>公里之间存在</w:t>
      </w:r>
      <w:r>
        <w:t>0.6</w:t>
      </w:r>
      <w:r>
        <w:t>公里的差距</w:t>
      </w:r>
      <w:r>
        <w:rPr>
          <w:rFonts w:hint="eastAsia"/>
        </w:rPr>
        <w:t>。</w:t>
      </w:r>
      <w:r>
        <w:t>而施工图设计编制时间为</w:t>
      </w:r>
      <w:r>
        <w:t>2020</w:t>
      </w:r>
      <w:r>
        <w:t>年</w:t>
      </w:r>
      <w:r>
        <w:t>7</w:t>
      </w:r>
      <w:r>
        <w:t>月，区道路养护中心申请调整可行性研究报告时间为</w:t>
      </w:r>
      <w:r>
        <w:t>2021</w:t>
      </w:r>
      <w:r>
        <w:t>年</w:t>
      </w:r>
      <w:r>
        <w:t>3</w:t>
      </w:r>
      <w:r>
        <w:t>月，反映单位调整可行性研究报告时未将施工图设计</w:t>
      </w:r>
      <w:r>
        <w:rPr>
          <w:rFonts w:hint="eastAsia"/>
        </w:rPr>
        <w:t>规划</w:t>
      </w:r>
      <w:r>
        <w:t>数据及时</w:t>
      </w:r>
      <w:r>
        <w:t>同步，综上，程序管理严谨性和</w:t>
      </w:r>
      <w:r>
        <w:rPr>
          <w:rFonts w:hint="eastAsia"/>
        </w:rPr>
        <w:t>监管力度</w:t>
      </w:r>
      <w:r>
        <w:t>有待加强。</w:t>
      </w:r>
    </w:p>
    <w:p w:rsidR="0029667E" w:rsidRDefault="005F36FF">
      <w:pPr>
        <w:pStyle w:val="2"/>
        <w:ind w:firstLine="640"/>
        <w:rPr>
          <w:rFonts w:cs="Times New Roman"/>
          <w:snapToGrid w:val="0"/>
        </w:rPr>
      </w:pPr>
      <w:bookmarkStart w:id="83" w:name="_Toc2092"/>
      <w:r>
        <w:rPr>
          <w:rFonts w:cs="Times New Roman"/>
          <w:snapToGrid w:val="0"/>
        </w:rPr>
        <w:t>（二）</w:t>
      </w:r>
      <w:r>
        <w:rPr>
          <w:rFonts w:cs="Times New Roman"/>
        </w:rPr>
        <w:t>绩效指标设置不够合理，指标体系有待完善。</w:t>
      </w:r>
      <w:bookmarkEnd w:id="80"/>
      <w:bookmarkEnd w:id="81"/>
      <w:bookmarkEnd w:id="82"/>
      <w:bookmarkEnd w:id="83"/>
    </w:p>
    <w:p w:rsidR="0029667E" w:rsidRDefault="005F36FF">
      <w:pPr>
        <w:ind w:firstLine="640"/>
        <w:rPr>
          <w:snapToGrid w:val="0"/>
          <w:kern w:val="0"/>
          <w:szCs w:val="32"/>
        </w:rPr>
      </w:pPr>
      <w:r>
        <w:rPr>
          <w:snapToGrid w:val="0"/>
          <w:kern w:val="0"/>
          <w:szCs w:val="32"/>
        </w:rPr>
        <w:t>根据《项目申报表》、绩效自评报告、绩效自评表等有关材料，区道路养护中心针对项目设置绩效指标完整性与合理性有待提升，具体表现为：</w:t>
      </w:r>
    </w:p>
    <w:p w:rsidR="0029667E" w:rsidRDefault="005F36FF">
      <w:pPr>
        <w:ind w:firstLine="643"/>
        <w:rPr>
          <w:bCs/>
          <w:snapToGrid w:val="0"/>
          <w:kern w:val="0"/>
          <w:szCs w:val="32"/>
        </w:rPr>
      </w:pPr>
      <w:r>
        <w:rPr>
          <w:b/>
          <w:bCs/>
          <w:snapToGrid w:val="0"/>
          <w:kern w:val="0"/>
          <w:szCs w:val="32"/>
        </w:rPr>
        <w:t>一是</w:t>
      </w:r>
      <w:r>
        <w:rPr>
          <w:snapToGrid w:val="0"/>
          <w:kern w:val="0"/>
          <w:szCs w:val="32"/>
        </w:rPr>
        <w:t>目标的完整性不足，项目</w:t>
      </w:r>
      <w:r>
        <w:rPr>
          <w:snapToGrid w:val="0"/>
          <w:kern w:val="0"/>
          <w:szCs w:val="32"/>
        </w:rPr>
        <w:t>2023</w:t>
      </w:r>
      <w:r>
        <w:rPr>
          <w:snapToGrid w:val="0"/>
          <w:kern w:val="0"/>
          <w:szCs w:val="32"/>
        </w:rPr>
        <w:t>年年初申报阶段与绩效自评阶段设置的绩效目标，主要针对项目产出设置，</w:t>
      </w:r>
      <w:r>
        <w:rPr>
          <w:bCs/>
          <w:snapToGrid w:val="0"/>
          <w:kern w:val="0"/>
          <w:szCs w:val="32"/>
        </w:rPr>
        <w:t>对于预期实现的效益如对区域交通的改善情况和对区域经济的促进作用均未能有效体现。项目年初申报阶段设置</w:t>
      </w:r>
      <w:r>
        <w:rPr>
          <w:bCs/>
          <w:snapToGrid w:val="0"/>
          <w:kern w:val="0"/>
          <w:szCs w:val="32"/>
        </w:rPr>
        <w:t>5</w:t>
      </w:r>
      <w:r>
        <w:rPr>
          <w:bCs/>
          <w:snapToGrid w:val="0"/>
          <w:kern w:val="0"/>
          <w:szCs w:val="32"/>
        </w:rPr>
        <w:t>个绩效指标，针对项目推进具体工程</w:t>
      </w:r>
      <w:proofErr w:type="gramStart"/>
      <w:r>
        <w:rPr>
          <w:bCs/>
          <w:snapToGrid w:val="0"/>
          <w:kern w:val="0"/>
          <w:szCs w:val="32"/>
        </w:rPr>
        <w:t>量设置</w:t>
      </w:r>
      <w:proofErr w:type="gramEnd"/>
      <w:r>
        <w:rPr>
          <w:bCs/>
          <w:snapToGrid w:val="0"/>
          <w:kern w:val="0"/>
          <w:szCs w:val="32"/>
        </w:rPr>
        <w:t>了数量、时效、经济效益等指标，但产出方面缺少质量指</w:t>
      </w:r>
      <w:r>
        <w:rPr>
          <w:bCs/>
          <w:snapToGrid w:val="0"/>
          <w:kern w:val="0"/>
          <w:szCs w:val="32"/>
        </w:rPr>
        <w:t>标，效益方面缺少满意度指标。绩效自评阶段按照规定设置了</w:t>
      </w:r>
      <w:r>
        <w:rPr>
          <w:bCs/>
          <w:snapToGrid w:val="0"/>
          <w:kern w:val="0"/>
          <w:szCs w:val="32"/>
        </w:rPr>
        <w:t>7</w:t>
      </w:r>
      <w:r>
        <w:rPr>
          <w:bCs/>
          <w:snapToGrid w:val="0"/>
          <w:kern w:val="0"/>
          <w:szCs w:val="32"/>
        </w:rPr>
        <w:t>个绩效指标，包括数量、时效、经济效益、社会效益和服务对象满意度指标，同样未针对工程质量设置质量指标，总目标与阶段性目标的完整性均有待提高。</w:t>
      </w:r>
    </w:p>
    <w:p w:rsidR="0029667E" w:rsidRDefault="005F36FF">
      <w:pPr>
        <w:ind w:firstLine="643"/>
        <w:rPr>
          <w:bCs/>
          <w:snapToGrid w:val="0"/>
          <w:kern w:val="0"/>
          <w:szCs w:val="32"/>
        </w:rPr>
      </w:pPr>
      <w:r>
        <w:rPr>
          <w:b/>
          <w:snapToGrid w:val="0"/>
          <w:kern w:val="0"/>
          <w:szCs w:val="32"/>
        </w:rPr>
        <w:t>二是</w:t>
      </w:r>
      <w:r>
        <w:rPr>
          <w:bCs/>
          <w:snapToGrid w:val="0"/>
          <w:kern w:val="0"/>
          <w:szCs w:val="32"/>
        </w:rPr>
        <w:t>指标合理性不足，根据《项目申报表》、绩效自评报告、绩效自评表等有关材料，项目绩效目标以完工验收通过率作为社会效益目标，完工验收通过率意义在于工程质量验收情况，作为效益目标无法体现项目实际产生的社会效益；履行国家劳保制度、不拖欠克扣农民工工资属于实施单位应履行的义务与职责，设置为社会效益的合理性不足。</w:t>
      </w:r>
    </w:p>
    <w:p w:rsidR="0029667E" w:rsidRDefault="005F36FF">
      <w:pPr>
        <w:ind w:firstLine="640"/>
        <w:rPr>
          <w:snapToGrid w:val="0"/>
          <w:kern w:val="0"/>
          <w:szCs w:val="32"/>
        </w:rPr>
      </w:pPr>
      <w:bookmarkStart w:id="84" w:name="_Toc12079"/>
      <w:r>
        <w:rPr>
          <w:bCs/>
          <w:snapToGrid w:val="0"/>
          <w:kern w:val="0"/>
          <w:szCs w:val="32"/>
        </w:rPr>
        <w:t>项目申报阶</w:t>
      </w:r>
      <w:r>
        <w:rPr>
          <w:bCs/>
          <w:snapToGrid w:val="0"/>
          <w:kern w:val="0"/>
          <w:szCs w:val="32"/>
        </w:rPr>
        <w:t>段与自评阶段的经济效益指标设置为</w:t>
      </w:r>
      <w:r>
        <w:rPr>
          <w:rFonts w:ascii="仿宋_GB2312" w:hint="eastAsia"/>
          <w:bCs/>
          <w:snapToGrid w:val="0"/>
          <w:kern w:val="0"/>
          <w:szCs w:val="32"/>
        </w:rPr>
        <w:t>“</w:t>
      </w:r>
      <w:r>
        <w:rPr>
          <w:bCs/>
          <w:snapToGrid w:val="0"/>
          <w:kern w:val="0"/>
          <w:szCs w:val="32"/>
        </w:rPr>
        <w:t>保障农民工工资足额及时支付率</w:t>
      </w:r>
      <w:r>
        <w:rPr>
          <w:rFonts w:ascii="仿宋_GB2312" w:hint="eastAsia"/>
          <w:bCs/>
          <w:snapToGrid w:val="0"/>
          <w:kern w:val="0"/>
          <w:szCs w:val="32"/>
        </w:rPr>
        <w:t>”</w:t>
      </w:r>
      <w:r>
        <w:rPr>
          <w:bCs/>
          <w:snapToGrid w:val="0"/>
          <w:kern w:val="0"/>
          <w:szCs w:val="32"/>
        </w:rPr>
        <w:t>，保障农民工工资足额及时</w:t>
      </w:r>
      <w:proofErr w:type="gramStart"/>
      <w:r>
        <w:rPr>
          <w:bCs/>
          <w:snapToGrid w:val="0"/>
          <w:kern w:val="0"/>
          <w:szCs w:val="32"/>
        </w:rPr>
        <w:t>支付率非经济效益</w:t>
      </w:r>
      <w:proofErr w:type="gramEnd"/>
      <w:r>
        <w:rPr>
          <w:bCs/>
          <w:snapToGrid w:val="0"/>
          <w:kern w:val="0"/>
          <w:szCs w:val="32"/>
        </w:rPr>
        <w:t>指标，更偏向于社会效益；申报阶段与自评阶段的社会效益设置为</w:t>
      </w:r>
      <w:r>
        <w:rPr>
          <w:rFonts w:ascii="仿宋_GB2312" w:hint="eastAsia"/>
          <w:bCs/>
          <w:snapToGrid w:val="0"/>
          <w:kern w:val="0"/>
          <w:szCs w:val="32"/>
        </w:rPr>
        <w:t>“</w:t>
      </w:r>
      <w:r>
        <w:rPr>
          <w:bCs/>
          <w:snapToGrid w:val="0"/>
          <w:kern w:val="0"/>
          <w:szCs w:val="32"/>
        </w:rPr>
        <w:t>设计功能实现率（</w:t>
      </w:r>
      <w:r>
        <w:rPr>
          <w:bCs/>
          <w:snapToGrid w:val="0"/>
          <w:kern w:val="0"/>
          <w:szCs w:val="32"/>
        </w:rPr>
        <w:t>%</w:t>
      </w:r>
      <w:r>
        <w:rPr>
          <w:bCs/>
          <w:snapToGrid w:val="0"/>
          <w:kern w:val="0"/>
          <w:szCs w:val="32"/>
        </w:rPr>
        <w:t>）</w:t>
      </w:r>
      <w:r>
        <w:rPr>
          <w:rFonts w:ascii="仿宋_GB2312" w:hint="eastAsia"/>
          <w:bCs/>
          <w:snapToGrid w:val="0"/>
          <w:kern w:val="0"/>
          <w:szCs w:val="32"/>
        </w:rPr>
        <w:t>”</w:t>
      </w:r>
      <w:r>
        <w:rPr>
          <w:bCs/>
          <w:snapToGrid w:val="0"/>
          <w:kern w:val="0"/>
          <w:szCs w:val="32"/>
        </w:rPr>
        <w:t>，设计功能实现率未指明是哪方面的效益指标，且更偏向于质量指标；项目指标设置分类不准确，且未包含年度实施内容所产生的产出、效益，项目决策意图未能有效体现。</w:t>
      </w:r>
      <w:bookmarkStart w:id="85" w:name="_Toc22534"/>
      <w:bookmarkEnd w:id="84"/>
    </w:p>
    <w:p w:rsidR="0029667E" w:rsidRDefault="005F36FF">
      <w:pPr>
        <w:pStyle w:val="1"/>
        <w:ind w:firstLine="640"/>
        <w:rPr>
          <w:snapToGrid w:val="0"/>
        </w:rPr>
      </w:pPr>
      <w:bookmarkStart w:id="86" w:name="_Toc29912"/>
      <w:bookmarkStart w:id="87" w:name="_Toc7085"/>
      <w:bookmarkStart w:id="88" w:name="_Toc13228"/>
      <w:r>
        <w:rPr>
          <w:snapToGrid w:val="0"/>
        </w:rPr>
        <w:t>六、相关建议</w:t>
      </w:r>
      <w:bookmarkEnd w:id="85"/>
      <w:bookmarkEnd w:id="86"/>
      <w:bookmarkEnd w:id="87"/>
      <w:bookmarkEnd w:id="88"/>
    </w:p>
    <w:p w:rsidR="0029667E" w:rsidRDefault="005F36FF">
      <w:pPr>
        <w:pStyle w:val="2"/>
        <w:ind w:firstLine="640"/>
        <w:rPr>
          <w:rFonts w:cs="Times New Roman"/>
        </w:rPr>
      </w:pPr>
      <w:bookmarkStart w:id="89" w:name="_Toc25456"/>
      <w:bookmarkStart w:id="90" w:name="_Toc21148"/>
      <w:bookmarkStart w:id="91" w:name="_Toc3660"/>
      <w:bookmarkStart w:id="92" w:name="_Toc17624"/>
      <w:r>
        <w:rPr>
          <w:rFonts w:cs="Times New Roman"/>
        </w:rPr>
        <w:t>（一）加强前期调研和规划</w:t>
      </w:r>
      <w:r>
        <w:rPr>
          <w:rStyle w:val="2Char"/>
          <w:rFonts w:cs="Times New Roman"/>
          <w:bCs/>
        </w:rPr>
        <w:t>，</w:t>
      </w:r>
      <w:r>
        <w:rPr>
          <w:rFonts w:cs="Times New Roman"/>
        </w:rPr>
        <w:t>提高项目管理水平和效率。</w:t>
      </w:r>
      <w:bookmarkEnd w:id="89"/>
      <w:bookmarkEnd w:id="90"/>
      <w:bookmarkEnd w:id="91"/>
      <w:bookmarkEnd w:id="92"/>
    </w:p>
    <w:p w:rsidR="0029667E" w:rsidRDefault="005F36FF">
      <w:pPr>
        <w:ind w:firstLine="640"/>
        <w:rPr>
          <w:bCs/>
          <w:snapToGrid w:val="0"/>
          <w:kern w:val="0"/>
          <w:szCs w:val="32"/>
        </w:rPr>
      </w:pPr>
      <w:r>
        <w:rPr>
          <w:rFonts w:hint="eastAsia"/>
          <w:bCs/>
          <w:snapToGrid w:val="0"/>
          <w:kern w:val="0"/>
          <w:szCs w:val="32"/>
        </w:rPr>
        <w:t>一是建议完善风险应对机制，对于涉及征地拆迁和管线迁改的工程提前进行规划和协调工作，在工程项目启动之前，尽早与相关部门和居民进行沟通，明确拆迁范围和补偿方案，争取尽早完成拆迁工作；并与管线管理部门（如电力公司、水务局、燃气公司等）提前沟通，了解现有管线分布情况，制定详细的迁改计划。完善应急预案机制，确保在突发情况下能够迅速反应，减少对工程进度的影响。同时灵活调整施工计划，在无法及时完成征地拆迁或管线迁改的情况下，可以考虑调整施工顺序，先行施工不受影响的部分，以最大限度地减少工程延误。同时完善审批流程，确保在项</w:t>
      </w:r>
      <w:r>
        <w:rPr>
          <w:rFonts w:hint="eastAsia"/>
          <w:bCs/>
          <w:snapToGrid w:val="0"/>
          <w:kern w:val="0"/>
          <w:szCs w:val="32"/>
        </w:rPr>
        <w:t>目建设过程中遇到不可抗力或其他客观原因导致工期延误时，及时提交延期申请并获得批准，从而规范落实工期延长手续，避免因延误导致的合同违约风险。</w:t>
      </w:r>
    </w:p>
    <w:p w:rsidR="0029667E" w:rsidRDefault="005F36FF">
      <w:pPr>
        <w:ind w:firstLine="640"/>
        <w:rPr>
          <w:bCs/>
          <w:snapToGrid w:val="0"/>
          <w:kern w:val="0"/>
          <w:szCs w:val="32"/>
        </w:rPr>
      </w:pPr>
      <w:r>
        <w:rPr>
          <w:rFonts w:hint="eastAsia"/>
          <w:bCs/>
          <w:snapToGrid w:val="0"/>
          <w:kern w:val="0"/>
          <w:szCs w:val="32"/>
        </w:rPr>
        <w:t>二是建议在可行性研究阶段，进行更加详细和精确的测量和调研，统一各阶段（可行性研究、施工图设计、施工总结等）使用的计量标准和方法，避免因计算方式不同导致的数据差异，并确保所有参与项目的单位（设计单位、施工单位、监理单位等）使用一致的测量和计算方法。若在实际施工过程发生因客观原因导致的工程量变更，应及时进行记录和上报，并得到相关部门的批准，变更后的工程量和数据需及时更新在所有相关文件和报告中，确保数据的一致性和准确性。</w:t>
      </w:r>
    </w:p>
    <w:p w:rsidR="0029667E" w:rsidRDefault="005F36FF">
      <w:pPr>
        <w:pStyle w:val="2"/>
        <w:ind w:firstLine="640"/>
        <w:rPr>
          <w:rFonts w:cs="Times New Roman"/>
        </w:rPr>
      </w:pPr>
      <w:bookmarkStart w:id="93" w:name="_Toc10140"/>
      <w:bookmarkStart w:id="94" w:name="_Toc25400"/>
      <w:bookmarkStart w:id="95" w:name="_Toc881"/>
      <w:bookmarkStart w:id="96" w:name="_Toc11003"/>
      <w:r>
        <w:rPr>
          <w:rStyle w:val="2Char"/>
          <w:rFonts w:cs="Times New Roman"/>
          <w:bCs/>
        </w:rPr>
        <w:t>（二）提高绩效目标科学性，完善绩效指标设置。</w:t>
      </w:r>
      <w:bookmarkEnd w:id="93"/>
      <w:bookmarkEnd w:id="94"/>
      <w:bookmarkEnd w:id="95"/>
      <w:bookmarkEnd w:id="96"/>
    </w:p>
    <w:p w:rsidR="0029667E" w:rsidRDefault="005F36FF">
      <w:pPr>
        <w:ind w:firstLine="643"/>
      </w:pPr>
      <w:r>
        <w:rPr>
          <w:b/>
          <w:bCs/>
        </w:rPr>
        <w:t>一是</w:t>
      </w:r>
      <w:r>
        <w:t>提升绩效目标的完整性，除了产出目标外，应综</w:t>
      </w:r>
      <w:r>
        <w:t>合</w:t>
      </w:r>
      <w:proofErr w:type="gramStart"/>
      <w:r>
        <w:t>考量</w:t>
      </w:r>
      <w:proofErr w:type="gramEnd"/>
      <w:r>
        <w:t>项目实施带来的社会、经济方面的效益，如区域交通改善情况、对区域经济的促进作用等；在设置绩效指标时，结合项目实际完整设置数量、质量、时效、社会效益、经济效益等指标。且年初申报阶段和绩效自评阶段的目标设置应保持一致，</w:t>
      </w:r>
      <w:proofErr w:type="gramStart"/>
      <w:r>
        <w:t>明确总</w:t>
      </w:r>
      <w:proofErr w:type="gramEnd"/>
      <w:r>
        <w:t>目标和各阶段性目标，避免目标设置不完整的问题，确保每个阶段的目标设置应具体、明确，并能与最终目标相呼应。</w:t>
      </w:r>
    </w:p>
    <w:p w:rsidR="0029667E" w:rsidRDefault="005F36FF">
      <w:pPr>
        <w:ind w:firstLine="643"/>
      </w:pPr>
      <w:r>
        <w:rPr>
          <w:b/>
          <w:bCs/>
        </w:rPr>
        <w:t>二是</w:t>
      </w:r>
      <w:r>
        <w:t>提升绩效目标的合理性，项目</w:t>
      </w:r>
      <w:r>
        <w:rPr>
          <w:bCs/>
          <w:snapToGrid w:val="0"/>
          <w:kern w:val="0"/>
          <w:szCs w:val="32"/>
        </w:rPr>
        <w:t>效益指某项活动、项目或政策对社会整体产生的积极影响和贡献，对于效益目标的设置应考虑项目实施带来的实际利益，而非某项工作的完成情况。</w:t>
      </w:r>
    </w:p>
    <w:p w:rsidR="0029667E" w:rsidRDefault="005F36FF">
      <w:pPr>
        <w:ind w:firstLine="640"/>
      </w:pPr>
      <w:r>
        <w:t>指标设置方面，建议重</w:t>
      </w:r>
      <w:r>
        <w:t>新</w:t>
      </w:r>
      <w:proofErr w:type="gramStart"/>
      <w:r>
        <w:t>考量</w:t>
      </w:r>
      <w:proofErr w:type="gramEnd"/>
      <w:r>
        <w:t>产出指标和效益指标的归类和设置，产出方面可将</w:t>
      </w:r>
      <w:r>
        <w:rPr>
          <w:rFonts w:ascii="仿宋_GB2312" w:hint="eastAsia"/>
        </w:rPr>
        <w:t>“</w:t>
      </w:r>
      <w:r>
        <w:t>保障农民工工资足额及时支付率</w:t>
      </w:r>
      <w:r>
        <w:rPr>
          <w:rFonts w:ascii="仿宋_GB2312" w:hint="eastAsia"/>
        </w:rPr>
        <w:t>”</w:t>
      </w:r>
      <w:r>
        <w:t>归类为社会效益指标，也可增加其他时效性指标，如</w:t>
      </w:r>
      <w:r>
        <w:rPr>
          <w:rFonts w:ascii="仿宋_GB2312" w:hint="eastAsia"/>
        </w:rPr>
        <w:t>“</w:t>
      </w:r>
      <w:r>
        <w:t>工程进度达标率</w:t>
      </w:r>
      <w:r>
        <w:rPr>
          <w:rFonts w:ascii="仿宋_GB2312" w:hint="eastAsia"/>
        </w:rPr>
        <w:t>”</w:t>
      </w:r>
      <w:r>
        <w:t>等；可将</w:t>
      </w:r>
      <w:r>
        <w:rPr>
          <w:rFonts w:ascii="仿宋_GB2312" w:hint="eastAsia"/>
          <w:bCs/>
          <w:snapToGrid w:val="0"/>
          <w:kern w:val="0"/>
          <w:szCs w:val="32"/>
        </w:rPr>
        <w:t>“</w:t>
      </w:r>
      <w:r>
        <w:rPr>
          <w:bCs/>
          <w:snapToGrid w:val="0"/>
          <w:kern w:val="0"/>
          <w:szCs w:val="32"/>
        </w:rPr>
        <w:t>设计功能实现率（</w:t>
      </w:r>
      <w:r>
        <w:rPr>
          <w:bCs/>
          <w:snapToGrid w:val="0"/>
          <w:kern w:val="0"/>
          <w:szCs w:val="32"/>
        </w:rPr>
        <w:t>%</w:t>
      </w:r>
      <w:r>
        <w:rPr>
          <w:bCs/>
          <w:snapToGrid w:val="0"/>
          <w:kern w:val="0"/>
          <w:szCs w:val="32"/>
        </w:rPr>
        <w:t>）</w:t>
      </w:r>
      <w:r>
        <w:rPr>
          <w:rFonts w:ascii="仿宋_GB2312" w:hint="eastAsia"/>
          <w:bCs/>
          <w:snapToGrid w:val="0"/>
          <w:kern w:val="0"/>
          <w:szCs w:val="32"/>
        </w:rPr>
        <w:t>”</w:t>
      </w:r>
      <w:r>
        <w:rPr>
          <w:bCs/>
          <w:snapToGrid w:val="0"/>
          <w:kern w:val="0"/>
          <w:szCs w:val="32"/>
        </w:rPr>
        <w:t>归为项目产出的质量指标。同时针对项目能够带来的社会与经济方面的效益设置定量或定性指标，</w:t>
      </w:r>
      <w:r>
        <w:t>如</w:t>
      </w:r>
      <w:r>
        <w:rPr>
          <w:rFonts w:ascii="仿宋_GB2312" w:hint="eastAsia"/>
        </w:rPr>
        <w:t>“</w:t>
      </w:r>
      <w:r>
        <w:t>提供就业岗位</w:t>
      </w:r>
      <w:r>
        <w:rPr>
          <w:rFonts w:ascii="仿宋_GB2312" w:hint="eastAsia"/>
        </w:rPr>
        <w:t>”“</w:t>
      </w:r>
      <w:r>
        <w:t>改善区域交通</w:t>
      </w:r>
      <w:r>
        <w:rPr>
          <w:rFonts w:ascii="仿宋_GB2312" w:hint="eastAsia"/>
        </w:rPr>
        <w:t>”“</w:t>
      </w:r>
      <w:r>
        <w:t>促进区域经济增长</w:t>
      </w:r>
      <w:r>
        <w:rPr>
          <w:rFonts w:ascii="仿宋_GB2312" w:hint="eastAsia"/>
        </w:rPr>
        <w:t>”</w:t>
      </w:r>
      <w:r>
        <w:t>等。提升项目绩效指标的完整性与合理性，有利于确保项目的绩效管理更加科学、规范，真正反映项目实际产出和效益。</w:t>
      </w:r>
    </w:p>
    <w:p w:rsidR="0029667E" w:rsidRDefault="0029667E">
      <w:pPr>
        <w:ind w:firstLine="640"/>
      </w:pPr>
    </w:p>
    <w:p w:rsidR="0029667E" w:rsidRDefault="005F36FF">
      <w:pPr>
        <w:ind w:leftChars="200" w:left="1920" w:hangingChars="400" w:hanging="1280"/>
      </w:pPr>
      <w:r>
        <w:t>附件：</w:t>
      </w:r>
      <w:r>
        <w:t>1.</w:t>
      </w:r>
      <w:r>
        <w:t>项目绩效评价指标评分表</w:t>
      </w:r>
    </w:p>
    <w:p w:rsidR="0029667E" w:rsidRDefault="005F36FF">
      <w:pPr>
        <w:ind w:leftChars="505" w:left="1936" w:hangingChars="100" w:hanging="320"/>
      </w:pPr>
      <w:r>
        <w:t>2.</w:t>
      </w:r>
      <w:r>
        <w:t>项目满意度调查问卷结果</w:t>
      </w:r>
    </w:p>
    <w:p w:rsidR="0029667E" w:rsidRDefault="0029667E">
      <w:pPr>
        <w:spacing w:line="240" w:lineRule="auto"/>
        <w:ind w:firstLine="640"/>
      </w:pPr>
    </w:p>
    <w:p w:rsidR="0029667E" w:rsidRDefault="005F36FF">
      <w:pPr>
        <w:spacing w:line="240" w:lineRule="auto"/>
        <w:ind w:firstLine="640"/>
      </w:pPr>
      <w:r>
        <w:rPr>
          <w:rFonts w:hint="eastAsia"/>
        </w:rPr>
        <w:t>（以下无正文）</w:t>
      </w:r>
    </w:p>
    <w:p w:rsidR="0029667E" w:rsidRDefault="0029667E">
      <w:pPr>
        <w:spacing w:line="240" w:lineRule="auto"/>
        <w:ind w:firstLine="640"/>
      </w:pPr>
    </w:p>
    <w:p w:rsidR="0029667E" w:rsidRDefault="0029667E">
      <w:pPr>
        <w:spacing w:line="240" w:lineRule="auto"/>
        <w:ind w:firstLine="640"/>
      </w:pPr>
    </w:p>
    <w:p w:rsidR="0029667E" w:rsidRDefault="005F36FF">
      <w:pPr>
        <w:ind w:firstLine="640"/>
        <w:jc w:val="right"/>
      </w:pPr>
      <w:r>
        <w:t>广东</w:t>
      </w:r>
      <w:proofErr w:type="gramStart"/>
      <w:r>
        <w:t>国众联</w:t>
      </w:r>
      <w:proofErr w:type="gramEnd"/>
      <w:r>
        <w:t>行资产评估土地房地产估价规划咨询有限公司</w:t>
      </w:r>
    </w:p>
    <w:p w:rsidR="0029667E" w:rsidRDefault="005F36FF">
      <w:pPr>
        <w:ind w:right="1280" w:firstLine="640"/>
        <w:jc w:val="right"/>
        <w:sectPr w:rsidR="0029667E">
          <w:footerReference w:type="even" r:id="rId14"/>
          <w:footerReference w:type="default" r:id="rId15"/>
          <w:pgSz w:w="11906" w:h="16838"/>
          <w:pgMar w:top="2098" w:right="1474" w:bottom="1985" w:left="1588" w:header="851" w:footer="992" w:gutter="0"/>
          <w:pgNumType w:fmt="numberInDash" w:start="1"/>
          <w:cols w:space="720"/>
          <w:docGrid w:type="linesAndChars" w:linePitch="435"/>
        </w:sectPr>
      </w:pPr>
      <w:r>
        <w:t>2024</w:t>
      </w:r>
      <w:r>
        <w:t>年</w:t>
      </w:r>
      <w:r>
        <w:rPr>
          <w:rFonts w:hint="eastAsia"/>
        </w:rPr>
        <w:t>0</w:t>
      </w:r>
      <w:r>
        <w:t>9</w:t>
      </w:r>
      <w:r>
        <w:t>月</w:t>
      </w:r>
    </w:p>
    <w:p w:rsidR="0029667E" w:rsidRDefault="005F36FF">
      <w:pPr>
        <w:pStyle w:val="1"/>
        <w:tabs>
          <w:tab w:val="left" w:pos="10560"/>
        </w:tabs>
        <w:ind w:firstLine="640"/>
      </w:pPr>
      <w:bookmarkStart w:id="97" w:name="_Toc5029"/>
      <w:bookmarkStart w:id="98" w:name="_Toc19059"/>
      <w:bookmarkStart w:id="99" w:name="_Toc10304"/>
      <w:bookmarkStart w:id="100" w:name="_Toc28044"/>
      <w:r>
        <w:t>附件</w:t>
      </w:r>
      <w:r>
        <w:t>1</w:t>
      </w:r>
      <w:r>
        <w:t>：新塘站片区路网</w:t>
      </w:r>
      <w:r>
        <w:t>-</w:t>
      </w:r>
      <w:r>
        <w:t>纵一路、新源路及汽车城大道建设工程项目绩效评价指标评分表</w:t>
      </w:r>
      <w:bookmarkEnd w:id="97"/>
      <w:bookmarkEnd w:id="98"/>
      <w:bookmarkEnd w:id="99"/>
      <w:bookmarkEnd w:id="100"/>
    </w:p>
    <w:p w:rsidR="0029667E" w:rsidRDefault="005F36FF">
      <w:pPr>
        <w:spacing w:line="240" w:lineRule="auto"/>
        <w:ind w:firstLineChars="0" w:firstLine="0"/>
        <w:jc w:val="center"/>
        <w:rPr>
          <w:rFonts w:eastAsia="黑体"/>
          <w:sz w:val="28"/>
          <w:szCs w:val="28"/>
        </w:rPr>
      </w:pPr>
      <w:r>
        <w:rPr>
          <w:rFonts w:eastAsia="黑体"/>
          <w:sz w:val="28"/>
          <w:szCs w:val="28"/>
        </w:rPr>
        <w:t>新塘站片区路网</w:t>
      </w:r>
      <w:r>
        <w:rPr>
          <w:rFonts w:eastAsia="黑体"/>
          <w:sz w:val="28"/>
          <w:szCs w:val="28"/>
        </w:rPr>
        <w:t>-</w:t>
      </w:r>
      <w:r>
        <w:rPr>
          <w:rFonts w:eastAsia="黑体"/>
          <w:sz w:val="28"/>
          <w:szCs w:val="28"/>
        </w:rPr>
        <w:t>纵一路、新源路及汽车城大道建设工程项目绩效评价指标评分表</w:t>
      </w:r>
    </w:p>
    <w:tbl>
      <w:tblPr>
        <w:tblW w:w="5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1"/>
        <w:gridCol w:w="780"/>
        <w:gridCol w:w="1083"/>
        <w:gridCol w:w="732"/>
        <w:gridCol w:w="1596"/>
        <w:gridCol w:w="729"/>
        <w:gridCol w:w="1470"/>
        <w:gridCol w:w="750"/>
        <w:gridCol w:w="3180"/>
        <w:gridCol w:w="3551"/>
        <w:gridCol w:w="793"/>
      </w:tblGrid>
      <w:tr w:rsidR="0029667E">
        <w:trPr>
          <w:trHeight w:val="542"/>
          <w:tblHeader/>
          <w:jc w:val="center"/>
        </w:trPr>
        <w:tc>
          <w:tcPr>
            <w:tcW w:w="8342" w:type="dxa"/>
            <w:gridSpan w:val="8"/>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评价指标</w:t>
            </w:r>
          </w:p>
        </w:tc>
        <w:tc>
          <w:tcPr>
            <w:tcW w:w="3180" w:type="dxa"/>
            <w:vMerge w:val="restart"/>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评分标准</w:t>
            </w:r>
          </w:p>
        </w:tc>
        <w:tc>
          <w:tcPr>
            <w:tcW w:w="3551"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b/>
                <w:bCs/>
                <w:kern w:val="0"/>
                <w:sz w:val="24"/>
              </w:rPr>
              <w:t>评分依据、未达标原因分析</w:t>
            </w:r>
          </w:p>
        </w:tc>
        <w:tc>
          <w:tcPr>
            <w:tcW w:w="793" w:type="dxa"/>
            <w:vMerge w:val="restart"/>
            <w:shd w:val="clear" w:color="auto" w:fill="auto"/>
            <w:vAlign w:val="center"/>
          </w:tcPr>
          <w:p w:rsidR="0029667E" w:rsidRDefault="005F36FF">
            <w:pPr>
              <w:widowControl/>
              <w:snapToGrid w:val="0"/>
              <w:spacing w:line="240" w:lineRule="auto"/>
              <w:ind w:firstLineChars="0" w:firstLine="0"/>
              <w:jc w:val="center"/>
              <w:rPr>
                <w:b/>
                <w:bCs/>
                <w:color w:val="000000" w:themeColor="text1"/>
                <w:kern w:val="0"/>
                <w:sz w:val="24"/>
              </w:rPr>
            </w:pPr>
            <w:r>
              <w:rPr>
                <w:b/>
                <w:bCs/>
                <w:color w:val="000000" w:themeColor="text1"/>
                <w:kern w:val="0"/>
                <w:sz w:val="24"/>
              </w:rPr>
              <w:t>评价得分</w:t>
            </w:r>
          </w:p>
        </w:tc>
      </w:tr>
      <w:tr w:rsidR="0029667E">
        <w:trPr>
          <w:trHeight w:val="567"/>
          <w:tblHeader/>
          <w:jc w:val="center"/>
        </w:trPr>
        <w:tc>
          <w:tcPr>
            <w:tcW w:w="1982" w:type="dxa"/>
            <w:gridSpan w:val="2"/>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一级指标</w:t>
            </w:r>
          </w:p>
        </w:tc>
        <w:tc>
          <w:tcPr>
            <w:tcW w:w="1815" w:type="dxa"/>
            <w:gridSpan w:val="2"/>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二级指标</w:t>
            </w:r>
          </w:p>
        </w:tc>
        <w:tc>
          <w:tcPr>
            <w:tcW w:w="2325" w:type="dxa"/>
            <w:gridSpan w:val="2"/>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三级指标</w:t>
            </w:r>
          </w:p>
        </w:tc>
        <w:tc>
          <w:tcPr>
            <w:tcW w:w="2220" w:type="dxa"/>
            <w:gridSpan w:val="2"/>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四级指标</w:t>
            </w:r>
          </w:p>
        </w:tc>
        <w:tc>
          <w:tcPr>
            <w:tcW w:w="3180" w:type="dxa"/>
            <w:vMerge/>
            <w:shd w:val="clear" w:color="auto" w:fill="auto"/>
            <w:vAlign w:val="center"/>
          </w:tcPr>
          <w:p w:rsidR="0029667E" w:rsidRDefault="0029667E">
            <w:pPr>
              <w:widowControl/>
              <w:snapToGrid w:val="0"/>
              <w:spacing w:line="240" w:lineRule="auto"/>
              <w:ind w:firstLineChars="0" w:firstLine="0"/>
              <w:jc w:val="left"/>
              <w:rPr>
                <w:b/>
                <w:bCs/>
                <w:kern w:val="0"/>
                <w:sz w:val="24"/>
              </w:rPr>
            </w:pPr>
          </w:p>
        </w:tc>
        <w:tc>
          <w:tcPr>
            <w:tcW w:w="3551" w:type="dxa"/>
            <w:vMerge/>
            <w:shd w:val="clear" w:color="auto" w:fill="auto"/>
            <w:vAlign w:val="center"/>
          </w:tcPr>
          <w:p w:rsidR="0029667E" w:rsidRDefault="0029667E">
            <w:pPr>
              <w:widowControl/>
              <w:snapToGrid w:val="0"/>
              <w:spacing w:line="240" w:lineRule="auto"/>
              <w:ind w:firstLineChars="0" w:firstLine="0"/>
              <w:rPr>
                <w:kern w:val="0"/>
                <w:sz w:val="24"/>
              </w:rPr>
            </w:pPr>
          </w:p>
        </w:tc>
        <w:tc>
          <w:tcPr>
            <w:tcW w:w="793" w:type="dxa"/>
            <w:vMerge/>
            <w:shd w:val="clear" w:color="auto" w:fill="auto"/>
            <w:vAlign w:val="center"/>
          </w:tcPr>
          <w:p w:rsidR="0029667E" w:rsidRDefault="0029667E">
            <w:pPr>
              <w:widowControl/>
              <w:snapToGrid w:val="0"/>
              <w:spacing w:line="240" w:lineRule="auto"/>
              <w:ind w:firstLineChars="0" w:firstLine="0"/>
              <w:jc w:val="center"/>
              <w:rPr>
                <w:b/>
                <w:bCs/>
                <w:color w:val="000000" w:themeColor="text1"/>
                <w:kern w:val="0"/>
                <w:sz w:val="24"/>
              </w:rPr>
            </w:pPr>
          </w:p>
        </w:tc>
      </w:tr>
      <w:tr w:rsidR="0029667E">
        <w:trPr>
          <w:trHeight w:val="663"/>
          <w:tblHeader/>
          <w:jc w:val="center"/>
        </w:trPr>
        <w:tc>
          <w:tcPr>
            <w:tcW w:w="1202" w:type="dxa"/>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名称</w:t>
            </w:r>
          </w:p>
        </w:tc>
        <w:tc>
          <w:tcPr>
            <w:tcW w:w="780" w:type="dxa"/>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权重</w:t>
            </w:r>
          </w:p>
          <w:p w:rsidR="0029667E" w:rsidRDefault="005F36FF">
            <w:pPr>
              <w:widowControl/>
              <w:snapToGrid w:val="0"/>
              <w:spacing w:line="240" w:lineRule="auto"/>
              <w:ind w:firstLineChars="0" w:firstLine="0"/>
              <w:jc w:val="center"/>
              <w:rPr>
                <w:b/>
                <w:bCs/>
                <w:kern w:val="0"/>
                <w:sz w:val="24"/>
              </w:rPr>
            </w:pPr>
            <w:r>
              <w:rPr>
                <w:b/>
                <w:bCs/>
                <w:kern w:val="0"/>
                <w:sz w:val="24"/>
              </w:rPr>
              <w:t>(%)</w:t>
            </w:r>
          </w:p>
        </w:tc>
        <w:tc>
          <w:tcPr>
            <w:tcW w:w="1083" w:type="dxa"/>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名称</w:t>
            </w:r>
          </w:p>
        </w:tc>
        <w:tc>
          <w:tcPr>
            <w:tcW w:w="732" w:type="dxa"/>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权重</w:t>
            </w:r>
          </w:p>
          <w:p w:rsidR="0029667E" w:rsidRDefault="005F36FF">
            <w:pPr>
              <w:widowControl/>
              <w:snapToGrid w:val="0"/>
              <w:spacing w:line="240" w:lineRule="auto"/>
              <w:ind w:firstLineChars="0" w:firstLine="0"/>
              <w:jc w:val="center"/>
              <w:rPr>
                <w:b/>
                <w:bCs/>
                <w:kern w:val="0"/>
                <w:sz w:val="24"/>
              </w:rPr>
            </w:pPr>
            <w:r>
              <w:rPr>
                <w:b/>
                <w:bCs/>
                <w:kern w:val="0"/>
                <w:sz w:val="24"/>
              </w:rPr>
              <w:t>(%)</w:t>
            </w:r>
          </w:p>
        </w:tc>
        <w:tc>
          <w:tcPr>
            <w:tcW w:w="1596" w:type="dxa"/>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名称</w:t>
            </w:r>
          </w:p>
        </w:tc>
        <w:tc>
          <w:tcPr>
            <w:tcW w:w="729" w:type="dxa"/>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权重</w:t>
            </w:r>
          </w:p>
          <w:p w:rsidR="0029667E" w:rsidRDefault="005F36FF">
            <w:pPr>
              <w:widowControl/>
              <w:snapToGrid w:val="0"/>
              <w:spacing w:line="240" w:lineRule="auto"/>
              <w:ind w:firstLineChars="0" w:firstLine="0"/>
              <w:jc w:val="center"/>
              <w:rPr>
                <w:b/>
                <w:bCs/>
                <w:kern w:val="0"/>
                <w:sz w:val="24"/>
              </w:rPr>
            </w:pPr>
            <w:r>
              <w:rPr>
                <w:b/>
                <w:bCs/>
                <w:kern w:val="0"/>
                <w:sz w:val="24"/>
              </w:rPr>
              <w:t>(%)</w:t>
            </w:r>
          </w:p>
        </w:tc>
        <w:tc>
          <w:tcPr>
            <w:tcW w:w="1470" w:type="dxa"/>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名称</w:t>
            </w:r>
          </w:p>
        </w:tc>
        <w:tc>
          <w:tcPr>
            <w:tcW w:w="750" w:type="dxa"/>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权重</w:t>
            </w:r>
          </w:p>
          <w:p w:rsidR="0029667E" w:rsidRDefault="005F36FF">
            <w:pPr>
              <w:widowControl/>
              <w:snapToGrid w:val="0"/>
              <w:spacing w:line="240" w:lineRule="auto"/>
              <w:ind w:firstLineChars="0" w:firstLine="0"/>
              <w:jc w:val="center"/>
              <w:rPr>
                <w:b/>
                <w:bCs/>
                <w:kern w:val="0"/>
                <w:sz w:val="24"/>
              </w:rPr>
            </w:pPr>
            <w:r>
              <w:rPr>
                <w:b/>
                <w:bCs/>
                <w:kern w:val="0"/>
                <w:sz w:val="24"/>
              </w:rPr>
              <w:t>(%)</w:t>
            </w:r>
          </w:p>
        </w:tc>
        <w:tc>
          <w:tcPr>
            <w:tcW w:w="3180" w:type="dxa"/>
            <w:vMerge/>
            <w:shd w:val="clear" w:color="auto" w:fill="auto"/>
            <w:vAlign w:val="center"/>
          </w:tcPr>
          <w:p w:rsidR="0029667E" w:rsidRDefault="0029667E">
            <w:pPr>
              <w:widowControl/>
              <w:snapToGrid w:val="0"/>
              <w:spacing w:line="240" w:lineRule="auto"/>
              <w:ind w:firstLineChars="0" w:firstLine="0"/>
              <w:jc w:val="left"/>
              <w:rPr>
                <w:b/>
                <w:bCs/>
                <w:kern w:val="0"/>
                <w:sz w:val="24"/>
              </w:rPr>
            </w:pPr>
          </w:p>
        </w:tc>
        <w:tc>
          <w:tcPr>
            <w:tcW w:w="3551" w:type="dxa"/>
            <w:vMerge/>
            <w:shd w:val="clear" w:color="auto" w:fill="auto"/>
            <w:vAlign w:val="center"/>
          </w:tcPr>
          <w:p w:rsidR="0029667E" w:rsidRDefault="0029667E">
            <w:pPr>
              <w:widowControl/>
              <w:snapToGrid w:val="0"/>
              <w:spacing w:line="240" w:lineRule="auto"/>
              <w:ind w:firstLineChars="0" w:firstLine="0"/>
              <w:rPr>
                <w:kern w:val="0"/>
                <w:sz w:val="24"/>
              </w:rPr>
            </w:pPr>
          </w:p>
        </w:tc>
        <w:tc>
          <w:tcPr>
            <w:tcW w:w="793" w:type="dxa"/>
            <w:vMerge/>
            <w:shd w:val="clear" w:color="auto" w:fill="auto"/>
            <w:vAlign w:val="center"/>
          </w:tcPr>
          <w:p w:rsidR="0029667E" w:rsidRDefault="0029667E">
            <w:pPr>
              <w:widowControl/>
              <w:snapToGrid w:val="0"/>
              <w:spacing w:line="240" w:lineRule="auto"/>
              <w:ind w:firstLineChars="0" w:firstLine="0"/>
              <w:jc w:val="center"/>
              <w:rPr>
                <w:b/>
                <w:bCs/>
                <w:color w:val="000000" w:themeColor="text1"/>
                <w:kern w:val="0"/>
                <w:sz w:val="24"/>
              </w:rPr>
            </w:pPr>
          </w:p>
        </w:tc>
      </w:tr>
      <w:tr w:rsidR="0029667E">
        <w:trPr>
          <w:trHeight w:val="567"/>
          <w:jc w:val="center"/>
        </w:trPr>
        <w:tc>
          <w:tcPr>
            <w:tcW w:w="1202"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决策</w:t>
            </w:r>
          </w:p>
        </w:tc>
        <w:tc>
          <w:tcPr>
            <w:tcW w:w="780"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20</w:t>
            </w:r>
          </w:p>
        </w:tc>
        <w:tc>
          <w:tcPr>
            <w:tcW w:w="1083"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项目立项</w:t>
            </w:r>
          </w:p>
        </w:tc>
        <w:tc>
          <w:tcPr>
            <w:tcW w:w="732"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12</w:t>
            </w:r>
          </w:p>
        </w:tc>
        <w:tc>
          <w:tcPr>
            <w:tcW w:w="1596"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论证决策</w:t>
            </w:r>
          </w:p>
        </w:tc>
        <w:tc>
          <w:tcPr>
            <w:tcW w:w="729"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4</w:t>
            </w: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论证充分性</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4</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具有前期可行性研究报告或摸底调查工作总结等材料的，或经过集体会议协商、并咨询相关专家意见、且有文字材料的得</w:t>
            </w:r>
            <w:r>
              <w:rPr>
                <w:kern w:val="0"/>
                <w:sz w:val="24"/>
              </w:rPr>
              <w:t>4</w:t>
            </w:r>
            <w:r>
              <w:rPr>
                <w:kern w:val="0"/>
                <w:sz w:val="24"/>
              </w:rPr>
              <w:t>分。如无，则根据实际情况核定分数。</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根据《广州市增城区人民政府办公室关于轨道交通项目规划建设工作的会议纪要（二十五）》（</w:t>
            </w:r>
            <w:proofErr w:type="gramStart"/>
            <w:r>
              <w:rPr>
                <w:kern w:val="0"/>
                <w:sz w:val="24"/>
              </w:rPr>
              <w:t>增府会纪</w:t>
            </w:r>
            <w:proofErr w:type="gramEnd"/>
            <w:r>
              <w:rPr>
                <w:kern w:val="0"/>
                <w:sz w:val="24"/>
              </w:rPr>
              <w:t>〔</w:t>
            </w:r>
            <w:r>
              <w:rPr>
                <w:kern w:val="0"/>
                <w:sz w:val="24"/>
              </w:rPr>
              <w:t>2019</w:t>
            </w:r>
            <w:r>
              <w:rPr>
                <w:kern w:val="0"/>
                <w:sz w:val="24"/>
              </w:rPr>
              <w:t>〕</w:t>
            </w:r>
            <w:r>
              <w:rPr>
                <w:kern w:val="0"/>
                <w:sz w:val="24"/>
              </w:rPr>
              <w:t>27</w:t>
            </w:r>
            <w:r>
              <w:rPr>
                <w:kern w:val="0"/>
                <w:sz w:val="24"/>
              </w:rPr>
              <w:t>号）、《广州市发展和改革委员会关于推进新塘站、增城站周边道路前期工作的会议纪要》（</w:t>
            </w:r>
            <w:proofErr w:type="gramStart"/>
            <w:r>
              <w:rPr>
                <w:kern w:val="0"/>
                <w:sz w:val="24"/>
              </w:rPr>
              <w:t>穗发改会纪</w:t>
            </w:r>
            <w:proofErr w:type="gramEnd"/>
            <w:r>
              <w:rPr>
                <w:kern w:val="0"/>
                <w:sz w:val="24"/>
              </w:rPr>
              <w:t>〔</w:t>
            </w:r>
            <w:r>
              <w:rPr>
                <w:kern w:val="0"/>
                <w:sz w:val="24"/>
              </w:rPr>
              <w:t>2018</w:t>
            </w:r>
            <w:r>
              <w:rPr>
                <w:kern w:val="0"/>
                <w:sz w:val="24"/>
              </w:rPr>
              <w:t>〕</w:t>
            </w:r>
            <w:r>
              <w:rPr>
                <w:kern w:val="0"/>
                <w:sz w:val="24"/>
              </w:rPr>
              <w:t>18</w:t>
            </w:r>
            <w:r>
              <w:rPr>
                <w:kern w:val="0"/>
                <w:sz w:val="24"/>
              </w:rPr>
              <w:t>号）等文件精神，项目作为增城区轨道交通与东部交通枢纽的重要部分，前期经过了增城区党委、增城区人民政府、增城区交通运输局等各有关单位的集体会议讨论与科学规划；根据《广州市增城区发展和改革局关于新塘站片区路网</w:t>
            </w:r>
            <w:r>
              <w:rPr>
                <w:kern w:val="0"/>
                <w:sz w:val="24"/>
              </w:rPr>
              <w:t>-</w:t>
            </w:r>
            <w:r>
              <w:rPr>
                <w:kern w:val="0"/>
                <w:sz w:val="24"/>
              </w:rPr>
              <w:t>纵一路、新源路及汽车城大道建设工程项目可行性研究报告的批复》（增发改投〔</w:t>
            </w:r>
            <w:r>
              <w:rPr>
                <w:kern w:val="0"/>
                <w:sz w:val="24"/>
              </w:rPr>
              <w:t>2019</w:t>
            </w:r>
            <w:r>
              <w:rPr>
                <w:kern w:val="0"/>
                <w:sz w:val="24"/>
              </w:rPr>
              <w:t>〕</w:t>
            </w:r>
            <w:r>
              <w:rPr>
                <w:kern w:val="0"/>
                <w:sz w:val="24"/>
              </w:rPr>
              <w:t>129</w:t>
            </w:r>
            <w:r>
              <w:rPr>
                <w:kern w:val="0"/>
                <w:sz w:val="24"/>
              </w:rPr>
              <w:t>号</w:t>
            </w:r>
            <w:r>
              <w:rPr>
                <w:kern w:val="0"/>
                <w:sz w:val="24"/>
              </w:rPr>
              <w:t>）、《关于新塘站片区路网一纵一路、新源路及汽车城大道建设工程初步设计的批复》（增交函〔</w:t>
            </w:r>
            <w:r>
              <w:rPr>
                <w:kern w:val="0"/>
                <w:sz w:val="24"/>
              </w:rPr>
              <w:t>2019</w:t>
            </w:r>
            <w:r>
              <w:rPr>
                <w:kern w:val="0"/>
                <w:sz w:val="24"/>
              </w:rPr>
              <w:t>〕</w:t>
            </w:r>
            <w:r>
              <w:rPr>
                <w:kern w:val="0"/>
                <w:sz w:val="24"/>
              </w:rPr>
              <w:t>675</w:t>
            </w:r>
            <w:r>
              <w:rPr>
                <w:kern w:val="0"/>
                <w:sz w:val="24"/>
              </w:rPr>
              <w:t>号）等文件，项目前期调查研究工作包括可行性研究报告、初步设计方案等，通过了区发展改革局、区交通运输局等相关部门及专家的审查，项目必要性和可行性较强，论证决策工作充分。</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4</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目标设置</w:t>
            </w:r>
          </w:p>
        </w:tc>
        <w:tc>
          <w:tcPr>
            <w:tcW w:w="729"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6</w:t>
            </w: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完整性</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2</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依据相关基础信息和证据判断目标设置的完整性，即是否包含总目标和阶段性目标，是否包括预期提供的公共产品或服务的产出数量、质量、成本指标，预期达到的效果性指标，据此核定分数。</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根据《项目申报表》、绩效自评报告、绩效自评表等有关材料，项目</w:t>
            </w:r>
            <w:r>
              <w:rPr>
                <w:kern w:val="0"/>
                <w:sz w:val="24"/>
              </w:rPr>
              <w:t>2023</w:t>
            </w:r>
            <w:r>
              <w:rPr>
                <w:kern w:val="0"/>
                <w:sz w:val="24"/>
              </w:rPr>
              <w:t>年年初申报阶段与绩效自评阶段设置的绩效目标保持一致，均为</w:t>
            </w:r>
            <w:r>
              <w:rPr>
                <w:kern w:val="0"/>
                <w:sz w:val="24"/>
              </w:rPr>
              <w:t>2023</w:t>
            </w:r>
            <w:r>
              <w:rPr>
                <w:kern w:val="0"/>
                <w:sz w:val="24"/>
              </w:rPr>
              <w:t>年计划完成项目主体工程</w:t>
            </w:r>
            <w:r>
              <w:rPr>
                <w:kern w:val="0"/>
                <w:sz w:val="24"/>
              </w:rPr>
              <w:t>80%</w:t>
            </w:r>
            <w:r>
              <w:rPr>
                <w:kern w:val="0"/>
                <w:sz w:val="24"/>
              </w:rPr>
              <w:t>工程量，配套设施的</w:t>
            </w:r>
            <w:r>
              <w:rPr>
                <w:kern w:val="0"/>
                <w:sz w:val="24"/>
              </w:rPr>
              <w:t>80%</w:t>
            </w:r>
            <w:r>
              <w:rPr>
                <w:kern w:val="0"/>
                <w:sz w:val="24"/>
              </w:rPr>
              <w:t>，完成工程进度的</w:t>
            </w:r>
            <w:r>
              <w:rPr>
                <w:kern w:val="0"/>
                <w:sz w:val="24"/>
              </w:rPr>
              <w:t>80%</w:t>
            </w:r>
            <w:r>
              <w:rPr>
                <w:kern w:val="0"/>
                <w:sz w:val="24"/>
              </w:rPr>
              <w:t>。社会效益方面完工验收通过率</w:t>
            </w:r>
            <w:r>
              <w:rPr>
                <w:kern w:val="0"/>
                <w:sz w:val="24"/>
              </w:rPr>
              <w:t>100%</w:t>
            </w:r>
            <w:r>
              <w:rPr>
                <w:kern w:val="0"/>
                <w:sz w:val="24"/>
              </w:rPr>
              <w:t>，严格履行国家劳保制度有施工安全制度和员工安全防护措施；施工单位无拖欠、克扣农民工工资现。项目绩效目标的设置与项目属性特点、支出内容相关，但对于预期实现的效益如对区域交通的改善情况和对区域经济的促进作用均未能有效体现。项目年初申报阶段设置</w:t>
            </w:r>
            <w:r>
              <w:rPr>
                <w:kern w:val="0"/>
                <w:sz w:val="24"/>
              </w:rPr>
              <w:t>5</w:t>
            </w:r>
            <w:r>
              <w:rPr>
                <w:kern w:val="0"/>
                <w:sz w:val="24"/>
              </w:rPr>
              <w:t>个绩效指标，针对项目推进具体工</w:t>
            </w:r>
            <w:r>
              <w:rPr>
                <w:kern w:val="0"/>
                <w:sz w:val="24"/>
              </w:rPr>
              <w:t>程</w:t>
            </w:r>
            <w:proofErr w:type="gramStart"/>
            <w:r>
              <w:rPr>
                <w:kern w:val="0"/>
                <w:sz w:val="24"/>
              </w:rPr>
              <w:t>量设置</w:t>
            </w:r>
            <w:proofErr w:type="gramEnd"/>
            <w:r>
              <w:rPr>
                <w:kern w:val="0"/>
                <w:sz w:val="24"/>
              </w:rPr>
              <w:t>了数量、时效、经济效益等指标，但产出方面缺少质量指标，效益方面缺少满意度指标。绩效自评阶段按照规定设置了</w:t>
            </w:r>
            <w:r>
              <w:rPr>
                <w:kern w:val="0"/>
                <w:sz w:val="24"/>
              </w:rPr>
              <w:t>7</w:t>
            </w:r>
            <w:r>
              <w:rPr>
                <w:kern w:val="0"/>
                <w:sz w:val="24"/>
              </w:rPr>
              <w:t>个绩效指标，包括数量、时效、经济效益、社会效益和服务对象满意度指标，同样未针对工程质量设置质量指标，总目标与阶段性目标的完整性均有待提高。</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1</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29"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合理性</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2</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依据相关基础信息和证据判断目标设置的相关性，即绩效目标是否与资金或项目属性特点、支出内容相关，体现决策意图，同时合乎客观实际，据此核定分数。</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根据《项目申报表》、绩效自评报告、绩效自评表等有关材料，项目</w:t>
            </w:r>
            <w:r>
              <w:rPr>
                <w:kern w:val="0"/>
                <w:sz w:val="24"/>
              </w:rPr>
              <w:t>2023</w:t>
            </w:r>
            <w:r>
              <w:rPr>
                <w:kern w:val="0"/>
                <w:sz w:val="24"/>
              </w:rPr>
              <w:t>年年初申报阶段与绩效自评阶段设置的绩效目标保持一致，均为</w:t>
            </w:r>
            <w:r>
              <w:rPr>
                <w:kern w:val="0"/>
                <w:sz w:val="24"/>
              </w:rPr>
              <w:t>2023</w:t>
            </w:r>
            <w:r>
              <w:rPr>
                <w:kern w:val="0"/>
                <w:sz w:val="24"/>
              </w:rPr>
              <w:t>年计划完成项目主体工程</w:t>
            </w:r>
            <w:r>
              <w:rPr>
                <w:kern w:val="0"/>
                <w:sz w:val="24"/>
              </w:rPr>
              <w:t>80%</w:t>
            </w:r>
            <w:r>
              <w:rPr>
                <w:kern w:val="0"/>
                <w:sz w:val="24"/>
              </w:rPr>
              <w:t>工程量，配套设施的</w:t>
            </w:r>
            <w:r>
              <w:rPr>
                <w:kern w:val="0"/>
                <w:sz w:val="24"/>
              </w:rPr>
              <w:t>80%</w:t>
            </w:r>
            <w:r>
              <w:rPr>
                <w:kern w:val="0"/>
                <w:sz w:val="24"/>
              </w:rPr>
              <w:t>，完成工程进度的</w:t>
            </w:r>
            <w:r>
              <w:rPr>
                <w:kern w:val="0"/>
                <w:sz w:val="24"/>
              </w:rPr>
              <w:t>80%</w:t>
            </w:r>
            <w:r>
              <w:rPr>
                <w:kern w:val="0"/>
                <w:sz w:val="24"/>
              </w:rPr>
              <w:t>。社会效益方面完工验收通过率</w:t>
            </w:r>
            <w:r>
              <w:rPr>
                <w:kern w:val="0"/>
                <w:sz w:val="24"/>
              </w:rPr>
              <w:t>100%</w:t>
            </w:r>
            <w:r>
              <w:rPr>
                <w:kern w:val="0"/>
                <w:sz w:val="24"/>
              </w:rPr>
              <w:t>，严格履行国家劳保制度有施工安全制度和员工安全防护措施；施工单位无拖欠、克扣农民工工资现。绩效目标的内容主要为项目的预期产出情况，完工验收通过率意义在于工程质量验收情况，作为效益目标无法体现项目实际产生的社会效益；履行国家劳保制度、不拖欠克扣农民工工资属于实施单位应履行</w:t>
            </w:r>
            <w:r>
              <w:rPr>
                <w:kern w:val="0"/>
                <w:sz w:val="24"/>
              </w:rPr>
              <w:t>的义务与职责，不建议设置为社会效益目标。</w:t>
            </w:r>
          </w:p>
          <w:p w:rsidR="0029667E" w:rsidRDefault="005F36FF">
            <w:pPr>
              <w:widowControl/>
              <w:snapToGrid w:val="0"/>
              <w:spacing w:line="240" w:lineRule="auto"/>
              <w:ind w:firstLineChars="0" w:firstLine="0"/>
              <w:rPr>
                <w:kern w:val="0"/>
                <w:sz w:val="24"/>
              </w:rPr>
            </w:pPr>
            <w:r>
              <w:rPr>
                <w:kern w:val="0"/>
                <w:sz w:val="24"/>
              </w:rPr>
              <w:t>项目申报阶段与自评阶段的经济效益指标设置为</w:t>
            </w:r>
            <w:r>
              <w:rPr>
                <w:rFonts w:ascii="仿宋_GB2312" w:hint="eastAsia"/>
                <w:kern w:val="0"/>
                <w:sz w:val="24"/>
              </w:rPr>
              <w:t>“</w:t>
            </w:r>
            <w:r>
              <w:rPr>
                <w:kern w:val="0"/>
                <w:sz w:val="24"/>
              </w:rPr>
              <w:t>保障农民工工资足额及时支付率</w:t>
            </w:r>
            <w:r>
              <w:rPr>
                <w:rFonts w:ascii="仿宋_GB2312" w:hint="eastAsia"/>
                <w:kern w:val="0"/>
                <w:sz w:val="24"/>
              </w:rPr>
              <w:t>”</w:t>
            </w:r>
            <w:r>
              <w:rPr>
                <w:kern w:val="0"/>
                <w:sz w:val="24"/>
              </w:rPr>
              <w:t>，该指标非经济效益指标，更偏向于社会效益；申报阶段与自评阶段的社会效益设置为</w:t>
            </w:r>
            <w:r>
              <w:rPr>
                <w:rFonts w:ascii="仿宋_GB2312" w:hint="eastAsia"/>
                <w:kern w:val="0"/>
                <w:sz w:val="24"/>
              </w:rPr>
              <w:t>“</w:t>
            </w:r>
            <w:r>
              <w:rPr>
                <w:kern w:val="0"/>
                <w:sz w:val="24"/>
              </w:rPr>
              <w:t>设计功能实现率（</w:t>
            </w:r>
            <w:r>
              <w:rPr>
                <w:kern w:val="0"/>
                <w:sz w:val="24"/>
              </w:rPr>
              <w:t>%</w:t>
            </w:r>
            <w:r>
              <w:rPr>
                <w:kern w:val="0"/>
                <w:sz w:val="24"/>
              </w:rPr>
              <w:t>）</w:t>
            </w:r>
            <w:r>
              <w:rPr>
                <w:rFonts w:ascii="仿宋_GB2312" w:hint="eastAsia"/>
                <w:kern w:val="0"/>
                <w:sz w:val="24"/>
              </w:rPr>
              <w:t>”</w:t>
            </w:r>
            <w:r>
              <w:rPr>
                <w:kern w:val="0"/>
                <w:sz w:val="24"/>
              </w:rPr>
              <w:t>，该指标更偏向于质量指标；项目指标设置分类不准确，且未包含年度实施内容所产生的产出、效益，项目决策意图未能有效体现。</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1</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29"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可衡量性</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2</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依据相关基础信息和证据判断目标设置的可衡量性，即绩效目标设置是否有数据支撑、是否有可衡量性的产出和效果指标，据此核定分数。</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根据《项目申报表》、绩效自评报告、绩效自评表等有关材料，项目设置的产出和效益指标均为定量指标，能够细化量化预期目标值，目标设置具有可衡量性。</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2</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保障措施</w:t>
            </w:r>
          </w:p>
        </w:tc>
        <w:tc>
          <w:tcPr>
            <w:tcW w:w="729"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2</w:t>
            </w: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制度完整性</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1</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依据相关基础信息和证据判断制度完整性和是否具备条件实施，根据实际情况核定分数。</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根据区道路养护中心提供的《广州东部交通枢纽中心片区基础设施配套项目管理办法》，该办法规定了具体的项目管理模式，对工程的勘察设计、监理、实施、征地拆迁等各部分工作进行相关规定，财务部分根据《广州市增城区交通运输局财务管理办法》的有关规定进行项目预算支出与管理，项目保障制度基本完整。</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1</w:t>
            </w:r>
          </w:p>
        </w:tc>
      </w:tr>
      <w:tr w:rsidR="0029667E">
        <w:trPr>
          <w:trHeight w:val="37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29"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计划安排合理性</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1</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依据工作进度计划等相关基础信息和证据判断，并根据实际情况核定分数。</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项目制定了《新塘站片区路网一包一标项目施工节点工期计划》《新塘站片区路网二标项目施工节点》，对项目各部分工程的施工节点制定了较为详细的计划，但在实际施工中，一、二标段均未能按时推进施工进度实现施工节点计划，主要原因是未将专业管线迁</w:t>
            </w:r>
            <w:proofErr w:type="gramStart"/>
            <w:r>
              <w:rPr>
                <w:kern w:val="0"/>
                <w:sz w:val="24"/>
              </w:rPr>
              <w:t>改及群众征拆问题</w:t>
            </w:r>
            <w:proofErr w:type="gramEnd"/>
            <w:r>
              <w:rPr>
                <w:kern w:val="0"/>
                <w:sz w:val="24"/>
              </w:rPr>
              <w:t>所需的时间纳入计划制定的</w:t>
            </w:r>
            <w:proofErr w:type="gramStart"/>
            <w:r>
              <w:rPr>
                <w:kern w:val="0"/>
                <w:sz w:val="24"/>
              </w:rPr>
              <w:t>考量</w:t>
            </w:r>
            <w:proofErr w:type="gramEnd"/>
            <w:r>
              <w:rPr>
                <w:kern w:val="0"/>
                <w:sz w:val="24"/>
              </w:rPr>
              <w:t>范围，项目实际工期较计划工期滞后，计划安排的合理性有待进一步提高。</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0.5</w:t>
            </w:r>
          </w:p>
        </w:tc>
      </w:tr>
      <w:tr w:rsidR="0029667E">
        <w:trPr>
          <w:trHeight w:val="90"/>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083"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资金落实</w:t>
            </w:r>
          </w:p>
        </w:tc>
        <w:tc>
          <w:tcPr>
            <w:tcW w:w="732"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8</w:t>
            </w:r>
          </w:p>
        </w:tc>
        <w:tc>
          <w:tcPr>
            <w:tcW w:w="1596"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资金到位</w:t>
            </w:r>
          </w:p>
        </w:tc>
        <w:tc>
          <w:tcPr>
            <w:tcW w:w="729"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5</w:t>
            </w: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资金到位率</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3</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1.</w:t>
            </w:r>
            <w:r>
              <w:rPr>
                <w:kern w:val="0"/>
                <w:sz w:val="24"/>
              </w:rPr>
              <w:t>各类来源的资金足额到位的，得</w:t>
            </w:r>
            <w:r>
              <w:rPr>
                <w:kern w:val="0"/>
                <w:sz w:val="24"/>
              </w:rPr>
              <w:t>3</w:t>
            </w:r>
            <w:r>
              <w:rPr>
                <w:kern w:val="0"/>
                <w:sz w:val="24"/>
              </w:rPr>
              <w:t>分；</w:t>
            </w:r>
          </w:p>
          <w:p w:rsidR="0029667E" w:rsidRDefault="005F36FF">
            <w:pPr>
              <w:widowControl/>
              <w:snapToGrid w:val="0"/>
              <w:spacing w:line="240" w:lineRule="auto"/>
              <w:ind w:firstLineChars="0" w:firstLine="0"/>
              <w:rPr>
                <w:kern w:val="0"/>
                <w:sz w:val="24"/>
              </w:rPr>
            </w:pPr>
            <w:r>
              <w:rPr>
                <w:kern w:val="0"/>
                <w:sz w:val="24"/>
              </w:rPr>
              <w:t>2.</w:t>
            </w:r>
            <w:r>
              <w:rPr>
                <w:kern w:val="0"/>
                <w:sz w:val="24"/>
              </w:rPr>
              <w:t>各类来源的资金未足额到位的，按实际到位金额</w:t>
            </w:r>
            <w:r>
              <w:rPr>
                <w:kern w:val="0"/>
                <w:sz w:val="24"/>
              </w:rPr>
              <w:t>/</w:t>
            </w:r>
            <w:r>
              <w:rPr>
                <w:kern w:val="0"/>
                <w:sz w:val="24"/>
              </w:rPr>
              <w:t>应到位金额</w:t>
            </w:r>
            <w:r>
              <w:rPr>
                <w:kern w:val="0"/>
                <w:sz w:val="24"/>
              </w:rPr>
              <w:t>*</w:t>
            </w:r>
            <w:r>
              <w:rPr>
                <w:kern w:val="0"/>
                <w:sz w:val="24"/>
              </w:rPr>
              <w:t>指标分值测算。</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根据增城区财政局的预算下达与调整文件《广州市增城区财政局关于广州市增城区交通运输局</w:t>
            </w:r>
            <w:r>
              <w:rPr>
                <w:kern w:val="0"/>
                <w:sz w:val="24"/>
              </w:rPr>
              <w:t>2023</w:t>
            </w:r>
            <w:r>
              <w:rPr>
                <w:kern w:val="0"/>
                <w:sz w:val="24"/>
              </w:rPr>
              <w:t>年预算的通知》（增财〔</w:t>
            </w:r>
            <w:r>
              <w:rPr>
                <w:kern w:val="0"/>
                <w:sz w:val="24"/>
              </w:rPr>
              <w:t>2023</w:t>
            </w:r>
            <w:r>
              <w:rPr>
                <w:kern w:val="0"/>
                <w:sz w:val="24"/>
              </w:rPr>
              <w:t>〕</w:t>
            </w:r>
            <w:r>
              <w:rPr>
                <w:kern w:val="0"/>
                <w:sz w:val="24"/>
              </w:rPr>
              <w:t>231</w:t>
            </w:r>
            <w:r>
              <w:rPr>
                <w:kern w:val="0"/>
                <w:sz w:val="24"/>
              </w:rPr>
              <w:t>号）、《广州市增城区财政局关于批复</w:t>
            </w:r>
            <w:r>
              <w:rPr>
                <w:kern w:val="0"/>
                <w:sz w:val="24"/>
              </w:rPr>
              <w:t>2023</w:t>
            </w:r>
            <w:r>
              <w:rPr>
                <w:kern w:val="0"/>
                <w:sz w:val="24"/>
              </w:rPr>
              <w:t>年第一次预算调整指标的通知》（增财〔</w:t>
            </w:r>
            <w:r>
              <w:rPr>
                <w:kern w:val="0"/>
                <w:sz w:val="24"/>
              </w:rPr>
              <w:t>2023</w:t>
            </w:r>
            <w:r>
              <w:rPr>
                <w:kern w:val="0"/>
                <w:sz w:val="24"/>
              </w:rPr>
              <w:t>〕</w:t>
            </w:r>
            <w:r>
              <w:rPr>
                <w:kern w:val="0"/>
                <w:sz w:val="24"/>
              </w:rPr>
              <w:t>452</w:t>
            </w:r>
            <w:r>
              <w:rPr>
                <w:kern w:val="0"/>
                <w:sz w:val="24"/>
              </w:rPr>
              <w:t>号）、《广州市增城区财政局关于批复</w:t>
            </w:r>
            <w:r>
              <w:rPr>
                <w:kern w:val="0"/>
                <w:sz w:val="24"/>
              </w:rPr>
              <w:t>2023</w:t>
            </w:r>
            <w:r>
              <w:rPr>
                <w:kern w:val="0"/>
                <w:sz w:val="24"/>
              </w:rPr>
              <w:t>年第二次预算调整指标的通知》（增财〔</w:t>
            </w:r>
            <w:r>
              <w:rPr>
                <w:kern w:val="0"/>
                <w:sz w:val="24"/>
              </w:rPr>
              <w:t>2023</w:t>
            </w:r>
            <w:r>
              <w:rPr>
                <w:kern w:val="0"/>
                <w:sz w:val="24"/>
              </w:rPr>
              <w:t>〕</w:t>
            </w:r>
            <w:r>
              <w:rPr>
                <w:kern w:val="0"/>
                <w:sz w:val="24"/>
              </w:rPr>
              <w:t>680</w:t>
            </w:r>
            <w:r>
              <w:rPr>
                <w:kern w:val="0"/>
                <w:sz w:val="24"/>
              </w:rPr>
              <w:t>号），以及《广州市增城区财政局关于转发广州市财政局关于下达</w:t>
            </w:r>
            <w:r>
              <w:rPr>
                <w:kern w:val="0"/>
                <w:sz w:val="24"/>
              </w:rPr>
              <w:t>2023</w:t>
            </w:r>
            <w:r>
              <w:rPr>
                <w:kern w:val="0"/>
                <w:sz w:val="24"/>
              </w:rPr>
              <w:t>年</w:t>
            </w:r>
            <w:r>
              <w:rPr>
                <w:kern w:val="0"/>
                <w:sz w:val="24"/>
              </w:rPr>
              <w:t>1</w:t>
            </w:r>
            <w:r>
              <w:rPr>
                <w:kern w:val="0"/>
                <w:sz w:val="24"/>
              </w:rPr>
              <w:t>月地方政府新增债券转贷资金的通知》（增财〔</w:t>
            </w:r>
            <w:r>
              <w:rPr>
                <w:kern w:val="0"/>
                <w:sz w:val="24"/>
              </w:rPr>
              <w:t>2023</w:t>
            </w:r>
            <w:r>
              <w:rPr>
                <w:kern w:val="0"/>
                <w:sz w:val="24"/>
              </w:rPr>
              <w:t>〕</w:t>
            </w:r>
            <w:r>
              <w:rPr>
                <w:kern w:val="0"/>
                <w:sz w:val="24"/>
              </w:rPr>
              <w:t>65</w:t>
            </w:r>
            <w:r>
              <w:rPr>
                <w:kern w:val="0"/>
                <w:sz w:val="24"/>
              </w:rPr>
              <w:t>号）、《广州市增城区财政局关于转发广州市财政局关于下达</w:t>
            </w:r>
            <w:r>
              <w:rPr>
                <w:kern w:val="0"/>
                <w:sz w:val="24"/>
              </w:rPr>
              <w:t>2023</w:t>
            </w:r>
            <w:r>
              <w:rPr>
                <w:kern w:val="0"/>
                <w:sz w:val="24"/>
              </w:rPr>
              <w:t>年</w:t>
            </w:r>
            <w:r>
              <w:rPr>
                <w:kern w:val="0"/>
                <w:sz w:val="24"/>
              </w:rPr>
              <w:t>4</w:t>
            </w:r>
            <w:r>
              <w:rPr>
                <w:kern w:val="0"/>
                <w:sz w:val="24"/>
              </w:rPr>
              <w:t>月地方政府新增债券转贷资金的通知》（增财〔</w:t>
            </w:r>
            <w:r>
              <w:rPr>
                <w:kern w:val="0"/>
                <w:sz w:val="24"/>
              </w:rPr>
              <w:t>2023</w:t>
            </w:r>
            <w:r>
              <w:rPr>
                <w:kern w:val="0"/>
                <w:sz w:val="24"/>
              </w:rPr>
              <w:t>〕</w:t>
            </w:r>
            <w:r>
              <w:rPr>
                <w:kern w:val="0"/>
                <w:sz w:val="24"/>
              </w:rPr>
              <w:t>251</w:t>
            </w:r>
            <w:r>
              <w:rPr>
                <w:kern w:val="0"/>
                <w:sz w:val="24"/>
              </w:rPr>
              <w:t>号）等，结合项目资金的使用情况，项目</w:t>
            </w:r>
            <w:r>
              <w:rPr>
                <w:kern w:val="0"/>
                <w:sz w:val="24"/>
              </w:rPr>
              <w:t>2023</w:t>
            </w:r>
            <w:r>
              <w:rPr>
                <w:kern w:val="0"/>
                <w:sz w:val="24"/>
              </w:rPr>
              <w:t>年使用的专项债券资金</w:t>
            </w:r>
            <w:r>
              <w:rPr>
                <w:kern w:val="0"/>
                <w:sz w:val="24"/>
              </w:rPr>
              <w:t>67152.86</w:t>
            </w:r>
            <w:r>
              <w:rPr>
                <w:kern w:val="0"/>
                <w:sz w:val="24"/>
              </w:rPr>
              <w:t>万元，区级财政资金</w:t>
            </w:r>
            <w:r>
              <w:rPr>
                <w:kern w:val="0"/>
                <w:sz w:val="24"/>
              </w:rPr>
              <w:t>128.69</w:t>
            </w:r>
            <w:r>
              <w:rPr>
                <w:kern w:val="0"/>
                <w:sz w:val="24"/>
              </w:rPr>
              <w:t>万元均足额到位，资金到位率</w:t>
            </w:r>
            <w:r>
              <w:rPr>
                <w:kern w:val="0"/>
                <w:sz w:val="24"/>
              </w:rPr>
              <w:t>100%</w:t>
            </w:r>
            <w:r>
              <w:rPr>
                <w:kern w:val="0"/>
                <w:sz w:val="24"/>
              </w:rPr>
              <w:t>。</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3</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29"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资金到位及时性</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2</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1.</w:t>
            </w:r>
            <w:r>
              <w:rPr>
                <w:kern w:val="0"/>
                <w:sz w:val="24"/>
              </w:rPr>
              <w:t>各类来源的资金及时到位的，得</w:t>
            </w:r>
            <w:r>
              <w:rPr>
                <w:kern w:val="0"/>
                <w:sz w:val="24"/>
              </w:rPr>
              <w:t>2</w:t>
            </w:r>
            <w:r>
              <w:rPr>
                <w:kern w:val="0"/>
                <w:sz w:val="24"/>
              </w:rPr>
              <w:t>分；</w:t>
            </w:r>
          </w:p>
          <w:p w:rsidR="0029667E" w:rsidRDefault="005F36FF">
            <w:pPr>
              <w:widowControl/>
              <w:snapToGrid w:val="0"/>
              <w:spacing w:line="240" w:lineRule="auto"/>
              <w:ind w:firstLineChars="0" w:firstLine="0"/>
              <w:rPr>
                <w:kern w:val="0"/>
                <w:sz w:val="24"/>
              </w:rPr>
            </w:pPr>
            <w:r>
              <w:rPr>
                <w:kern w:val="0"/>
                <w:sz w:val="24"/>
              </w:rPr>
              <w:t>2.</w:t>
            </w:r>
            <w:r>
              <w:rPr>
                <w:kern w:val="0"/>
                <w:sz w:val="24"/>
              </w:rPr>
              <w:t>各类来源的资金未及时到位的，按实际及时到位的金额</w:t>
            </w:r>
            <w:r>
              <w:rPr>
                <w:kern w:val="0"/>
                <w:sz w:val="24"/>
              </w:rPr>
              <w:t>/</w:t>
            </w:r>
            <w:r>
              <w:rPr>
                <w:kern w:val="0"/>
                <w:sz w:val="24"/>
              </w:rPr>
              <w:t>应及时到位的金额</w:t>
            </w:r>
            <w:r>
              <w:rPr>
                <w:kern w:val="0"/>
                <w:sz w:val="24"/>
              </w:rPr>
              <w:t>*</w:t>
            </w:r>
            <w:r>
              <w:rPr>
                <w:kern w:val="0"/>
                <w:sz w:val="24"/>
              </w:rPr>
              <w:t>指标分值。</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根据增城区财政局的预算下达与调整文件《广州市增城区财政局关于广州市增城区交通运输局</w:t>
            </w:r>
            <w:r>
              <w:rPr>
                <w:kern w:val="0"/>
                <w:sz w:val="24"/>
              </w:rPr>
              <w:t>2023</w:t>
            </w:r>
            <w:r>
              <w:rPr>
                <w:kern w:val="0"/>
                <w:sz w:val="24"/>
              </w:rPr>
              <w:t>年预算的通知》（增财〔</w:t>
            </w:r>
            <w:r>
              <w:rPr>
                <w:kern w:val="0"/>
                <w:sz w:val="24"/>
              </w:rPr>
              <w:t>2023</w:t>
            </w:r>
            <w:r>
              <w:rPr>
                <w:kern w:val="0"/>
                <w:sz w:val="24"/>
              </w:rPr>
              <w:t>〕</w:t>
            </w:r>
            <w:r>
              <w:rPr>
                <w:kern w:val="0"/>
                <w:sz w:val="24"/>
              </w:rPr>
              <w:t>231</w:t>
            </w:r>
            <w:r>
              <w:rPr>
                <w:kern w:val="0"/>
                <w:sz w:val="24"/>
              </w:rPr>
              <w:t>号）、《广州市增城区财政局关于批复</w:t>
            </w:r>
            <w:r>
              <w:rPr>
                <w:kern w:val="0"/>
                <w:sz w:val="24"/>
              </w:rPr>
              <w:t>2023</w:t>
            </w:r>
            <w:r>
              <w:rPr>
                <w:kern w:val="0"/>
                <w:sz w:val="24"/>
              </w:rPr>
              <w:t>年第一次预算调整指标的通知》（增财〔</w:t>
            </w:r>
            <w:r>
              <w:rPr>
                <w:kern w:val="0"/>
                <w:sz w:val="24"/>
              </w:rPr>
              <w:t>2023</w:t>
            </w:r>
            <w:r>
              <w:rPr>
                <w:kern w:val="0"/>
                <w:sz w:val="24"/>
              </w:rPr>
              <w:t>〕</w:t>
            </w:r>
            <w:r>
              <w:rPr>
                <w:kern w:val="0"/>
                <w:sz w:val="24"/>
              </w:rPr>
              <w:t>452</w:t>
            </w:r>
            <w:r>
              <w:rPr>
                <w:kern w:val="0"/>
                <w:sz w:val="24"/>
              </w:rPr>
              <w:t>号）、《广州市增城区财政局关于批复</w:t>
            </w:r>
            <w:r>
              <w:rPr>
                <w:kern w:val="0"/>
                <w:sz w:val="24"/>
              </w:rPr>
              <w:t>2023</w:t>
            </w:r>
            <w:r>
              <w:rPr>
                <w:kern w:val="0"/>
                <w:sz w:val="24"/>
              </w:rPr>
              <w:t>年第二次预算调整指标的通知》（增财〔</w:t>
            </w:r>
            <w:r>
              <w:rPr>
                <w:kern w:val="0"/>
                <w:sz w:val="24"/>
              </w:rPr>
              <w:t>2023</w:t>
            </w:r>
            <w:r>
              <w:rPr>
                <w:kern w:val="0"/>
                <w:sz w:val="24"/>
              </w:rPr>
              <w:t>〕</w:t>
            </w:r>
            <w:r>
              <w:rPr>
                <w:kern w:val="0"/>
                <w:sz w:val="24"/>
              </w:rPr>
              <w:t>680</w:t>
            </w:r>
            <w:r>
              <w:rPr>
                <w:kern w:val="0"/>
                <w:sz w:val="24"/>
              </w:rPr>
              <w:t>号），以及增城区财政局债券下达文件《广州市增城区财政局关于转发广州市财政局关于下达</w:t>
            </w:r>
            <w:r>
              <w:rPr>
                <w:kern w:val="0"/>
                <w:sz w:val="24"/>
              </w:rPr>
              <w:t>2023</w:t>
            </w:r>
            <w:r>
              <w:rPr>
                <w:kern w:val="0"/>
                <w:sz w:val="24"/>
              </w:rPr>
              <w:t>年</w:t>
            </w:r>
            <w:r>
              <w:rPr>
                <w:kern w:val="0"/>
                <w:sz w:val="24"/>
              </w:rPr>
              <w:t>1</w:t>
            </w:r>
            <w:r>
              <w:rPr>
                <w:kern w:val="0"/>
                <w:sz w:val="24"/>
              </w:rPr>
              <w:t>月地方政府新增债券转贷资金的通知》（增财〔</w:t>
            </w:r>
            <w:r>
              <w:rPr>
                <w:kern w:val="0"/>
                <w:sz w:val="24"/>
              </w:rPr>
              <w:t>2023</w:t>
            </w:r>
            <w:r>
              <w:rPr>
                <w:kern w:val="0"/>
                <w:sz w:val="24"/>
              </w:rPr>
              <w:t>〕</w:t>
            </w:r>
            <w:r>
              <w:rPr>
                <w:kern w:val="0"/>
                <w:sz w:val="24"/>
              </w:rPr>
              <w:t>65</w:t>
            </w:r>
            <w:r>
              <w:rPr>
                <w:kern w:val="0"/>
                <w:sz w:val="24"/>
              </w:rPr>
              <w:t>号）、《广州市增城区财政局关于转发广州市财政局</w:t>
            </w:r>
            <w:r>
              <w:rPr>
                <w:kern w:val="0"/>
                <w:sz w:val="24"/>
              </w:rPr>
              <w:t>关于下达</w:t>
            </w:r>
            <w:r>
              <w:rPr>
                <w:kern w:val="0"/>
                <w:sz w:val="24"/>
              </w:rPr>
              <w:t>2023</w:t>
            </w:r>
            <w:r>
              <w:rPr>
                <w:kern w:val="0"/>
                <w:sz w:val="24"/>
              </w:rPr>
              <w:t>年</w:t>
            </w:r>
            <w:r>
              <w:rPr>
                <w:kern w:val="0"/>
                <w:sz w:val="24"/>
              </w:rPr>
              <w:t>4</w:t>
            </w:r>
            <w:r>
              <w:rPr>
                <w:kern w:val="0"/>
                <w:sz w:val="24"/>
              </w:rPr>
              <w:t>月地方政府新增债券转贷资金的通知》（增财〔</w:t>
            </w:r>
            <w:r>
              <w:rPr>
                <w:kern w:val="0"/>
                <w:sz w:val="24"/>
              </w:rPr>
              <w:t>2023</w:t>
            </w:r>
            <w:r>
              <w:rPr>
                <w:kern w:val="0"/>
                <w:sz w:val="24"/>
              </w:rPr>
              <w:t>〕</w:t>
            </w:r>
            <w:r>
              <w:rPr>
                <w:kern w:val="0"/>
                <w:sz w:val="24"/>
              </w:rPr>
              <w:t>251</w:t>
            </w:r>
            <w:r>
              <w:rPr>
                <w:kern w:val="0"/>
                <w:sz w:val="24"/>
              </w:rPr>
              <w:t>号）等，结合项目资金的使用情况，未发现资金到位不及时的情况，资金到位及时性</w:t>
            </w:r>
            <w:r>
              <w:rPr>
                <w:kern w:val="0"/>
                <w:sz w:val="24"/>
              </w:rPr>
              <w:t>100%</w:t>
            </w:r>
            <w:r>
              <w:rPr>
                <w:kern w:val="0"/>
                <w:sz w:val="24"/>
              </w:rPr>
              <w:t>。</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2</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资金分配</w:t>
            </w:r>
          </w:p>
        </w:tc>
        <w:tc>
          <w:tcPr>
            <w:tcW w:w="729"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3</w:t>
            </w: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资金分配合理性</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3</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依据相关信息和证据判断资金分配是否合理，是否有助于实现资金的绩效目标。</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rFonts w:hint="eastAsia"/>
                <w:kern w:val="0"/>
                <w:sz w:val="24"/>
              </w:rPr>
              <w:t>根据区道路养护中心提供的项目资金支付材料，项目资金根据合同要求及工程进度进行分配，能够按时支付工人工资、工程进度款等款项，资金分配基本合理。</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3</w:t>
            </w:r>
          </w:p>
        </w:tc>
      </w:tr>
      <w:tr w:rsidR="0029667E">
        <w:trPr>
          <w:trHeight w:val="567"/>
          <w:jc w:val="center"/>
        </w:trPr>
        <w:tc>
          <w:tcPr>
            <w:tcW w:w="1202"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过程</w:t>
            </w:r>
          </w:p>
        </w:tc>
        <w:tc>
          <w:tcPr>
            <w:tcW w:w="780"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20</w:t>
            </w:r>
          </w:p>
        </w:tc>
        <w:tc>
          <w:tcPr>
            <w:tcW w:w="1083"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资金管理</w:t>
            </w:r>
          </w:p>
        </w:tc>
        <w:tc>
          <w:tcPr>
            <w:tcW w:w="732"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12</w:t>
            </w:r>
          </w:p>
        </w:tc>
        <w:tc>
          <w:tcPr>
            <w:tcW w:w="1596"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资金支付</w:t>
            </w:r>
          </w:p>
        </w:tc>
        <w:tc>
          <w:tcPr>
            <w:tcW w:w="729"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6</w:t>
            </w: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资金支出率</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6</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主要依据</w:t>
            </w:r>
            <w:r>
              <w:rPr>
                <w:rFonts w:ascii="仿宋_GB2312" w:hint="eastAsia"/>
                <w:kern w:val="0"/>
                <w:sz w:val="24"/>
              </w:rPr>
              <w:t>“</w:t>
            </w:r>
            <w:r>
              <w:rPr>
                <w:kern w:val="0"/>
                <w:sz w:val="24"/>
              </w:rPr>
              <w:t>支付额</w:t>
            </w:r>
            <w:r>
              <w:rPr>
                <w:kern w:val="0"/>
                <w:sz w:val="24"/>
              </w:rPr>
              <w:t>/</w:t>
            </w:r>
            <w:r>
              <w:rPr>
                <w:kern w:val="0"/>
                <w:sz w:val="24"/>
              </w:rPr>
              <w:t>预算额度</w:t>
            </w:r>
            <w:r>
              <w:rPr>
                <w:kern w:val="0"/>
                <w:sz w:val="24"/>
              </w:rPr>
              <w:t>*100*</w:t>
            </w:r>
            <w:r>
              <w:rPr>
                <w:kern w:val="0"/>
                <w:sz w:val="24"/>
              </w:rPr>
              <w:t>指标权重</w:t>
            </w:r>
            <w:r>
              <w:rPr>
                <w:rFonts w:ascii="仿宋_GB2312" w:hint="eastAsia"/>
                <w:kern w:val="0"/>
                <w:sz w:val="24"/>
              </w:rPr>
              <w:t>”</w:t>
            </w:r>
            <w:r>
              <w:rPr>
                <w:kern w:val="0"/>
                <w:sz w:val="24"/>
              </w:rPr>
              <w:t>计算核定得分，同时综合考虑工作进度，以及是否垫资或履行支付手续而影响支出率等因素适当调整最后得分。</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根据《单位指标情况表》，结合项目自评表、自评报告等材料，项目年度预算</w:t>
            </w:r>
            <w:r>
              <w:rPr>
                <w:kern w:val="0"/>
                <w:sz w:val="24"/>
              </w:rPr>
              <w:t>67281.55</w:t>
            </w:r>
            <w:r>
              <w:rPr>
                <w:kern w:val="0"/>
                <w:sz w:val="24"/>
              </w:rPr>
              <w:t>万元，实际支出</w:t>
            </w:r>
            <w:r>
              <w:rPr>
                <w:kern w:val="0"/>
                <w:sz w:val="24"/>
              </w:rPr>
              <w:t>67281.55</w:t>
            </w:r>
            <w:r>
              <w:rPr>
                <w:kern w:val="0"/>
                <w:sz w:val="24"/>
              </w:rPr>
              <w:t>万元，资金支出率</w:t>
            </w:r>
            <w:r>
              <w:rPr>
                <w:kern w:val="0"/>
                <w:sz w:val="24"/>
              </w:rPr>
              <w:t>100%</w:t>
            </w:r>
            <w:r>
              <w:rPr>
                <w:kern w:val="0"/>
                <w:sz w:val="24"/>
              </w:rPr>
              <w:t>。</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6</w:t>
            </w:r>
          </w:p>
        </w:tc>
      </w:tr>
      <w:tr w:rsidR="0029667E">
        <w:trPr>
          <w:trHeight w:val="31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支出规范性</w:t>
            </w:r>
          </w:p>
        </w:tc>
        <w:tc>
          <w:tcPr>
            <w:tcW w:w="729"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6</w:t>
            </w: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支出规范性</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6</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1.</w:t>
            </w:r>
            <w:r>
              <w:rPr>
                <w:kern w:val="0"/>
                <w:sz w:val="24"/>
              </w:rPr>
              <w:t>预算执行规范性</w:t>
            </w:r>
            <w:r>
              <w:rPr>
                <w:kern w:val="0"/>
                <w:sz w:val="24"/>
              </w:rPr>
              <w:t>2</w:t>
            </w:r>
            <w:r>
              <w:rPr>
                <w:kern w:val="0"/>
                <w:sz w:val="24"/>
              </w:rPr>
              <w:t>分，按规定履行调整报批手续或未发生调整的，且按事项完成进度支付资金的得满分，否则酌情扣分。</w:t>
            </w:r>
            <w:r>
              <w:rPr>
                <w:kern w:val="0"/>
                <w:sz w:val="24"/>
              </w:rPr>
              <w:br w:type="page"/>
            </w:r>
            <w:r>
              <w:rPr>
                <w:kern w:val="0"/>
                <w:sz w:val="24"/>
              </w:rPr>
              <w:t>2.</w:t>
            </w:r>
            <w:r>
              <w:rPr>
                <w:kern w:val="0"/>
                <w:sz w:val="24"/>
              </w:rPr>
              <w:t>事项支出的合</w:t>
            </w:r>
            <w:proofErr w:type="gramStart"/>
            <w:r>
              <w:rPr>
                <w:kern w:val="0"/>
                <w:sz w:val="24"/>
              </w:rPr>
              <w:t>规</w:t>
            </w:r>
            <w:proofErr w:type="gramEnd"/>
            <w:r>
              <w:rPr>
                <w:kern w:val="0"/>
                <w:sz w:val="24"/>
              </w:rPr>
              <w:t>性</w:t>
            </w:r>
            <w:r>
              <w:rPr>
                <w:kern w:val="0"/>
                <w:sz w:val="24"/>
              </w:rPr>
              <w:t>2</w:t>
            </w:r>
            <w:r>
              <w:rPr>
                <w:kern w:val="0"/>
                <w:sz w:val="24"/>
              </w:rPr>
              <w:t>分，资金管理、费用标准、支付符合有关制度规定的得满分，超范围、超标准支出，虚列支出，截留、挤占、挪用资金的，以及其他不符合制度规定支出的，视情节严重情况扣分，直至扣到</w:t>
            </w:r>
            <w:r>
              <w:rPr>
                <w:kern w:val="0"/>
                <w:sz w:val="24"/>
              </w:rPr>
              <w:t>0</w:t>
            </w:r>
            <w:r>
              <w:rPr>
                <w:kern w:val="0"/>
                <w:sz w:val="24"/>
              </w:rPr>
              <w:t>分。</w:t>
            </w:r>
            <w:r>
              <w:rPr>
                <w:kern w:val="0"/>
                <w:sz w:val="24"/>
              </w:rPr>
              <w:br w:type="page"/>
              <w:t>3.</w:t>
            </w:r>
            <w:r>
              <w:rPr>
                <w:kern w:val="0"/>
                <w:sz w:val="24"/>
              </w:rPr>
              <w:t>会计核算规范性</w:t>
            </w:r>
            <w:r>
              <w:rPr>
                <w:kern w:val="0"/>
                <w:sz w:val="24"/>
              </w:rPr>
              <w:t>2</w:t>
            </w:r>
            <w:r>
              <w:rPr>
                <w:kern w:val="0"/>
                <w:sz w:val="24"/>
              </w:rPr>
              <w:t>分，规范执行会计核算制度得满分，未按规定设专账核算，或支出凭证不符合规定，或其他核算不规范的，视具体情况扣分。</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项目资金根据《广州市增城区交通运输局财务管理办法》进行支出、核算与管理，项目预算根据区财政局下达的预算调整文件执行，各项支出根据项目完成进度进行支付。结合现场核查情况，未发现超范围、超</w:t>
            </w:r>
            <w:r>
              <w:rPr>
                <w:kern w:val="0"/>
                <w:sz w:val="24"/>
              </w:rPr>
              <w:t>标准支出，虚列支出，截留、挤占、挪用资金或其他不符合制度规定支出的现象。</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6</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083"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事项管理</w:t>
            </w:r>
          </w:p>
        </w:tc>
        <w:tc>
          <w:tcPr>
            <w:tcW w:w="732"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8</w:t>
            </w:r>
          </w:p>
        </w:tc>
        <w:tc>
          <w:tcPr>
            <w:tcW w:w="1596"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实施程序</w:t>
            </w:r>
          </w:p>
        </w:tc>
        <w:tc>
          <w:tcPr>
            <w:tcW w:w="729"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4</w:t>
            </w: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程序规范性</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4</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项目或方案按规定程序实施，包括项目或方案调整按规定履行报批手续，项目招投标、建设、验收等或方案实施严格执行相关制度规定的，得满分，否则酌情扣分。</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项目根据《广州东部交通枢纽中心片区基础设施配套项目管理办法》的相关规定推进项目招投标、项目建设及监督管理等工作；根据区道路养护中心提供的《广州市增城区发展和改革局关于新塘站片区路网</w:t>
            </w:r>
            <w:r>
              <w:rPr>
                <w:kern w:val="0"/>
                <w:sz w:val="24"/>
              </w:rPr>
              <w:t>-</w:t>
            </w:r>
            <w:r>
              <w:rPr>
                <w:kern w:val="0"/>
                <w:sz w:val="24"/>
              </w:rPr>
              <w:t>纵一路、新源路及汽车城大道建设工程项目可行性研究报告的批复》（增发改投〔</w:t>
            </w:r>
            <w:r>
              <w:rPr>
                <w:kern w:val="0"/>
                <w:sz w:val="24"/>
              </w:rPr>
              <w:t>2019</w:t>
            </w:r>
            <w:r>
              <w:rPr>
                <w:kern w:val="0"/>
                <w:sz w:val="24"/>
              </w:rPr>
              <w:t>〕</w:t>
            </w:r>
            <w:r>
              <w:rPr>
                <w:kern w:val="0"/>
                <w:sz w:val="24"/>
              </w:rPr>
              <w:t>129</w:t>
            </w:r>
            <w:r>
              <w:rPr>
                <w:kern w:val="0"/>
                <w:sz w:val="24"/>
              </w:rPr>
              <w:t>号），项目可行性研究报告按规定获得了区发展</w:t>
            </w:r>
            <w:proofErr w:type="gramStart"/>
            <w:r>
              <w:rPr>
                <w:kern w:val="0"/>
                <w:sz w:val="24"/>
              </w:rPr>
              <w:t>改革局</w:t>
            </w:r>
            <w:proofErr w:type="gramEnd"/>
            <w:r>
              <w:rPr>
                <w:kern w:val="0"/>
                <w:sz w:val="24"/>
              </w:rPr>
              <w:t>的批复；根据《广州市增城区发展和改革局关于调整新塘站片区路网一纵一路、新源路及汽车城大道建设工程项目建设规模和建设内容的复函》（穗</w:t>
            </w:r>
            <w:proofErr w:type="gramStart"/>
            <w:r>
              <w:rPr>
                <w:kern w:val="0"/>
                <w:sz w:val="24"/>
              </w:rPr>
              <w:t>增发改函〔</w:t>
            </w:r>
            <w:r>
              <w:rPr>
                <w:kern w:val="0"/>
                <w:sz w:val="24"/>
              </w:rPr>
              <w:t>2021</w:t>
            </w:r>
            <w:r>
              <w:rPr>
                <w:kern w:val="0"/>
                <w:sz w:val="24"/>
              </w:rPr>
              <w:t>〕</w:t>
            </w:r>
            <w:proofErr w:type="gramEnd"/>
            <w:r>
              <w:rPr>
                <w:kern w:val="0"/>
                <w:sz w:val="24"/>
              </w:rPr>
              <w:t>412</w:t>
            </w:r>
            <w:r>
              <w:rPr>
                <w:kern w:val="0"/>
                <w:sz w:val="24"/>
              </w:rPr>
              <w:t>号），项目建设规模和建设内容的调整能够</w:t>
            </w:r>
            <w:r>
              <w:rPr>
                <w:kern w:val="0"/>
                <w:sz w:val="24"/>
              </w:rPr>
              <w:t>及时报送并取得区发展</w:t>
            </w:r>
            <w:proofErr w:type="gramStart"/>
            <w:r>
              <w:rPr>
                <w:kern w:val="0"/>
                <w:sz w:val="24"/>
              </w:rPr>
              <w:t>改革局</w:t>
            </w:r>
            <w:proofErr w:type="gramEnd"/>
            <w:r>
              <w:rPr>
                <w:kern w:val="0"/>
                <w:sz w:val="24"/>
              </w:rPr>
              <w:t>的批准；根据《广州市增城区交通运输局党组会议纪要》（增交</w:t>
            </w:r>
            <w:proofErr w:type="gramStart"/>
            <w:r>
              <w:rPr>
                <w:kern w:val="0"/>
                <w:sz w:val="24"/>
              </w:rPr>
              <w:t>党会纪〔</w:t>
            </w:r>
            <w:r>
              <w:rPr>
                <w:kern w:val="0"/>
                <w:sz w:val="24"/>
              </w:rPr>
              <w:t>2021</w:t>
            </w:r>
            <w:r>
              <w:rPr>
                <w:kern w:val="0"/>
                <w:sz w:val="24"/>
              </w:rPr>
              <w:t>〕</w:t>
            </w:r>
            <w:proofErr w:type="gramEnd"/>
            <w:r>
              <w:rPr>
                <w:kern w:val="0"/>
                <w:sz w:val="24"/>
              </w:rPr>
              <w:t>27</w:t>
            </w:r>
            <w:r>
              <w:rPr>
                <w:kern w:val="0"/>
                <w:sz w:val="24"/>
              </w:rPr>
              <w:t>号），合同进度款支付比例的变更经过了党组会议的审定。但在管理方面存在些许不足，一是一标段施工图预算审核工作于</w:t>
            </w:r>
            <w:r>
              <w:rPr>
                <w:kern w:val="0"/>
                <w:sz w:val="24"/>
              </w:rPr>
              <w:t>2024</w:t>
            </w:r>
            <w:r>
              <w:rPr>
                <w:kern w:val="0"/>
                <w:sz w:val="24"/>
              </w:rPr>
              <w:t>年</w:t>
            </w:r>
            <w:r>
              <w:rPr>
                <w:kern w:val="0"/>
                <w:sz w:val="24"/>
              </w:rPr>
              <w:t>6</w:t>
            </w:r>
            <w:r>
              <w:rPr>
                <w:kern w:val="0"/>
                <w:sz w:val="24"/>
              </w:rPr>
              <w:t>月完成，二标段截至</w:t>
            </w:r>
            <w:r>
              <w:rPr>
                <w:kern w:val="0"/>
                <w:sz w:val="24"/>
              </w:rPr>
              <w:t>2024</w:t>
            </w:r>
            <w:r>
              <w:rPr>
                <w:kern w:val="0"/>
                <w:sz w:val="24"/>
              </w:rPr>
              <w:t>年</w:t>
            </w:r>
            <w:r>
              <w:rPr>
                <w:kern w:val="0"/>
                <w:sz w:val="24"/>
              </w:rPr>
              <w:t>6</w:t>
            </w:r>
            <w:r>
              <w:rPr>
                <w:kern w:val="0"/>
                <w:sz w:val="24"/>
              </w:rPr>
              <w:t>月仍未完成施工图预算审核工作，项目施工图预算审核与确认工作在工程完工时仍未完成，反映审核周期过长。二是项目进度存在较大程度的滞后，且未见工程延期手续，在项目管理方面程序规范性不足。</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2</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管理情况</w:t>
            </w:r>
          </w:p>
        </w:tc>
        <w:tc>
          <w:tcPr>
            <w:tcW w:w="729"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4</w:t>
            </w: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监管有效性</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4</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1.</w:t>
            </w:r>
            <w:r>
              <w:rPr>
                <w:kern w:val="0"/>
                <w:sz w:val="24"/>
              </w:rPr>
              <w:t>资金使用单位或基层资金管理单位建立有效管理机制，且执行情况良好得</w:t>
            </w:r>
            <w:r>
              <w:rPr>
                <w:kern w:val="0"/>
                <w:sz w:val="24"/>
              </w:rPr>
              <w:t>2</w:t>
            </w:r>
            <w:r>
              <w:rPr>
                <w:kern w:val="0"/>
                <w:sz w:val="24"/>
              </w:rPr>
              <w:t>分，具体根据所提供的信息证据</w:t>
            </w:r>
            <w:proofErr w:type="gramStart"/>
            <w:r>
              <w:rPr>
                <w:kern w:val="0"/>
                <w:sz w:val="24"/>
              </w:rPr>
              <w:t>作出</w:t>
            </w:r>
            <w:proofErr w:type="gramEnd"/>
            <w:r>
              <w:rPr>
                <w:kern w:val="0"/>
                <w:sz w:val="24"/>
              </w:rPr>
              <w:t>判断并核定分数。</w:t>
            </w:r>
          </w:p>
          <w:p w:rsidR="0029667E" w:rsidRDefault="005F36FF">
            <w:pPr>
              <w:widowControl/>
              <w:snapToGrid w:val="0"/>
              <w:spacing w:line="240" w:lineRule="auto"/>
              <w:ind w:firstLineChars="0" w:firstLine="0"/>
              <w:rPr>
                <w:kern w:val="0"/>
                <w:sz w:val="24"/>
              </w:rPr>
            </w:pPr>
            <w:r>
              <w:rPr>
                <w:kern w:val="0"/>
                <w:sz w:val="24"/>
              </w:rPr>
              <w:t>2.</w:t>
            </w:r>
            <w:r>
              <w:rPr>
                <w:kern w:val="0"/>
                <w:sz w:val="24"/>
              </w:rPr>
              <w:t>具体根据所提供的信息证据</w:t>
            </w:r>
            <w:proofErr w:type="gramStart"/>
            <w:r>
              <w:rPr>
                <w:kern w:val="0"/>
                <w:sz w:val="24"/>
              </w:rPr>
              <w:t>作出</w:t>
            </w:r>
            <w:proofErr w:type="gramEnd"/>
            <w:r>
              <w:rPr>
                <w:kern w:val="0"/>
                <w:sz w:val="24"/>
              </w:rPr>
              <w:t>判断，如各级业务主管部门按规定对项目建设或方案实施开展有效的检查、监控、督促整改的，得</w:t>
            </w:r>
            <w:r>
              <w:rPr>
                <w:kern w:val="0"/>
                <w:sz w:val="24"/>
              </w:rPr>
              <w:t>2</w:t>
            </w:r>
            <w:r>
              <w:rPr>
                <w:kern w:val="0"/>
                <w:sz w:val="24"/>
              </w:rPr>
              <w:t>分；否则，视情况扣分。</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项目根据《广州东部交通枢纽中心片区基础设施配套项目管理办法》的相关规定推进项目招投标、项目建设及质量检测等管理工作；项目成立了领导小组，制定了《广州东部交通枢纽中心片区基础设施配套项目管理指挥部工作人员及分工职责方案》，对领导小组的职责和分工进行规</w:t>
            </w:r>
            <w:r>
              <w:rPr>
                <w:kern w:val="0"/>
                <w:sz w:val="24"/>
              </w:rPr>
              <w:t>定；依据《广州市增城区道路养护中心关于印发广州东部交通枢纽中心片区基础设施配套项目监理单位工作人员管理细则和设计施工总承包单位主要人员管理细则的通知》（增道发〔</w:t>
            </w:r>
            <w:r>
              <w:rPr>
                <w:kern w:val="0"/>
                <w:sz w:val="24"/>
              </w:rPr>
              <w:t>2021</w:t>
            </w:r>
            <w:r>
              <w:rPr>
                <w:kern w:val="0"/>
                <w:sz w:val="24"/>
              </w:rPr>
              <w:t>〕</w:t>
            </w:r>
            <w:r>
              <w:rPr>
                <w:kern w:val="0"/>
                <w:sz w:val="24"/>
              </w:rPr>
              <w:t>3</w:t>
            </w:r>
            <w:r>
              <w:rPr>
                <w:kern w:val="0"/>
                <w:sz w:val="24"/>
              </w:rPr>
              <w:t>号）对监理人员和设计施工主要人员进行管理。</w:t>
            </w:r>
          </w:p>
          <w:p w:rsidR="0029667E" w:rsidRDefault="005F36FF">
            <w:pPr>
              <w:widowControl/>
              <w:snapToGrid w:val="0"/>
              <w:spacing w:line="240" w:lineRule="auto"/>
              <w:ind w:firstLineChars="0" w:firstLine="0"/>
              <w:rPr>
                <w:kern w:val="0"/>
                <w:sz w:val="24"/>
              </w:rPr>
            </w:pPr>
            <w:r>
              <w:rPr>
                <w:kern w:val="0"/>
                <w:sz w:val="24"/>
              </w:rPr>
              <w:t>根据《东部中心片区基础设施配套项目工作简报》，东部中心片区配套项目管理指挥部每月报送项目进度，对存在问题提出建议；根据《广州市增城区道路养护中心关于广州东部枢纽中心片区基础设施配套项目</w:t>
            </w:r>
            <w:r>
              <w:rPr>
                <w:kern w:val="0"/>
                <w:sz w:val="24"/>
              </w:rPr>
              <w:t>2023</w:t>
            </w:r>
            <w:r>
              <w:rPr>
                <w:kern w:val="0"/>
                <w:sz w:val="24"/>
              </w:rPr>
              <w:t>年第一季度综合查情况的通报》等文件，区道路养护中心紧密跟进项目实施情况，每季度发布综合检查情况的通报，对</w:t>
            </w:r>
            <w:r>
              <w:rPr>
                <w:kern w:val="0"/>
                <w:sz w:val="24"/>
              </w:rPr>
              <w:t>项目室内作业和室外作业进行检查，对检查中发现的问题提出整改意见；根据《广州市增城区道路养护中心东部交通枢纽建设指挥部关于新塘站片区路网建设工程安全专项检查的通报》，区道路养护中心不定期对工程建设情况进行安全专项检查。</w:t>
            </w:r>
          </w:p>
          <w:p w:rsidR="0029667E" w:rsidRDefault="005F36FF">
            <w:pPr>
              <w:widowControl/>
              <w:snapToGrid w:val="0"/>
              <w:spacing w:line="240" w:lineRule="auto"/>
              <w:ind w:firstLineChars="0" w:firstLine="0"/>
              <w:rPr>
                <w:kern w:val="0"/>
                <w:sz w:val="24"/>
              </w:rPr>
            </w:pPr>
            <w:r>
              <w:rPr>
                <w:rFonts w:hint="eastAsia"/>
                <w:kern w:val="0"/>
                <w:sz w:val="24"/>
              </w:rPr>
              <w:t>但根据《广州市增城区发展和改革局关于调整新塘站片区路网一纵一路、新源路及汽车城大道建设工程项目建设规模和建设内容的复函》（穗</w:t>
            </w:r>
            <w:proofErr w:type="gramStart"/>
            <w:r>
              <w:rPr>
                <w:rFonts w:hint="eastAsia"/>
                <w:kern w:val="0"/>
                <w:sz w:val="24"/>
              </w:rPr>
              <w:t>增发改函〔</w:t>
            </w:r>
            <w:r>
              <w:rPr>
                <w:rFonts w:hint="eastAsia"/>
                <w:kern w:val="0"/>
                <w:sz w:val="24"/>
              </w:rPr>
              <w:t>2021</w:t>
            </w:r>
            <w:r>
              <w:rPr>
                <w:rFonts w:hint="eastAsia"/>
                <w:kern w:val="0"/>
                <w:sz w:val="24"/>
              </w:rPr>
              <w:t>〕</w:t>
            </w:r>
            <w:proofErr w:type="gramEnd"/>
            <w:r>
              <w:rPr>
                <w:rFonts w:hint="eastAsia"/>
                <w:kern w:val="0"/>
                <w:sz w:val="24"/>
              </w:rPr>
              <w:t>412</w:t>
            </w:r>
            <w:r>
              <w:rPr>
                <w:rFonts w:hint="eastAsia"/>
                <w:kern w:val="0"/>
                <w:sz w:val="24"/>
              </w:rPr>
              <w:t>号）以及项目一、二标段施工图，除新新公路与新源路外，项目内其他路段的建设长度在可行性研究报告和施工图中均存在不同程度的差异，如汽车城大道支线</w:t>
            </w:r>
            <w:r>
              <w:rPr>
                <w:rFonts w:hint="eastAsia"/>
                <w:kern w:val="0"/>
                <w:sz w:val="24"/>
              </w:rPr>
              <w:t>1</w:t>
            </w:r>
            <w:r>
              <w:rPr>
                <w:rFonts w:hint="eastAsia"/>
                <w:kern w:val="0"/>
                <w:sz w:val="24"/>
              </w:rPr>
              <w:t>施</w:t>
            </w:r>
            <w:r>
              <w:rPr>
                <w:rFonts w:hint="eastAsia"/>
                <w:kern w:val="0"/>
                <w:sz w:val="24"/>
              </w:rPr>
              <w:t>工图规划长度</w:t>
            </w:r>
            <w:r>
              <w:rPr>
                <w:rFonts w:hint="eastAsia"/>
                <w:kern w:val="0"/>
                <w:sz w:val="24"/>
              </w:rPr>
              <w:t>0.212</w:t>
            </w:r>
            <w:r>
              <w:rPr>
                <w:rFonts w:hint="eastAsia"/>
                <w:kern w:val="0"/>
                <w:sz w:val="24"/>
              </w:rPr>
              <w:t>公里与可行性研究报告规划长度</w:t>
            </w:r>
            <w:r>
              <w:rPr>
                <w:rFonts w:hint="eastAsia"/>
                <w:kern w:val="0"/>
                <w:sz w:val="24"/>
              </w:rPr>
              <w:t>0.437</w:t>
            </w:r>
            <w:r>
              <w:rPr>
                <w:rFonts w:hint="eastAsia"/>
                <w:kern w:val="0"/>
                <w:sz w:val="24"/>
              </w:rPr>
              <w:t>公里之间存在</w:t>
            </w:r>
            <w:r>
              <w:rPr>
                <w:rFonts w:hint="eastAsia"/>
                <w:kern w:val="0"/>
                <w:sz w:val="24"/>
              </w:rPr>
              <w:t>0.225</w:t>
            </w:r>
            <w:r>
              <w:rPr>
                <w:rFonts w:hint="eastAsia"/>
                <w:kern w:val="0"/>
                <w:sz w:val="24"/>
              </w:rPr>
              <w:t>公里的差距；环城路施工图规划长度</w:t>
            </w:r>
            <w:r>
              <w:rPr>
                <w:rFonts w:hint="eastAsia"/>
                <w:kern w:val="0"/>
                <w:sz w:val="24"/>
              </w:rPr>
              <w:t>1.7</w:t>
            </w:r>
            <w:r>
              <w:rPr>
                <w:rFonts w:hint="eastAsia"/>
                <w:kern w:val="0"/>
                <w:sz w:val="24"/>
              </w:rPr>
              <w:t>公里与可行性研究报告规划长度</w:t>
            </w:r>
            <w:r>
              <w:rPr>
                <w:rFonts w:hint="eastAsia"/>
                <w:kern w:val="0"/>
                <w:sz w:val="24"/>
              </w:rPr>
              <w:t>2.3</w:t>
            </w:r>
            <w:r>
              <w:rPr>
                <w:rFonts w:hint="eastAsia"/>
                <w:kern w:val="0"/>
                <w:sz w:val="24"/>
              </w:rPr>
              <w:t>公里之间存在</w:t>
            </w:r>
            <w:r>
              <w:rPr>
                <w:rFonts w:hint="eastAsia"/>
                <w:kern w:val="0"/>
                <w:sz w:val="24"/>
              </w:rPr>
              <w:t>0.6</w:t>
            </w:r>
            <w:r>
              <w:rPr>
                <w:rFonts w:hint="eastAsia"/>
                <w:kern w:val="0"/>
                <w:sz w:val="24"/>
              </w:rPr>
              <w:t>公里的差距。而施工图设计编制时间为</w:t>
            </w:r>
            <w:r>
              <w:rPr>
                <w:rFonts w:hint="eastAsia"/>
                <w:kern w:val="0"/>
                <w:sz w:val="24"/>
              </w:rPr>
              <w:t>2020</w:t>
            </w:r>
            <w:r>
              <w:rPr>
                <w:rFonts w:hint="eastAsia"/>
                <w:kern w:val="0"/>
                <w:sz w:val="24"/>
              </w:rPr>
              <w:t>年</w:t>
            </w:r>
            <w:r>
              <w:rPr>
                <w:rFonts w:hint="eastAsia"/>
                <w:kern w:val="0"/>
                <w:sz w:val="24"/>
              </w:rPr>
              <w:t>7</w:t>
            </w:r>
            <w:r>
              <w:rPr>
                <w:rFonts w:hint="eastAsia"/>
                <w:kern w:val="0"/>
                <w:sz w:val="24"/>
              </w:rPr>
              <w:t>月，区道路养护中心申请调整可行性研究报告时间为</w:t>
            </w:r>
            <w:r>
              <w:rPr>
                <w:rFonts w:hint="eastAsia"/>
                <w:kern w:val="0"/>
                <w:sz w:val="24"/>
              </w:rPr>
              <w:t>2021</w:t>
            </w:r>
            <w:r>
              <w:rPr>
                <w:rFonts w:hint="eastAsia"/>
                <w:kern w:val="0"/>
                <w:sz w:val="24"/>
              </w:rPr>
              <w:t>年</w:t>
            </w:r>
            <w:r>
              <w:rPr>
                <w:rFonts w:hint="eastAsia"/>
                <w:kern w:val="0"/>
                <w:sz w:val="24"/>
              </w:rPr>
              <w:t>3</w:t>
            </w:r>
            <w:r>
              <w:rPr>
                <w:rFonts w:hint="eastAsia"/>
                <w:kern w:val="0"/>
                <w:sz w:val="24"/>
              </w:rPr>
              <w:t>月，反映单位调整可行性研究报告时未将施工图设计规划数据及时同步，综上，程序管理严谨性和及时性有待加强。</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3</w:t>
            </w:r>
          </w:p>
        </w:tc>
      </w:tr>
      <w:tr w:rsidR="0029667E">
        <w:trPr>
          <w:trHeight w:val="567"/>
          <w:jc w:val="center"/>
        </w:trPr>
        <w:tc>
          <w:tcPr>
            <w:tcW w:w="1202"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产出</w:t>
            </w:r>
          </w:p>
        </w:tc>
        <w:tc>
          <w:tcPr>
            <w:tcW w:w="780"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rFonts w:hint="eastAsia"/>
                <w:kern w:val="0"/>
                <w:sz w:val="24"/>
              </w:rPr>
              <w:t>35</w:t>
            </w:r>
          </w:p>
        </w:tc>
        <w:tc>
          <w:tcPr>
            <w:tcW w:w="1083"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经济性</w:t>
            </w:r>
          </w:p>
        </w:tc>
        <w:tc>
          <w:tcPr>
            <w:tcW w:w="732"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5</w:t>
            </w:r>
          </w:p>
        </w:tc>
        <w:tc>
          <w:tcPr>
            <w:tcW w:w="1596"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预算控制</w:t>
            </w:r>
          </w:p>
        </w:tc>
        <w:tc>
          <w:tcPr>
            <w:tcW w:w="729"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3</w:t>
            </w: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预算控制</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3</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在预算执行进度与事项完成进度基本匹配的前提下，实际支出未超过预算计划的，得满分；实际支出超过预算的，或者支出未能保障事项相应完成进度的，酌情扣分。</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根据项目预算下达情况及资金使用明细。项目</w:t>
            </w:r>
            <w:r>
              <w:rPr>
                <w:kern w:val="0"/>
                <w:sz w:val="24"/>
              </w:rPr>
              <w:t>2023</w:t>
            </w:r>
            <w:r>
              <w:rPr>
                <w:kern w:val="0"/>
                <w:sz w:val="24"/>
              </w:rPr>
              <w:t>年实际支出为</w:t>
            </w:r>
            <w:r>
              <w:rPr>
                <w:kern w:val="0"/>
                <w:sz w:val="24"/>
              </w:rPr>
              <w:t>67281.55</w:t>
            </w:r>
            <w:r>
              <w:rPr>
                <w:kern w:val="0"/>
                <w:sz w:val="24"/>
              </w:rPr>
              <w:t>万元，结合现场核查沟通情况，项目根据工程进度及合同约定支付工人工资、工程进度款及其他管理费用等，实际支出未超过预算计划。</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3</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snapToGrid w:val="0"/>
              <w:spacing w:line="240" w:lineRule="auto"/>
              <w:ind w:firstLineChars="0" w:firstLine="0"/>
              <w:jc w:val="center"/>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成本控制</w:t>
            </w:r>
          </w:p>
        </w:tc>
        <w:tc>
          <w:tcPr>
            <w:tcW w:w="729"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2</w:t>
            </w: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成本节约（成本指标）</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2</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在项目按照预算完成的前提下，与同类项目或市场价格比较，项目实施的成本（包括工程造价、物品采购单价、人员经费等）属于合理范围的（如与同类项目或市场价格大致相符的）得满分；成本不合理的（如明显高于或低于同类项目或市场价格的）酌情扣分。</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根据《广州市增城区发展和改革局关于新塘站片区路网</w:t>
            </w:r>
            <w:r>
              <w:rPr>
                <w:kern w:val="0"/>
                <w:sz w:val="24"/>
              </w:rPr>
              <w:t>-</w:t>
            </w:r>
            <w:r>
              <w:rPr>
                <w:kern w:val="0"/>
                <w:sz w:val="24"/>
              </w:rPr>
              <w:t>纵一路、新源路及汽车城大道建设工程项目可行性研究报告的批复》（增发改投〔</w:t>
            </w:r>
            <w:r>
              <w:rPr>
                <w:kern w:val="0"/>
                <w:sz w:val="24"/>
              </w:rPr>
              <w:t>2019</w:t>
            </w:r>
            <w:r>
              <w:rPr>
                <w:kern w:val="0"/>
                <w:sz w:val="24"/>
              </w:rPr>
              <w:t>〕</w:t>
            </w:r>
            <w:r>
              <w:rPr>
                <w:kern w:val="0"/>
                <w:sz w:val="24"/>
              </w:rPr>
              <w:t>129</w:t>
            </w:r>
            <w:r>
              <w:rPr>
                <w:kern w:val="0"/>
                <w:sz w:val="24"/>
              </w:rPr>
              <w:t>号），项目总投资约</w:t>
            </w:r>
            <w:r>
              <w:rPr>
                <w:kern w:val="0"/>
                <w:sz w:val="24"/>
              </w:rPr>
              <w:t>25.26</w:t>
            </w:r>
            <w:r>
              <w:rPr>
                <w:kern w:val="0"/>
                <w:sz w:val="24"/>
              </w:rPr>
              <w:t>亿元。根据《广州市增城区道路养护中心关于广州东部中心片区基础设施配套项目</w:t>
            </w:r>
            <w:r>
              <w:rPr>
                <w:kern w:val="0"/>
                <w:sz w:val="24"/>
              </w:rPr>
              <w:t>2023</w:t>
            </w:r>
            <w:r>
              <w:rPr>
                <w:kern w:val="0"/>
                <w:sz w:val="24"/>
              </w:rPr>
              <w:t>年第三季度综合查情况的通报》，截至</w:t>
            </w:r>
            <w:r>
              <w:rPr>
                <w:kern w:val="0"/>
                <w:sz w:val="24"/>
              </w:rPr>
              <w:t>2023</w:t>
            </w:r>
            <w:r>
              <w:rPr>
                <w:kern w:val="0"/>
                <w:sz w:val="24"/>
              </w:rPr>
              <w:t>年</w:t>
            </w:r>
            <w:r>
              <w:rPr>
                <w:kern w:val="0"/>
                <w:sz w:val="24"/>
              </w:rPr>
              <w:t>12</w:t>
            </w:r>
            <w:r>
              <w:rPr>
                <w:kern w:val="0"/>
                <w:sz w:val="24"/>
              </w:rPr>
              <w:t>月，项目累计完成支付约</w:t>
            </w:r>
            <w:r>
              <w:rPr>
                <w:kern w:val="0"/>
                <w:sz w:val="24"/>
              </w:rPr>
              <w:t>18.94</w:t>
            </w:r>
            <w:r>
              <w:rPr>
                <w:kern w:val="0"/>
                <w:sz w:val="24"/>
              </w:rPr>
              <w:t>亿元，未超出项目计划投资规模。结合现场核查情况，未发现项目实施成本超过合理范围的情况。</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rPr>
            </w:pPr>
            <w:r>
              <w:rPr>
                <w:color w:val="000000" w:themeColor="text1"/>
                <w:kern w:val="0"/>
                <w:sz w:val="24"/>
                <w:lang w:bidi="ar"/>
              </w:rPr>
              <w:t>2</w:t>
            </w:r>
          </w:p>
        </w:tc>
      </w:tr>
      <w:tr w:rsidR="0029667E">
        <w:trPr>
          <w:trHeight w:val="332"/>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snapToGrid w:val="0"/>
              <w:spacing w:line="240" w:lineRule="auto"/>
              <w:ind w:firstLineChars="0" w:firstLine="0"/>
              <w:jc w:val="center"/>
              <w:rPr>
                <w:kern w:val="0"/>
                <w:sz w:val="24"/>
              </w:rPr>
            </w:pPr>
          </w:p>
        </w:tc>
        <w:tc>
          <w:tcPr>
            <w:tcW w:w="1083"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效率性</w:t>
            </w:r>
          </w:p>
        </w:tc>
        <w:tc>
          <w:tcPr>
            <w:tcW w:w="732"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30</w:t>
            </w:r>
          </w:p>
        </w:tc>
        <w:tc>
          <w:tcPr>
            <w:tcW w:w="1596"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完成进度</w:t>
            </w:r>
          </w:p>
        </w:tc>
        <w:tc>
          <w:tcPr>
            <w:tcW w:w="729"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18</w:t>
            </w:r>
          </w:p>
        </w:tc>
        <w:tc>
          <w:tcPr>
            <w:tcW w:w="147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工程进度达标率</w:t>
            </w:r>
          </w:p>
        </w:tc>
        <w:tc>
          <w:tcPr>
            <w:tcW w:w="75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5</w:t>
            </w:r>
          </w:p>
        </w:tc>
        <w:tc>
          <w:tcPr>
            <w:tcW w:w="3180" w:type="dxa"/>
            <w:shd w:val="clear" w:color="auto" w:fill="auto"/>
            <w:vAlign w:val="center"/>
          </w:tcPr>
          <w:p w:rsidR="0029667E" w:rsidRDefault="005F36FF">
            <w:pPr>
              <w:widowControl/>
              <w:snapToGrid w:val="0"/>
              <w:spacing w:line="240" w:lineRule="auto"/>
              <w:ind w:firstLineChars="0" w:firstLine="0"/>
              <w:jc w:val="left"/>
              <w:textAlignment w:val="center"/>
              <w:rPr>
                <w:kern w:val="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100%</w:t>
            </w:r>
            <w:r>
              <w:rPr>
                <w:rFonts w:ascii="仿宋_GB2312" w:hint="eastAsia"/>
                <w:color w:val="000000"/>
                <w:kern w:val="0"/>
                <w:sz w:val="24"/>
                <w:lang w:bidi="ar"/>
              </w:rPr>
              <w:t>”</w:t>
            </w:r>
            <w:r>
              <w:rPr>
                <w:color w:val="000000"/>
                <w:kern w:val="0"/>
                <w:sz w:val="24"/>
                <w:lang w:bidi="ar"/>
              </w:rPr>
              <w:t>，根据工程建设进度实际情况进行评分，按照合同及可行性研究报告等文件约定的前期招投标、设计、施工、设备安装调试、竣工验收各阶段任务进度推进工程建设得满分，否则按照滞后情况酌情扣分。</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根据一、二标段施工合同，一、二标段施工计划工期均为</w:t>
            </w:r>
            <w:r>
              <w:rPr>
                <w:kern w:val="0"/>
                <w:sz w:val="24"/>
              </w:rPr>
              <w:t>18</w:t>
            </w:r>
            <w:r>
              <w:rPr>
                <w:kern w:val="0"/>
                <w:sz w:val="24"/>
              </w:rPr>
              <w:t>个月，总工期均为</w:t>
            </w:r>
            <w:r>
              <w:rPr>
                <w:kern w:val="0"/>
                <w:sz w:val="24"/>
              </w:rPr>
              <w:t>22</w:t>
            </w:r>
            <w:r>
              <w:rPr>
                <w:kern w:val="0"/>
                <w:sz w:val="24"/>
              </w:rPr>
              <w:t>个月。实际根据项目一、二标段施工总结报告，一、二标段开工时间均为</w:t>
            </w:r>
            <w:r>
              <w:rPr>
                <w:kern w:val="0"/>
                <w:sz w:val="24"/>
              </w:rPr>
              <w:t>2020</w:t>
            </w:r>
            <w:r>
              <w:rPr>
                <w:kern w:val="0"/>
                <w:sz w:val="24"/>
              </w:rPr>
              <w:t>年</w:t>
            </w:r>
            <w:r>
              <w:rPr>
                <w:kern w:val="0"/>
                <w:sz w:val="24"/>
              </w:rPr>
              <w:t>9</w:t>
            </w:r>
            <w:r>
              <w:rPr>
                <w:kern w:val="0"/>
                <w:sz w:val="24"/>
              </w:rPr>
              <w:t>月</w:t>
            </w:r>
            <w:r>
              <w:rPr>
                <w:kern w:val="0"/>
                <w:sz w:val="24"/>
              </w:rPr>
              <w:t>11</w:t>
            </w:r>
            <w:r>
              <w:rPr>
                <w:kern w:val="0"/>
                <w:sz w:val="24"/>
              </w:rPr>
              <w:t>日，一标段完工时间为</w:t>
            </w:r>
            <w:r>
              <w:rPr>
                <w:kern w:val="0"/>
                <w:sz w:val="24"/>
              </w:rPr>
              <w:t>2023</w:t>
            </w:r>
            <w:r>
              <w:rPr>
                <w:kern w:val="0"/>
                <w:sz w:val="24"/>
              </w:rPr>
              <w:t>年</w:t>
            </w:r>
            <w:r>
              <w:rPr>
                <w:kern w:val="0"/>
                <w:sz w:val="24"/>
              </w:rPr>
              <w:t>12</w:t>
            </w:r>
            <w:r>
              <w:rPr>
                <w:kern w:val="0"/>
                <w:sz w:val="24"/>
              </w:rPr>
              <w:t>月</w:t>
            </w:r>
            <w:r>
              <w:rPr>
                <w:kern w:val="0"/>
                <w:sz w:val="24"/>
              </w:rPr>
              <w:t>31</w:t>
            </w:r>
            <w:r>
              <w:rPr>
                <w:kern w:val="0"/>
                <w:sz w:val="24"/>
              </w:rPr>
              <w:t>日，二标段完工时间为</w:t>
            </w:r>
            <w:r>
              <w:rPr>
                <w:kern w:val="0"/>
                <w:sz w:val="24"/>
              </w:rPr>
              <w:t>2023</w:t>
            </w:r>
            <w:r>
              <w:rPr>
                <w:kern w:val="0"/>
                <w:sz w:val="24"/>
              </w:rPr>
              <w:t>年</w:t>
            </w:r>
            <w:r>
              <w:rPr>
                <w:kern w:val="0"/>
                <w:sz w:val="24"/>
              </w:rPr>
              <w:t>9</w:t>
            </w:r>
            <w:r>
              <w:rPr>
                <w:kern w:val="0"/>
                <w:sz w:val="24"/>
              </w:rPr>
              <w:t>月</w:t>
            </w:r>
            <w:r>
              <w:rPr>
                <w:kern w:val="0"/>
                <w:sz w:val="24"/>
              </w:rPr>
              <w:t>30</w:t>
            </w:r>
            <w:r>
              <w:rPr>
                <w:kern w:val="0"/>
                <w:sz w:val="24"/>
              </w:rPr>
              <w:t>日，工程进度存在较大程度滞后，</w:t>
            </w:r>
            <w:r>
              <w:rPr>
                <w:kern w:val="0"/>
                <w:sz w:val="24"/>
              </w:rPr>
              <w:tab/>
            </w:r>
            <w:r>
              <w:rPr>
                <w:kern w:val="0"/>
                <w:sz w:val="24"/>
              </w:rPr>
              <w:t>且未见工程延期手续，结合现场核查情况，滞后原因主要为涉及专业管线迁移及用地问题</w:t>
            </w:r>
            <w:proofErr w:type="gramStart"/>
            <w:r>
              <w:rPr>
                <w:kern w:val="0"/>
                <w:sz w:val="24"/>
              </w:rPr>
              <w:t>征拆工作</w:t>
            </w:r>
            <w:proofErr w:type="gramEnd"/>
            <w:r>
              <w:rPr>
                <w:kern w:val="0"/>
                <w:sz w:val="24"/>
              </w:rPr>
              <w:t>涉及群众赔偿与搬迁问题，难以按原定计划时间完成。</w:t>
            </w:r>
            <w:r>
              <w:rPr>
                <w:kern w:val="0"/>
                <w:sz w:val="24"/>
              </w:rPr>
              <w:t>2024</w:t>
            </w:r>
            <w:r>
              <w:rPr>
                <w:kern w:val="0"/>
                <w:sz w:val="24"/>
              </w:rPr>
              <w:t>年</w:t>
            </w:r>
            <w:r>
              <w:rPr>
                <w:kern w:val="0"/>
                <w:sz w:val="24"/>
              </w:rPr>
              <w:t>5</w:t>
            </w:r>
            <w:r>
              <w:rPr>
                <w:kern w:val="0"/>
                <w:sz w:val="24"/>
              </w:rPr>
              <w:t>月</w:t>
            </w:r>
            <w:r>
              <w:rPr>
                <w:kern w:val="0"/>
                <w:sz w:val="24"/>
              </w:rPr>
              <w:t>28</w:t>
            </w:r>
            <w:r>
              <w:rPr>
                <w:kern w:val="0"/>
                <w:sz w:val="24"/>
              </w:rPr>
              <w:t>日，区道路养护中心向增城区交通工程质量监督站提交了《广州市交通建设项目交工质量核验申请书》，申</w:t>
            </w:r>
            <w:r>
              <w:rPr>
                <w:kern w:val="0"/>
                <w:sz w:val="24"/>
              </w:rPr>
              <w:t>请项目一标段交工质量核验，二标段计划于</w:t>
            </w:r>
            <w:r>
              <w:rPr>
                <w:kern w:val="0"/>
                <w:sz w:val="24"/>
              </w:rPr>
              <w:t>2024</w:t>
            </w:r>
            <w:r>
              <w:rPr>
                <w:kern w:val="0"/>
                <w:sz w:val="24"/>
              </w:rPr>
              <w:t>年</w:t>
            </w:r>
            <w:r>
              <w:rPr>
                <w:kern w:val="0"/>
                <w:sz w:val="24"/>
              </w:rPr>
              <w:t>9</w:t>
            </w:r>
            <w:r>
              <w:rPr>
                <w:kern w:val="0"/>
                <w:sz w:val="24"/>
              </w:rPr>
              <w:t>月办理交工验收手续，截至</w:t>
            </w:r>
            <w:r>
              <w:rPr>
                <w:kern w:val="0"/>
                <w:sz w:val="24"/>
              </w:rPr>
              <w:t>2024</w:t>
            </w:r>
            <w:r>
              <w:rPr>
                <w:kern w:val="0"/>
                <w:sz w:val="24"/>
              </w:rPr>
              <w:t>年</w:t>
            </w:r>
            <w:r>
              <w:rPr>
                <w:kern w:val="0"/>
                <w:sz w:val="24"/>
              </w:rPr>
              <w:t>6</w:t>
            </w:r>
            <w:r>
              <w:rPr>
                <w:kern w:val="0"/>
                <w:sz w:val="24"/>
              </w:rPr>
              <w:t>月，项目一、二标段的验收手续尚未完成办理。</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lang w:bidi="ar"/>
              </w:rPr>
            </w:pPr>
            <w:r>
              <w:rPr>
                <w:color w:val="000000" w:themeColor="text1"/>
                <w:kern w:val="0"/>
                <w:sz w:val="24"/>
                <w:lang w:bidi="ar"/>
              </w:rPr>
              <w:t>3</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snapToGrid w:val="0"/>
              <w:spacing w:line="240" w:lineRule="auto"/>
              <w:ind w:firstLineChars="0" w:firstLine="0"/>
              <w:jc w:val="center"/>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vMerge/>
            <w:shd w:val="clear" w:color="auto" w:fill="auto"/>
            <w:vAlign w:val="center"/>
          </w:tcPr>
          <w:p w:rsidR="0029667E" w:rsidRDefault="0029667E">
            <w:pPr>
              <w:widowControl/>
              <w:snapToGrid w:val="0"/>
              <w:spacing w:line="240" w:lineRule="auto"/>
              <w:ind w:firstLineChars="0" w:firstLine="0"/>
              <w:jc w:val="center"/>
              <w:rPr>
                <w:kern w:val="0"/>
                <w:sz w:val="24"/>
              </w:rPr>
            </w:pPr>
          </w:p>
        </w:tc>
        <w:tc>
          <w:tcPr>
            <w:tcW w:w="729" w:type="dxa"/>
            <w:vMerge/>
            <w:shd w:val="clear" w:color="auto" w:fill="auto"/>
            <w:vAlign w:val="center"/>
          </w:tcPr>
          <w:p w:rsidR="0029667E" w:rsidRDefault="0029667E">
            <w:pPr>
              <w:widowControl/>
              <w:snapToGrid w:val="0"/>
              <w:spacing w:line="240" w:lineRule="auto"/>
              <w:ind w:firstLineChars="0" w:firstLine="0"/>
              <w:jc w:val="center"/>
              <w:rPr>
                <w:kern w:val="0"/>
                <w:sz w:val="24"/>
              </w:rPr>
            </w:pPr>
          </w:p>
        </w:tc>
        <w:tc>
          <w:tcPr>
            <w:tcW w:w="147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新建道路里程</w:t>
            </w:r>
          </w:p>
        </w:tc>
        <w:tc>
          <w:tcPr>
            <w:tcW w:w="75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5</w:t>
            </w:r>
          </w:p>
        </w:tc>
        <w:tc>
          <w:tcPr>
            <w:tcW w:w="3180" w:type="dxa"/>
            <w:shd w:val="clear" w:color="auto" w:fill="auto"/>
            <w:vAlign w:val="center"/>
          </w:tcPr>
          <w:p w:rsidR="0029667E" w:rsidRDefault="005F36FF">
            <w:pPr>
              <w:widowControl/>
              <w:snapToGrid w:val="0"/>
              <w:spacing w:line="240" w:lineRule="auto"/>
              <w:ind w:firstLineChars="0" w:firstLine="0"/>
              <w:jc w:val="left"/>
              <w:textAlignment w:val="center"/>
              <w:rPr>
                <w:kern w:val="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6.374</w:t>
            </w:r>
            <w:r>
              <w:rPr>
                <w:color w:val="000000"/>
                <w:kern w:val="0"/>
                <w:sz w:val="24"/>
                <w:lang w:bidi="ar"/>
              </w:rPr>
              <w:t>公里</w:t>
            </w:r>
            <w:r>
              <w:rPr>
                <w:rFonts w:ascii="仿宋_GB2312" w:hint="eastAsia"/>
                <w:color w:val="000000"/>
                <w:kern w:val="0"/>
                <w:sz w:val="24"/>
                <w:lang w:bidi="ar"/>
              </w:rPr>
              <w:t>”</w:t>
            </w:r>
            <w:r>
              <w:rPr>
                <w:color w:val="000000"/>
                <w:kern w:val="0"/>
                <w:sz w:val="24"/>
                <w:lang w:bidi="ar"/>
              </w:rPr>
              <w:t>，根据工程施工图设计内容，规划新建道路里程共</w:t>
            </w:r>
            <w:r>
              <w:rPr>
                <w:color w:val="000000"/>
                <w:kern w:val="0"/>
                <w:sz w:val="24"/>
                <w:lang w:bidi="ar"/>
              </w:rPr>
              <w:t>6.374</w:t>
            </w:r>
            <w:r>
              <w:rPr>
                <w:color w:val="000000"/>
                <w:kern w:val="0"/>
                <w:sz w:val="24"/>
                <w:lang w:bidi="ar"/>
              </w:rPr>
              <w:t>公里，包括</w:t>
            </w:r>
            <w:proofErr w:type="gramStart"/>
            <w:r>
              <w:rPr>
                <w:color w:val="000000"/>
                <w:kern w:val="0"/>
                <w:sz w:val="24"/>
                <w:lang w:bidi="ar"/>
              </w:rPr>
              <w:t>纵</w:t>
            </w:r>
            <w:proofErr w:type="gramEnd"/>
            <w:r>
              <w:rPr>
                <w:color w:val="000000"/>
                <w:kern w:val="0"/>
                <w:sz w:val="24"/>
                <w:lang w:bidi="ar"/>
              </w:rPr>
              <w:t>一路（</w:t>
            </w:r>
            <w:r>
              <w:rPr>
                <w:color w:val="000000"/>
                <w:kern w:val="0"/>
                <w:sz w:val="24"/>
                <w:lang w:bidi="ar"/>
              </w:rPr>
              <w:t>1.0</w:t>
            </w:r>
            <w:r>
              <w:rPr>
                <w:color w:val="000000"/>
                <w:kern w:val="0"/>
                <w:sz w:val="24"/>
                <w:lang w:bidi="ar"/>
              </w:rPr>
              <w:t>公里）；站前路（</w:t>
            </w:r>
            <w:r>
              <w:rPr>
                <w:color w:val="000000"/>
                <w:kern w:val="0"/>
                <w:sz w:val="24"/>
                <w:lang w:bidi="ar"/>
              </w:rPr>
              <w:t>0.795</w:t>
            </w:r>
            <w:r>
              <w:rPr>
                <w:color w:val="000000"/>
                <w:kern w:val="0"/>
                <w:sz w:val="24"/>
                <w:lang w:bidi="ar"/>
              </w:rPr>
              <w:t>公里）；汽车城大道主线（</w:t>
            </w:r>
            <w:r>
              <w:rPr>
                <w:color w:val="000000"/>
                <w:kern w:val="0"/>
                <w:sz w:val="24"/>
                <w:lang w:bidi="ar"/>
              </w:rPr>
              <w:t>2.453</w:t>
            </w:r>
            <w:r>
              <w:rPr>
                <w:color w:val="000000"/>
                <w:kern w:val="0"/>
                <w:sz w:val="24"/>
                <w:lang w:bidi="ar"/>
              </w:rPr>
              <w:t>公里）、支线</w:t>
            </w:r>
            <w:r>
              <w:rPr>
                <w:color w:val="000000"/>
                <w:kern w:val="0"/>
                <w:sz w:val="24"/>
                <w:lang w:bidi="ar"/>
              </w:rPr>
              <w:t>1</w:t>
            </w:r>
            <w:r>
              <w:rPr>
                <w:color w:val="000000"/>
                <w:kern w:val="0"/>
                <w:sz w:val="24"/>
                <w:lang w:bidi="ar"/>
              </w:rPr>
              <w:t>（</w:t>
            </w:r>
            <w:r>
              <w:rPr>
                <w:color w:val="000000"/>
                <w:kern w:val="0"/>
                <w:sz w:val="24"/>
                <w:lang w:bidi="ar"/>
              </w:rPr>
              <w:t>0.212</w:t>
            </w:r>
            <w:r>
              <w:rPr>
                <w:color w:val="000000"/>
                <w:kern w:val="0"/>
                <w:sz w:val="24"/>
                <w:lang w:bidi="ar"/>
              </w:rPr>
              <w:t>公里）及支线</w:t>
            </w:r>
            <w:r>
              <w:rPr>
                <w:color w:val="000000"/>
                <w:kern w:val="0"/>
                <w:sz w:val="24"/>
                <w:lang w:bidi="ar"/>
              </w:rPr>
              <w:t>2</w:t>
            </w:r>
            <w:r>
              <w:rPr>
                <w:color w:val="000000"/>
                <w:kern w:val="0"/>
                <w:sz w:val="24"/>
                <w:lang w:bidi="ar"/>
              </w:rPr>
              <w:t>（</w:t>
            </w:r>
            <w:r>
              <w:rPr>
                <w:color w:val="000000"/>
                <w:kern w:val="0"/>
                <w:sz w:val="24"/>
                <w:lang w:bidi="ar"/>
              </w:rPr>
              <w:t>0.109</w:t>
            </w:r>
            <w:r>
              <w:rPr>
                <w:color w:val="000000"/>
                <w:kern w:val="0"/>
                <w:sz w:val="24"/>
                <w:lang w:bidi="ar"/>
              </w:rPr>
              <w:t>公里）；新源路（</w:t>
            </w:r>
            <w:r>
              <w:rPr>
                <w:color w:val="000000"/>
                <w:kern w:val="0"/>
                <w:sz w:val="24"/>
                <w:lang w:bidi="ar"/>
              </w:rPr>
              <w:t>1.5</w:t>
            </w:r>
            <w:r>
              <w:rPr>
                <w:color w:val="000000"/>
                <w:kern w:val="0"/>
                <w:sz w:val="24"/>
                <w:lang w:bidi="ar"/>
              </w:rPr>
              <w:t>公里）、新源路支线（</w:t>
            </w:r>
            <w:r>
              <w:rPr>
                <w:color w:val="000000"/>
                <w:kern w:val="0"/>
                <w:sz w:val="24"/>
                <w:lang w:bidi="ar"/>
              </w:rPr>
              <w:t>0.305</w:t>
            </w:r>
            <w:r>
              <w:rPr>
                <w:color w:val="000000"/>
                <w:kern w:val="0"/>
                <w:sz w:val="24"/>
                <w:lang w:bidi="ar"/>
              </w:rPr>
              <w:t>公里）。</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rFonts w:hint="eastAsia"/>
                <w:kern w:val="0"/>
                <w:sz w:val="24"/>
              </w:rPr>
              <w:t>结合现场核查情况，项目已完工，根据施工总结报告，项目建设</w:t>
            </w:r>
            <w:proofErr w:type="gramStart"/>
            <w:r>
              <w:rPr>
                <w:rFonts w:hint="eastAsia"/>
                <w:kern w:val="0"/>
                <w:sz w:val="24"/>
              </w:rPr>
              <w:t>纵</w:t>
            </w:r>
            <w:proofErr w:type="gramEnd"/>
            <w:r>
              <w:rPr>
                <w:rFonts w:hint="eastAsia"/>
                <w:kern w:val="0"/>
                <w:sz w:val="24"/>
              </w:rPr>
              <w:t>一路长度</w:t>
            </w:r>
            <w:r>
              <w:rPr>
                <w:rFonts w:hint="eastAsia"/>
                <w:kern w:val="0"/>
                <w:sz w:val="24"/>
              </w:rPr>
              <w:t>1.0</w:t>
            </w:r>
            <w:r>
              <w:rPr>
                <w:rFonts w:hint="eastAsia"/>
                <w:kern w:val="0"/>
                <w:sz w:val="24"/>
              </w:rPr>
              <w:t>公里、站前路长度</w:t>
            </w:r>
            <w:r>
              <w:rPr>
                <w:rFonts w:hint="eastAsia"/>
                <w:kern w:val="0"/>
                <w:sz w:val="24"/>
              </w:rPr>
              <w:t>0.795</w:t>
            </w:r>
            <w:r>
              <w:rPr>
                <w:rFonts w:hint="eastAsia"/>
                <w:kern w:val="0"/>
                <w:sz w:val="24"/>
              </w:rPr>
              <w:t>公里、汽车城大道主道长度</w:t>
            </w:r>
            <w:r>
              <w:rPr>
                <w:rFonts w:hint="eastAsia"/>
                <w:kern w:val="0"/>
                <w:sz w:val="24"/>
              </w:rPr>
              <w:t>2.453</w:t>
            </w:r>
            <w:r>
              <w:rPr>
                <w:rFonts w:hint="eastAsia"/>
                <w:kern w:val="0"/>
                <w:sz w:val="24"/>
              </w:rPr>
              <w:t>公里、支线</w:t>
            </w:r>
            <w:r>
              <w:rPr>
                <w:rFonts w:hint="eastAsia"/>
                <w:kern w:val="0"/>
                <w:sz w:val="24"/>
              </w:rPr>
              <w:t>1</w:t>
            </w:r>
            <w:r>
              <w:rPr>
                <w:rFonts w:hint="eastAsia"/>
                <w:kern w:val="0"/>
                <w:sz w:val="24"/>
              </w:rPr>
              <w:t>长度</w:t>
            </w:r>
            <w:r>
              <w:rPr>
                <w:rFonts w:hint="eastAsia"/>
                <w:kern w:val="0"/>
                <w:sz w:val="24"/>
              </w:rPr>
              <w:t>0.212</w:t>
            </w:r>
            <w:r>
              <w:rPr>
                <w:rFonts w:hint="eastAsia"/>
                <w:kern w:val="0"/>
                <w:sz w:val="24"/>
              </w:rPr>
              <w:t>公里、支线</w:t>
            </w:r>
            <w:r>
              <w:rPr>
                <w:rFonts w:hint="eastAsia"/>
                <w:kern w:val="0"/>
                <w:sz w:val="24"/>
              </w:rPr>
              <w:t>2</w:t>
            </w:r>
            <w:r>
              <w:rPr>
                <w:rFonts w:hint="eastAsia"/>
                <w:kern w:val="0"/>
                <w:sz w:val="24"/>
              </w:rPr>
              <w:t>长度</w:t>
            </w:r>
            <w:r>
              <w:rPr>
                <w:rFonts w:hint="eastAsia"/>
                <w:kern w:val="0"/>
                <w:sz w:val="24"/>
              </w:rPr>
              <w:t>0.109</w:t>
            </w:r>
            <w:r>
              <w:rPr>
                <w:rFonts w:hint="eastAsia"/>
                <w:kern w:val="0"/>
                <w:sz w:val="24"/>
              </w:rPr>
              <w:t>公里、新源路长度</w:t>
            </w:r>
            <w:r>
              <w:rPr>
                <w:rFonts w:hint="eastAsia"/>
                <w:kern w:val="0"/>
                <w:sz w:val="24"/>
              </w:rPr>
              <w:t>1.5</w:t>
            </w:r>
            <w:r>
              <w:rPr>
                <w:rFonts w:hint="eastAsia"/>
                <w:kern w:val="0"/>
                <w:sz w:val="24"/>
              </w:rPr>
              <w:t>公里、新源路支线长度</w:t>
            </w:r>
            <w:r>
              <w:rPr>
                <w:rFonts w:hint="eastAsia"/>
                <w:kern w:val="0"/>
                <w:sz w:val="24"/>
              </w:rPr>
              <w:t>0.305</w:t>
            </w:r>
            <w:r>
              <w:rPr>
                <w:rFonts w:hint="eastAsia"/>
                <w:kern w:val="0"/>
                <w:sz w:val="24"/>
              </w:rPr>
              <w:t>公里，合计</w:t>
            </w:r>
            <w:r>
              <w:rPr>
                <w:rFonts w:hint="eastAsia"/>
                <w:kern w:val="0"/>
                <w:sz w:val="24"/>
              </w:rPr>
              <w:t>6.374</w:t>
            </w:r>
            <w:r>
              <w:rPr>
                <w:rFonts w:hint="eastAsia"/>
                <w:kern w:val="0"/>
                <w:sz w:val="24"/>
              </w:rPr>
              <w:t>公里，但项目未完成竣工验收工作，实际新建道路里程暂不明确，综合以上情况，本指标扣</w:t>
            </w:r>
            <w:r>
              <w:rPr>
                <w:rFonts w:hint="eastAsia"/>
                <w:kern w:val="0"/>
                <w:sz w:val="24"/>
              </w:rPr>
              <w:t>1</w:t>
            </w:r>
            <w:r>
              <w:rPr>
                <w:rFonts w:hint="eastAsia"/>
                <w:kern w:val="0"/>
                <w:sz w:val="24"/>
              </w:rPr>
              <w:t>分。</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lang w:bidi="ar"/>
              </w:rPr>
            </w:pPr>
            <w:r>
              <w:rPr>
                <w:rFonts w:hint="eastAsia"/>
                <w:color w:val="000000" w:themeColor="text1"/>
                <w:kern w:val="0"/>
                <w:sz w:val="24"/>
                <w:lang w:bidi="ar"/>
              </w:rPr>
              <w:t>4</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snapToGrid w:val="0"/>
              <w:spacing w:line="240" w:lineRule="auto"/>
              <w:ind w:firstLineChars="0" w:firstLine="0"/>
              <w:jc w:val="center"/>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vMerge/>
            <w:shd w:val="clear" w:color="auto" w:fill="auto"/>
            <w:vAlign w:val="center"/>
          </w:tcPr>
          <w:p w:rsidR="0029667E" w:rsidRDefault="0029667E">
            <w:pPr>
              <w:widowControl/>
              <w:snapToGrid w:val="0"/>
              <w:spacing w:line="240" w:lineRule="auto"/>
              <w:ind w:firstLineChars="0" w:firstLine="0"/>
              <w:jc w:val="center"/>
              <w:rPr>
                <w:kern w:val="0"/>
                <w:sz w:val="24"/>
              </w:rPr>
            </w:pPr>
          </w:p>
        </w:tc>
        <w:tc>
          <w:tcPr>
            <w:tcW w:w="729" w:type="dxa"/>
            <w:vMerge/>
            <w:shd w:val="clear" w:color="auto" w:fill="auto"/>
            <w:vAlign w:val="center"/>
          </w:tcPr>
          <w:p w:rsidR="0029667E" w:rsidRDefault="0029667E">
            <w:pPr>
              <w:widowControl/>
              <w:snapToGrid w:val="0"/>
              <w:spacing w:line="240" w:lineRule="auto"/>
              <w:ind w:firstLineChars="0" w:firstLine="0"/>
              <w:jc w:val="center"/>
              <w:rPr>
                <w:kern w:val="0"/>
                <w:sz w:val="24"/>
              </w:rPr>
            </w:pPr>
          </w:p>
        </w:tc>
        <w:tc>
          <w:tcPr>
            <w:tcW w:w="147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改造道路里程</w:t>
            </w:r>
          </w:p>
        </w:tc>
        <w:tc>
          <w:tcPr>
            <w:tcW w:w="75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5</w:t>
            </w:r>
          </w:p>
        </w:tc>
        <w:tc>
          <w:tcPr>
            <w:tcW w:w="3180" w:type="dxa"/>
            <w:shd w:val="clear" w:color="auto" w:fill="auto"/>
            <w:vAlign w:val="center"/>
          </w:tcPr>
          <w:p w:rsidR="0029667E" w:rsidRDefault="005F36FF">
            <w:pPr>
              <w:widowControl/>
              <w:snapToGrid w:val="0"/>
              <w:spacing w:line="240" w:lineRule="auto"/>
              <w:ind w:firstLineChars="0" w:firstLine="0"/>
              <w:jc w:val="left"/>
              <w:textAlignment w:val="center"/>
              <w:rPr>
                <w:kern w:val="0"/>
                <w:sz w:val="24"/>
              </w:rPr>
            </w:pPr>
            <w:r>
              <w:rPr>
                <w:color w:val="000000"/>
                <w:sz w:val="24"/>
              </w:rPr>
              <w:t>预期目标值为</w:t>
            </w:r>
            <w:r>
              <w:rPr>
                <w:rFonts w:ascii="仿宋_GB2312" w:hint="eastAsia"/>
                <w:color w:val="000000"/>
                <w:sz w:val="24"/>
              </w:rPr>
              <w:t>“</w:t>
            </w:r>
            <w:r>
              <w:rPr>
                <w:color w:val="000000"/>
                <w:sz w:val="24"/>
              </w:rPr>
              <w:t>2.618</w:t>
            </w:r>
            <w:r>
              <w:rPr>
                <w:color w:val="000000"/>
                <w:sz w:val="24"/>
              </w:rPr>
              <w:t>公里</w:t>
            </w:r>
            <w:r>
              <w:rPr>
                <w:rFonts w:ascii="仿宋_GB2312" w:hint="eastAsia"/>
                <w:color w:val="000000"/>
                <w:sz w:val="24"/>
              </w:rPr>
              <w:t>”</w:t>
            </w:r>
            <w:r>
              <w:rPr>
                <w:color w:val="000000"/>
                <w:sz w:val="24"/>
              </w:rPr>
              <w:t>，</w:t>
            </w:r>
            <w:r>
              <w:rPr>
                <w:color w:val="000000"/>
                <w:kern w:val="0"/>
                <w:sz w:val="24"/>
                <w:lang w:bidi="ar"/>
              </w:rPr>
              <w:t>根据工程施工图设计内容，规划</w:t>
            </w:r>
            <w:r>
              <w:rPr>
                <w:color w:val="000000"/>
                <w:sz w:val="24"/>
              </w:rPr>
              <w:t>改造道路里程共</w:t>
            </w:r>
            <w:r>
              <w:rPr>
                <w:color w:val="000000"/>
                <w:sz w:val="24"/>
              </w:rPr>
              <w:t>2.618</w:t>
            </w:r>
            <w:r>
              <w:rPr>
                <w:color w:val="000000"/>
                <w:sz w:val="24"/>
              </w:rPr>
              <w:t>公里，包括环城路（</w:t>
            </w:r>
            <w:r>
              <w:rPr>
                <w:color w:val="000000"/>
                <w:sz w:val="24"/>
              </w:rPr>
              <w:t>1.7</w:t>
            </w:r>
            <w:r>
              <w:rPr>
                <w:color w:val="000000"/>
                <w:sz w:val="24"/>
              </w:rPr>
              <w:t>公里）；新新公路（</w:t>
            </w:r>
            <w:r>
              <w:rPr>
                <w:color w:val="000000"/>
                <w:sz w:val="24"/>
              </w:rPr>
              <w:t>0.918</w:t>
            </w:r>
            <w:r>
              <w:rPr>
                <w:color w:val="000000"/>
                <w:sz w:val="24"/>
              </w:rPr>
              <w:t>公里）。</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rFonts w:hint="eastAsia"/>
                <w:kern w:val="0"/>
                <w:sz w:val="24"/>
              </w:rPr>
              <w:t>结合现场核查情况，项目已完工，根据施工总结报告，项目完成环城路长度</w:t>
            </w:r>
            <w:r>
              <w:rPr>
                <w:rFonts w:hint="eastAsia"/>
                <w:kern w:val="0"/>
                <w:sz w:val="24"/>
              </w:rPr>
              <w:t>1.7</w:t>
            </w:r>
            <w:r>
              <w:rPr>
                <w:rFonts w:hint="eastAsia"/>
                <w:kern w:val="0"/>
                <w:sz w:val="24"/>
              </w:rPr>
              <w:t>公里以及新新公路长度</w:t>
            </w:r>
            <w:r>
              <w:rPr>
                <w:rFonts w:hint="eastAsia"/>
                <w:kern w:val="0"/>
                <w:sz w:val="24"/>
              </w:rPr>
              <w:t>0.918</w:t>
            </w:r>
            <w:r>
              <w:rPr>
                <w:rFonts w:hint="eastAsia"/>
                <w:kern w:val="0"/>
                <w:sz w:val="24"/>
              </w:rPr>
              <w:t>公里，合计</w:t>
            </w:r>
            <w:r>
              <w:rPr>
                <w:rFonts w:hint="eastAsia"/>
                <w:kern w:val="0"/>
                <w:sz w:val="24"/>
              </w:rPr>
              <w:t>2.618</w:t>
            </w:r>
            <w:r>
              <w:rPr>
                <w:rFonts w:hint="eastAsia"/>
                <w:kern w:val="0"/>
                <w:sz w:val="24"/>
              </w:rPr>
              <w:t>公里，完成了施工图设计长度。但项目未完成竣工验收工作，实际改造道路里程暂不明确，综合以上情况，本指标扣</w:t>
            </w:r>
            <w:r>
              <w:rPr>
                <w:rFonts w:hint="eastAsia"/>
                <w:kern w:val="0"/>
                <w:sz w:val="24"/>
              </w:rPr>
              <w:t>1</w:t>
            </w:r>
            <w:r>
              <w:rPr>
                <w:rFonts w:hint="eastAsia"/>
                <w:kern w:val="0"/>
                <w:sz w:val="24"/>
              </w:rPr>
              <w:t>分。</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sz w:val="24"/>
              </w:rPr>
            </w:pPr>
            <w:r>
              <w:rPr>
                <w:rFonts w:hint="eastAsia"/>
                <w:color w:val="000000" w:themeColor="text1"/>
                <w:kern w:val="0"/>
                <w:sz w:val="24"/>
                <w:lang w:bidi="ar"/>
              </w:rPr>
              <w:t>4</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snapToGrid w:val="0"/>
              <w:spacing w:line="240" w:lineRule="auto"/>
              <w:ind w:firstLineChars="0" w:firstLine="0"/>
              <w:jc w:val="center"/>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vMerge/>
            <w:shd w:val="clear" w:color="auto" w:fill="auto"/>
            <w:vAlign w:val="center"/>
          </w:tcPr>
          <w:p w:rsidR="0029667E" w:rsidRDefault="0029667E">
            <w:pPr>
              <w:widowControl/>
              <w:snapToGrid w:val="0"/>
              <w:spacing w:line="240" w:lineRule="auto"/>
              <w:ind w:firstLineChars="0" w:firstLine="0"/>
              <w:jc w:val="center"/>
              <w:rPr>
                <w:kern w:val="0"/>
                <w:sz w:val="24"/>
              </w:rPr>
            </w:pPr>
          </w:p>
        </w:tc>
        <w:tc>
          <w:tcPr>
            <w:tcW w:w="729" w:type="dxa"/>
            <w:vMerge/>
            <w:shd w:val="clear" w:color="auto" w:fill="auto"/>
            <w:vAlign w:val="center"/>
          </w:tcPr>
          <w:p w:rsidR="0029667E" w:rsidRDefault="0029667E">
            <w:pPr>
              <w:widowControl/>
              <w:snapToGrid w:val="0"/>
              <w:spacing w:line="240" w:lineRule="auto"/>
              <w:ind w:firstLineChars="0" w:firstLine="0"/>
              <w:jc w:val="center"/>
              <w:rPr>
                <w:kern w:val="0"/>
                <w:sz w:val="24"/>
              </w:rPr>
            </w:pPr>
          </w:p>
        </w:tc>
        <w:tc>
          <w:tcPr>
            <w:tcW w:w="1470" w:type="dxa"/>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配套工程建设完成率</w:t>
            </w:r>
          </w:p>
        </w:tc>
        <w:tc>
          <w:tcPr>
            <w:tcW w:w="750" w:type="dxa"/>
            <w:shd w:val="clear" w:color="auto" w:fill="auto"/>
            <w:vAlign w:val="center"/>
          </w:tcPr>
          <w:p w:rsidR="0029667E" w:rsidRDefault="005F36FF">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5</w:t>
            </w:r>
          </w:p>
        </w:tc>
        <w:tc>
          <w:tcPr>
            <w:tcW w:w="3180" w:type="dxa"/>
            <w:shd w:val="clear" w:color="auto" w:fill="auto"/>
            <w:vAlign w:val="center"/>
          </w:tcPr>
          <w:p w:rsidR="0029667E" w:rsidRDefault="005F36FF">
            <w:pPr>
              <w:widowControl/>
              <w:snapToGrid w:val="0"/>
              <w:spacing w:line="240" w:lineRule="auto"/>
              <w:ind w:firstLineChars="0" w:firstLine="0"/>
              <w:jc w:val="left"/>
              <w:textAlignment w:val="center"/>
              <w:rPr>
                <w:color w:val="000000"/>
                <w:sz w:val="24"/>
              </w:rPr>
            </w:pPr>
            <w:r>
              <w:rPr>
                <w:color w:val="000000"/>
                <w:sz w:val="24"/>
              </w:rPr>
              <w:t>预期目标值为</w:t>
            </w:r>
            <w:r>
              <w:rPr>
                <w:rFonts w:ascii="仿宋_GB2312" w:hint="eastAsia"/>
                <w:color w:val="000000"/>
                <w:sz w:val="24"/>
              </w:rPr>
              <w:t>“</w:t>
            </w:r>
            <w:r>
              <w:rPr>
                <w:color w:val="000000"/>
                <w:sz w:val="24"/>
              </w:rPr>
              <w:t>100%</w:t>
            </w:r>
            <w:r>
              <w:rPr>
                <w:rFonts w:ascii="仿宋_GB2312" w:hint="eastAsia"/>
                <w:color w:val="000000"/>
                <w:sz w:val="24"/>
              </w:rPr>
              <w:t>”</w:t>
            </w:r>
            <w:r>
              <w:rPr>
                <w:color w:val="000000"/>
                <w:sz w:val="24"/>
              </w:rPr>
              <w:t>，根据配套工程实际完成情况进行评分，按照合同及可行性研究报告等文件约定的隧道工程、给排水工程、交通工程、通信电力工程、照明工程、绿化景观工程等各项配套工程完成建设的得满分，否则按照实际情况酌情扣分。</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rFonts w:hint="eastAsia"/>
                <w:kern w:val="0"/>
                <w:sz w:val="24"/>
              </w:rPr>
              <w:t>根据项目一、二标段施工总结报告，结合现场核查情况，项目桥梁、排水、照明、绿化等配套工程均按计划完成建设。</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sz w:val="24"/>
              </w:rPr>
            </w:pPr>
            <w:r>
              <w:rPr>
                <w:rFonts w:hint="eastAsia"/>
                <w:color w:val="000000" w:themeColor="text1"/>
                <w:kern w:val="0"/>
                <w:sz w:val="24"/>
                <w:lang w:bidi="ar"/>
              </w:rPr>
              <w:t>5</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snapToGrid w:val="0"/>
              <w:spacing w:line="240" w:lineRule="auto"/>
              <w:ind w:firstLineChars="0" w:firstLine="0"/>
              <w:jc w:val="center"/>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完成质量</w:t>
            </w:r>
          </w:p>
        </w:tc>
        <w:tc>
          <w:tcPr>
            <w:tcW w:w="729"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12</w:t>
            </w:r>
          </w:p>
        </w:tc>
        <w:tc>
          <w:tcPr>
            <w:tcW w:w="147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建设质量达标率</w:t>
            </w:r>
          </w:p>
        </w:tc>
        <w:tc>
          <w:tcPr>
            <w:tcW w:w="75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5</w:t>
            </w:r>
          </w:p>
        </w:tc>
        <w:tc>
          <w:tcPr>
            <w:tcW w:w="3180" w:type="dxa"/>
            <w:shd w:val="clear" w:color="auto" w:fill="auto"/>
            <w:vAlign w:val="center"/>
          </w:tcPr>
          <w:p w:rsidR="0029667E" w:rsidRDefault="005F36FF">
            <w:pPr>
              <w:widowControl/>
              <w:snapToGrid w:val="0"/>
              <w:spacing w:line="240" w:lineRule="auto"/>
              <w:ind w:firstLineChars="0" w:firstLine="0"/>
              <w:textAlignment w:val="center"/>
              <w:rPr>
                <w:kern w:val="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100%</w:t>
            </w:r>
            <w:r>
              <w:rPr>
                <w:rFonts w:ascii="仿宋_GB2312" w:hint="eastAsia"/>
                <w:color w:val="000000"/>
                <w:kern w:val="0"/>
                <w:sz w:val="24"/>
                <w:lang w:bidi="ar"/>
              </w:rPr>
              <w:t>”</w:t>
            </w:r>
            <w:r>
              <w:rPr>
                <w:color w:val="000000"/>
                <w:kern w:val="0"/>
                <w:sz w:val="24"/>
                <w:lang w:bidi="ar"/>
              </w:rPr>
              <w:t>，根据项目验收报告、工程建设各项材料检测、建设质量检测、分项分部工程验收等情况进行评分，各类建设质量均达标得满分，否则不得分。</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预期目标值为</w:t>
            </w:r>
            <w:r>
              <w:rPr>
                <w:rFonts w:ascii="仿宋_GB2312" w:hint="eastAsia"/>
                <w:kern w:val="0"/>
                <w:sz w:val="24"/>
              </w:rPr>
              <w:t>“</w:t>
            </w:r>
            <w:r>
              <w:rPr>
                <w:kern w:val="0"/>
                <w:sz w:val="24"/>
              </w:rPr>
              <w:t>100%</w:t>
            </w:r>
            <w:r>
              <w:rPr>
                <w:rFonts w:ascii="仿宋_GB2312" w:hint="eastAsia"/>
                <w:kern w:val="0"/>
                <w:sz w:val="24"/>
              </w:rPr>
              <w:t>”</w:t>
            </w:r>
            <w:r>
              <w:rPr>
                <w:kern w:val="0"/>
                <w:sz w:val="24"/>
              </w:rPr>
              <w:t>，根据现场核查工程检验检测资料及施工方提供的施工总结报告，项目路面、路基、交通、给排水、通信电力、照明与绿化景观等各部分工程均通过质量监测。但项目一、二标段截至</w:t>
            </w:r>
            <w:r>
              <w:rPr>
                <w:kern w:val="0"/>
                <w:sz w:val="24"/>
              </w:rPr>
              <w:t>2024</w:t>
            </w:r>
            <w:r>
              <w:rPr>
                <w:kern w:val="0"/>
                <w:sz w:val="24"/>
              </w:rPr>
              <w:t>年</w:t>
            </w:r>
            <w:r>
              <w:rPr>
                <w:kern w:val="0"/>
                <w:sz w:val="24"/>
              </w:rPr>
              <w:t>6</w:t>
            </w:r>
            <w:r>
              <w:rPr>
                <w:kern w:val="0"/>
                <w:sz w:val="24"/>
              </w:rPr>
              <w:t>月均未完成验收工作，工程验收质量不明确。</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lang w:bidi="ar"/>
              </w:rPr>
            </w:pPr>
            <w:r>
              <w:rPr>
                <w:color w:val="000000" w:themeColor="text1"/>
                <w:kern w:val="0"/>
                <w:sz w:val="24"/>
                <w:lang w:bidi="ar"/>
              </w:rPr>
              <w:t>4</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snapToGrid w:val="0"/>
              <w:spacing w:line="240" w:lineRule="auto"/>
              <w:ind w:firstLineChars="0" w:firstLine="0"/>
              <w:jc w:val="center"/>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vMerge/>
            <w:shd w:val="clear" w:color="auto" w:fill="auto"/>
            <w:vAlign w:val="center"/>
          </w:tcPr>
          <w:p w:rsidR="0029667E" w:rsidRDefault="0029667E">
            <w:pPr>
              <w:widowControl/>
              <w:snapToGrid w:val="0"/>
              <w:spacing w:line="240" w:lineRule="auto"/>
              <w:ind w:firstLineChars="0" w:firstLine="0"/>
              <w:jc w:val="center"/>
              <w:rPr>
                <w:kern w:val="0"/>
                <w:sz w:val="24"/>
              </w:rPr>
            </w:pPr>
          </w:p>
        </w:tc>
        <w:tc>
          <w:tcPr>
            <w:tcW w:w="729" w:type="dxa"/>
            <w:vMerge/>
            <w:shd w:val="clear" w:color="auto" w:fill="auto"/>
            <w:vAlign w:val="center"/>
          </w:tcPr>
          <w:p w:rsidR="0029667E" w:rsidRDefault="0029667E">
            <w:pPr>
              <w:widowControl/>
              <w:snapToGrid w:val="0"/>
              <w:spacing w:line="240" w:lineRule="auto"/>
              <w:ind w:firstLineChars="0" w:firstLine="0"/>
              <w:jc w:val="center"/>
              <w:rPr>
                <w:kern w:val="0"/>
                <w:sz w:val="24"/>
              </w:rPr>
            </w:pPr>
          </w:p>
        </w:tc>
        <w:tc>
          <w:tcPr>
            <w:tcW w:w="147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变更合</w:t>
            </w:r>
            <w:proofErr w:type="gramStart"/>
            <w:r>
              <w:rPr>
                <w:color w:val="000000"/>
                <w:kern w:val="0"/>
                <w:sz w:val="24"/>
                <w:lang w:bidi="ar"/>
              </w:rPr>
              <w:t>规</w:t>
            </w:r>
            <w:proofErr w:type="gramEnd"/>
            <w:r>
              <w:rPr>
                <w:color w:val="000000"/>
                <w:kern w:val="0"/>
                <w:sz w:val="24"/>
                <w:lang w:bidi="ar"/>
              </w:rPr>
              <w:t>率</w:t>
            </w:r>
          </w:p>
        </w:tc>
        <w:tc>
          <w:tcPr>
            <w:tcW w:w="75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5</w:t>
            </w:r>
          </w:p>
        </w:tc>
        <w:tc>
          <w:tcPr>
            <w:tcW w:w="3180" w:type="dxa"/>
            <w:shd w:val="clear" w:color="auto" w:fill="auto"/>
            <w:vAlign w:val="center"/>
          </w:tcPr>
          <w:p w:rsidR="0029667E" w:rsidRDefault="005F36FF">
            <w:pPr>
              <w:widowControl/>
              <w:snapToGrid w:val="0"/>
              <w:spacing w:line="240" w:lineRule="auto"/>
              <w:ind w:firstLineChars="0" w:firstLine="0"/>
              <w:textAlignment w:val="center"/>
              <w:rPr>
                <w:kern w:val="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100%</w:t>
            </w:r>
            <w:r>
              <w:rPr>
                <w:rFonts w:ascii="仿宋_GB2312" w:hint="eastAsia"/>
                <w:color w:val="000000"/>
                <w:kern w:val="0"/>
                <w:sz w:val="24"/>
                <w:lang w:bidi="ar"/>
              </w:rPr>
              <w:t>”</w:t>
            </w:r>
            <w:r>
              <w:rPr>
                <w:color w:val="000000"/>
                <w:kern w:val="0"/>
                <w:sz w:val="24"/>
                <w:lang w:bidi="ar"/>
              </w:rPr>
              <w:t>，根据工程建设各项变更手续、程序合</w:t>
            </w:r>
            <w:proofErr w:type="gramStart"/>
            <w:r>
              <w:rPr>
                <w:color w:val="000000"/>
                <w:kern w:val="0"/>
                <w:sz w:val="24"/>
                <w:lang w:bidi="ar"/>
              </w:rPr>
              <w:t>规</w:t>
            </w:r>
            <w:proofErr w:type="gramEnd"/>
            <w:r>
              <w:rPr>
                <w:color w:val="000000"/>
                <w:kern w:val="0"/>
                <w:sz w:val="24"/>
                <w:lang w:bidi="ar"/>
              </w:rPr>
              <w:t>实际情况进行评分，按照有关规定履行变更程序且变更合</w:t>
            </w:r>
            <w:proofErr w:type="gramStart"/>
            <w:r>
              <w:rPr>
                <w:color w:val="000000"/>
                <w:kern w:val="0"/>
                <w:sz w:val="24"/>
                <w:lang w:bidi="ar"/>
              </w:rPr>
              <w:t>规</w:t>
            </w:r>
            <w:proofErr w:type="gramEnd"/>
            <w:r>
              <w:rPr>
                <w:color w:val="000000"/>
                <w:kern w:val="0"/>
                <w:sz w:val="24"/>
                <w:lang w:bidi="ar"/>
              </w:rPr>
              <w:t>得满分，否则不得分。</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根据《广州市增城区道路养护中心关于申请调整新塘站片区路网一纵一路、新源路及汽车城大道建设工程项目可行性研究报告建设内容的函》（</w:t>
            </w:r>
            <w:proofErr w:type="gramStart"/>
            <w:r>
              <w:rPr>
                <w:kern w:val="0"/>
                <w:sz w:val="24"/>
              </w:rPr>
              <w:t>增道函〔</w:t>
            </w:r>
            <w:r>
              <w:rPr>
                <w:kern w:val="0"/>
                <w:sz w:val="24"/>
              </w:rPr>
              <w:t>2021</w:t>
            </w:r>
            <w:r>
              <w:rPr>
                <w:kern w:val="0"/>
                <w:sz w:val="24"/>
              </w:rPr>
              <w:t>〕</w:t>
            </w:r>
            <w:proofErr w:type="gramEnd"/>
            <w:r>
              <w:rPr>
                <w:kern w:val="0"/>
                <w:sz w:val="24"/>
              </w:rPr>
              <w:t>24</w:t>
            </w:r>
            <w:r>
              <w:rPr>
                <w:kern w:val="0"/>
                <w:sz w:val="24"/>
              </w:rPr>
              <w:t>号）及《广州市增城区发展和改革局关于调整新塘站片区路网一纵一路、新源路及汽车城大道建设工程项目建设规模和建设内容的复函》（穗</w:t>
            </w:r>
            <w:proofErr w:type="gramStart"/>
            <w:r>
              <w:rPr>
                <w:kern w:val="0"/>
                <w:sz w:val="24"/>
              </w:rPr>
              <w:t>增发改函〔</w:t>
            </w:r>
            <w:r>
              <w:rPr>
                <w:kern w:val="0"/>
                <w:sz w:val="24"/>
              </w:rPr>
              <w:t>2021</w:t>
            </w:r>
            <w:r>
              <w:rPr>
                <w:kern w:val="0"/>
                <w:sz w:val="24"/>
              </w:rPr>
              <w:t>〕</w:t>
            </w:r>
            <w:proofErr w:type="gramEnd"/>
            <w:r>
              <w:rPr>
                <w:kern w:val="0"/>
                <w:sz w:val="24"/>
              </w:rPr>
              <w:t>412</w:t>
            </w:r>
            <w:r>
              <w:rPr>
                <w:kern w:val="0"/>
                <w:sz w:val="24"/>
              </w:rPr>
              <w:t>号），因新源路广</w:t>
            </w:r>
            <w:proofErr w:type="gramStart"/>
            <w:r>
              <w:rPr>
                <w:kern w:val="0"/>
                <w:sz w:val="24"/>
              </w:rPr>
              <w:t>园快速</w:t>
            </w:r>
            <w:proofErr w:type="gramEnd"/>
            <w:r>
              <w:rPr>
                <w:kern w:val="0"/>
                <w:sz w:val="24"/>
              </w:rPr>
              <w:t>路以北段拆迁量较大，当时难以实施，且新新大道属于东部交通枢纽南北向交通疏解的重要通道，具有缓解堵塞交通的重要作用，区道路养护中心优化了项目设计方案，</w:t>
            </w:r>
            <w:r>
              <w:rPr>
                <w:kern w:val="0"/>
                <w:sz w:val="24"/>
              </w:rPr>
              <w:t>2021</w:t>
            </w:r>
            <w:r>
              <w:rPr>
                <w:kern w:val="0"/>
                <w:sz w:val="24"/>
              </w:rPr>
              <w:t>年</w:t>
            </w:r>
            <w:r>
              <w:rPr>
                <w:kern w:val="0"/>
                <w:sz w:val="24"/>
              </w:rPr>
              <w:t>3</w:t>
            </w:r>
            <w:r>
              <w:rPr>
                <w:kern w:val="0"/>
                <w:sz w:val="24"/>
              </w:rPr>
              <w:t>月</w:t>
            </w:r>
            <w:r>
              <w:rPr>
                <w:kern w:val="0"/>
                <w:sz w:val="24"/>
              </w:rPr>
              <w:t>15</w:t>
            </w:r>
            <w:r>
              <w:rPr>
                <w:kern w:val="0"/>
                <w:sz w:val="24"/>
              </w:rPr>
              <w:t>日向区发展</w:t>
            </w:r>
            <w:proofErr w:type="gramStart"/>
            <w:r>
              <w:rPr>
                <w:kern w:val="0"/>
                <w:sz w:val="24"/>
              </w:rPr>
              <w:t>改革局</w:t>
            </w:r>
            <w:proofErr w:type="gramEnd"/>
            <w:r>
              <w:rPr>
                <w:kern w:val="0"/>
                <w:sz w:val="24"/>
              </w:rPr>
              <w:t>申请调整建</w:t>
            </w:r>
            <w:r>
              <w:rPr>
                <w:kern w:val="0"/>
                <w:sz w:val="24"/>
              </w:rPr>
              <w:t>设内容，调整内容如下：一、新源路起点调整为北接</w:t>
            </w:r>
            <w:proofErr w:type="gramStart"/>
            <w:r>
              <w:rPr>
                <w:kern w:val="0"/>
                <w:sz w:val="24"/>
              </w:rPr>
              <w:t>现状广园快速</w:t>
            </w:r>
            <w:proofErr w:type="gramEnd"/>
            <w:r>
              <w:rPr>
                <w:kern w:val="0"/>
                <w:sz w:val="24"/>
              </w:rPr>
              <w:t>路下穿通道，南接驳现状汇</w:t>
            </w:r>
            <w:proofErr w:type="gramStart"/>
            <w:r>
              <w:rPr>
                <w:kern w:val="0"/>
                <w:sz w:val="24"/>
              </w:rPr>
              <w:t>太</w:t>
            </w:r>
            <w:proofErr w:type="gramEnd"/>
            <w:r>
              <w:rPr>
                <w:kern w:val="0"/>
                <w:sz w:val="24"/>
              </w:rPr>
              <w:t>路，新源路道路长度由</w:t>
            </w:r>
            <w:r>
              <w:rPr>
                <w:kern w:val="0"/>
                <w:sz w:val="24"/>
              </w:rPr>
              <w:t>2.03km</w:t>
            </w:r>
            <w:r>
              <w:rPr>
                <w:kern w:val="0"/>
                <w:sz w:val="24"/>
              </w:rPr>
              <w:t>调整为</w:t>
            </w:r>
            <w:r>
              <w:rPr>
                <w:kern w:val="0"/>
                <w:sz w:val="24"/>
              </w:rPr>
              <w:t>1.5km</w:t>
            </w:r>
            <w:r>
              <w:rPr>
                <w:kern w:val="0"/>
                <w:sz w:val="24"/>
              </w:rPr>
              <w:t>；二、增加新新大道改造工程，新新大道</w:t>
            </w:r>
            <w:proofErr w:type="gramStart"/>
            <w:r>
              <w:rPr>
                <w:kern w:val="0"/>
                <w:sz w:val="24"/>
              </w:rPr>
              <w:t>起点北</w:t>
            </w:r>
            <w:proofErr w:type="gramEnd"/>
            <w:r>
              <w:rPr>
                <w:kern w:val="0"/>
                <w:sz w:val="24"/>
              </w:rPr>
              <w:t>下穿广</w:t>
            </w:r>
            <w:proofErr w:type="gramStart"/>
            <w:r>
              <w:rPr>
                <w:kern w:val="0"/>
                <w:sz w:val="24"/>
              </w:rPr>
              <w:t>园快速</w:t>
            </w:r>
            <w:proofErr w:type="gramEnd"/>
            <w:r>
              <w:rPr>
                <w:kern w:val="0"/>
                <w:sz w:val="24"/>
              </w:rPr>
              <w:t>路，</w:t>
            </w:r>
            <w:proofErr w:type="gramStart"/>
            <w:r>
              <w:rPr>
                <w:kern w:val="0"/>
                <w:sz w:val="24"/>
              </w:rPr>
              <w:t>终点南接站</w:t>
            </w:r>
            <w:proofErr w:type="gramEnd"/>
            <w:r>
              <w:rPr>
                <w:kern w:val="0"/>
                <w:sz w:val="24"/>
              </w:rPr>
              <w:t>前路，道路长度约</w:t>
            </w:r>
            <w:r>
              <w:rPr>
                <w:kern w:val="0"/>
                <w:sz w:val="24"/>
              </w:rPr>
              <w:t>0.918km</w:t>
            </w:r>
            <w:r>
              <w:rPr>
                <w:kern w:val="0"/>
                <w:sz w:val="24"/>
              </w:rPr>
              <w:t>，规划红线宽度</w:t>
            </w:r>
            <w:r>
              <w:rPr>
                <w:kern w:val="0"/>
                <w:sz w:val="24"/>
              </w:rPr>
              <w:t>60m</w:t>
            </w:r>
            <w:r>
              <w:rPr>
                <w:kern w:val="0"/>
                <w:sz w:val="24"/>
              </w:rPr>
              <w:t>。三、汽车城大道支线</w:t>
            </w:r>
            <w:r>
              <w:rPr>
                <w:kern w:val="0"/>
                <w:sz w:val="24"/>
              </w:rPr>
              <w:t>2</w:t>
            </w:r>
            <w:r>
              <w:rPr>
                <w:kern w:val="0"/>
                <w:sz w:val="24"/>
              </w:rPr>
              <w:t>规划红线宽度根据最新控</w:t>
            </w:r>
            <w:proofErr w:type="gramStart"/>
            <w:r>
              <w:rPr>
                <w:kern w:val="0"/>
                <w:sz w:val="24"/>
              </w:rPr>
              <w:t>规</w:t>
            </w:r>
            <w:proofErr w:type="gramEnd"/>
            <w:r>
              <w:rPr>
                <w:kern w:val="0"/>
                <w:sz w:val="24"/>
              </w:rPr>
              <w:t>由</w:t>
            </w:r>
            <w:r>
              <w:rPr>
                <w:kern w:val="0"/>
                <w:sz w:val="24"/>
              </w:rPr>
              <w:t>15m</w:t>
            </w:r>
            <w:r>
              <w:rPr>
                <w:kern w:val="0"/>
                <w:sz w:val="24"/>
              </w:rPr>
              <w:t>调整为</w:t>
            </w:r>
            <w:r>
              <w:rPr>
                <w:kern w:val="0"/>
                <w:sz w:val="24"/>
              </w:rPr>
              <w:t>20m</w:t>
            </w:r>
            <w:r>
              <w:rPr>
                <w:kern w:val="0"/>
                <w:sz w:val="24"/>
              </w:rPr>
              <w:t>，原可行性研究报告批复总投资等其它内容不变。区发展</w:t>
            </w:r>
            <w:proofErr w:type="gramStart"/>
            <w:r>
              <w:rPr>
                <w:kern w:val="0"/>
                <w:sz w:val="24"/>
              </w:rPr>
              <w:t>改革局</w:t>
            </w:r>
            <w:proofErr w:type="gramEnd"/>
            <w:r>
              <w:rPr>
                <w:kern w:val="0"/>
                <w:sz w:val="24"/>
              </w:rPr>
              <w:t>于</w:t>
            </w:r>
            <w:r>
              <w:rPr>
                <w:kern w:val="0"/>
                <w:sz w:val="24"/>
              </w:rPr>
              <w:t>2021</w:t>
            </w:r>
            <w:r>
              <w:rPr>
                <w:kern w:val="0"/>
                <w:sz w:val="24"/>
              </w:rPr>
              <w:t>年</w:t>
            </w:r>
            <w:r>
              <w:rPr>
                <w:kern w:val="0"/>
                <w:sz w:val="24"/>
              </w:rPr>
              <w:t>3</w:t>
            </w:r>
            <w:r>
              <w:rPr>
                <w:kern w:val="0"/>
                <w:sz w:val="24"/>
              </w:rPr>
              <w:t>月</w:t>
            </w:r>
            <w:r>
              <w:rPr>
                <w:kern w:val="0"/>
                <w:sz w:val="24"/>
              </w:rPr>
              <w:t>19</w:t>
            </w:r>
            <w:r>
              <w:rPr>
                <w:kern w:val="0"/>
                <w:sz w:val="24"/>
              </w:rPr>
              <w:t>日批复同意。</w:t>
            </w:r>
          </w:p>
          <w:p w:rsidR="0029667E" w:rsidRDefault="005F36FF">
            <w:pPr>
              <w:widowControl/>
              <w:snapToGrid w:val="0"/>
              <w:spacing w:line="240" w:lineRule="auto"/>
              <w:ind w:firstLineChars="0" w:firstLine="0"/>
              <w:rPr>
                <w:kern w:val="0"/>
                <w:sz w:val="24"/>
              </w:rPr>
            </w:pPr>
            <w:r>
              <w:rPr>
                <w:kern w:val="0"/>
                <w:sz w:val="24"/>
              </w:rPr>
              <w:t>根据项目一、二标段工程变更台账，施工期间发生的增加道路标线、增加指示牌、调整管线布置等变更均建立了变更单并</w:t>
            </w:r>
            <w:r>
              <w:rPr>
                <w:kern w:val="0"/>
                <w:sz w:val="24"/>
              </w:rPr>
              <w:t>经过区道路养护中心会议讨论决定或报送区交通运输局进行审批。</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lang w:bidi="ar"/>
              </w:rPr>
            </w:pPr>
            <w:r>
              <w:rPr>
                <w:color w:val="000000" w:themeColor="text1"/>
                <w:kern w:val="0"/>
                <w:sz w:val="24"/>
                <w:lang w:bidi="ar"/>
              </w:rPr>
              <w:t>5</w:t>
            </w:r>
          </w:p>
        </w:tc>
      </w:tr>
      <w:tr w:rsidR="0029667E">
        <w:trPr>
          <w:trHeight w:val="567"/>
          <w:jc w:val="center"/>
        </w:trPr>
        <w:tc>
          <w:tcPr>
            <w:tcW w:w="1202" w:type="dxa"/>
            <w:vMerge w:val="restart"/>
            <w:shd w:val="clear" w:color="auto" w:fill="auto"/>
            <w:vAlign w:val="center"/>
          </w:tcPr>
          <w:p w:rsidR="0029667E" w:rsidRDefault="005F36FF">
            <w:pPr>
              <w:snapToGrid w:val="0"/>
              <w:spacing w:line="240" w:lineRule="auto"/>
              <w:ind w:firstLineChars="0" w:firstLine="0"/>
              <w:jc w:val="center"/>
              <w:rPr>
                <w:kern w:val="0"/>
                <w:sz w:val="24"/>
              </w:rPr>
            </w:pPr>
            <w:r>
              <w:rPr>
                <w:kern w:val="0"/>
                <w:sz w:val="24"/>
              </w:rPr>
              <w:t>效益</w:t>
            </w:r>
          </w:p>
        </w:tc>
        <w:tc>
          <w:tcPr>
            <w:tcW w:w="780"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rFonts w:hint="eastAsia"/>
                <w:kern w:val="0"/>
                <w:sz w:val="24"/>
              </w:rPr>
              <w:t>25</w:t>
            </w:r>
          </w:p>
        </w:tc>
        <w:tc>
          <w:tcPr>
            <w:tcW w:w="1083"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效果性</w:t>
            </w:r>
          </w:p>
        </w:tc>
        <w:tc>
          <w:tcPr>
            <w:tcW w:w="732" w:type="dxa"/>
            <w:vMerge w:val="restart"/>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20</w:t>
            </w:r>
          </w:p>
        </w:tc>
        <w:tc>
          <w:tcPr>
            <w:tcW w:w="1596"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经济效益</w:t>
            </w:r>
          </w:p>
        </w:tc>
        <w:tc>
          <w:tcPr>
            <w:tcW w:w="729"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7</w:t>
            </w:r>
          </w:p>
        </w:tc>
        <w:tc>
          <w:tcPr>
            <w:tcW w:w="147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改善区域经济环境</w:t>
            </w:r>
          </w:p>
        </w:tc>
        <w:tc>
          <w:tcPr>
            <w:tcW w:w="75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7</w:t>
            </w:r>
          </w:p>
        </w:tc>
        <w:tc>
          <w:tcPr>
            <w:tcW w:w="3180" w:type="dxa"/>
            <w:shd w:val="clear" w:color="auto" w:fill="auto"/>
            <w:vAlign w:val="center"/>
          </w:tcPr>
          <w:p w:rsidR="0029667E" w:rsidRDefault="005F36FF">
            <w:pPr>
              <w:widowControl/>
              <w:snapToGrid w:val="0"/>
              <w:spacing w:line="240" w:lineRule="auto"/>
              <w:ind w:firstLineChars="0" w:firstLine="0"/>
              <w:jc w:val="left"/>
              <w:textAlignment w:val="center"/>
              <w:rPr>
                <w:kern w:val="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提高交通效率，促进经济发展</w:t>
            </w:r>
            <w:r>
              <w:rPr>
                <w:rFonts w:ascii="仿宋_GB2312" w:hint="eastAsia"/>
                <w:color w:val="000000"/>
                <w:kern w:val="0"/>
                <w:sz w:val="24"/>
                <w:lang w:bidi="ar"/>
              </w:rPr>
              <w:t>”</w:t>
            </w:r>
            <w:r>
              <w:rPr>
                <w:color w:val="000000"/>
                <w:kern w:val="0"/>
                <w:sz w:val="24"/>
                <w:lang w:bidi="ar"/>
              </w:rPr>
              <w:t>，根据项目实际情况综合评分。</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项目通过建设</w:t>
            </w:r>
            <w:r>
              <w:rPr>
                <w:kern w:val="0"/>
                <w:sz w:val="24"/>
              </w:rPr>
              <w:t>6</w:t>
            </w:r>
            <w:r>
              <w:rPr>
                <w:kern w:val="0"/>
                <w:sz w:val="24"/>
              </w:rPr>
              <w:t>条设计时速达</w:t>
            </w:r>
            <w:r>
              <w:rPr>
                <w:kern w:val="0"/>
                <w:sz w:val="24"/>
              </w:rPr>
              <w:t>60km</w:t>
            </w:r>
            <w:r>
              <w:rPr>
                <w:kern w:val="0"/>
                <w:sz w:val="24"/>
              </w:rPr>
              <w:t>的一级公路结合城市主干路，提升了增城区内部以及与外部区域的交通连接性，改善了交通流动性；同时缓解了新塘站落成运营后对周边区域主要道路的交通压力和城市交通拥堵问题，提高了道路运输效率，完善了新塘站的客运输送能力，对于促进新塘站和增城区对外往来和经济发展提供了有力支撑。</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lang w:bidi="ar"/>
              </w:rPr>
            </w:pPr>
            <w:r>
              <w:rPr>
                <w:color w:val="000000" w:themeColor="text1"/>
                <w:kern w:val="0"/>
                <w:sz w:val="24"/>
                <w:lang w:bidi="ar"/>
              </w:rPr>
              <w:t>7</w:t>
            </w:r>
          </w:p>
        </w:tc>
      </w:tr>
      <w:tr w:rsidR="0029667E">
        <w:trPr>
          <w:trHeight w:val="567"/>
          <w:jc w:val="center"/>
        </w:trPr>
        <w:tc>
          <w:tcPr>
            <w:tcW w:w="1202" w:type="dxa"/>
            <w:vMerge/>
            <w:shd w:val="clear" w:color="auto" w:fill="auto"/>
            <w:vAlign w:val="center"/>
          </w:tcPr>
          <w:p w:rsidR="0029667E" w:rsidRDefault="0029667E">
            <w:pPr>
              <w:snapToGrid w:val="0"/>
              <w:spacing w:line="240" w:lineRule="auto"/>
              <w:ind w:firstLineChars="0" w:firstLine="0"/>
              <w:jc w:val="center"/>
              <w:rPr>
                <w:kern w:val="0"/>
                <w:sz w:val="24"/>
              </w:rPr>
            </w:pPr>
          </w:p>
        </w:tc>
        <w:tc>
          <w:tcPr>
            <w:tcW w:w="780" w:type="dxa"/>
            <w:vMerge/>
            <w:shd w:val="clear" w:color="auto" w:fill="auto"/>
            <w:vAlign w:val="center"/>
          </w:tcPr>
          <w:p w:rsidR="0029667E" w:rsidRDefault="0029667E">
            <w:pPr>
              <w:snapToGrid w:val="0"/>
              <w:spacing w:line="240" w:lineRule="auto"/>
              <w:ind w:firstLineChars="0" w:firstLine="0"/>
              <w:jc w:val="center"/>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center"/>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社会效益</w:t>
            </w:r>
          </w:p>
        </w:tc>
        <w:tc>
          <w:tcPr>
            <w:tcW w:w="729"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7</w:t>
            </w:r>
          </w:p>
        </w:tc>
        <w:tc>
          <w:tcPr>
            <w:tcW w:w="147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完善区域交通路网</w:t>
            </w:r>
          </w:p>
        </w:tc>
        <w:tc>
          <w:tcPr>
            <w:tcW w:w="75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7</w:t>
            </w:r>
          </w:p>
        </w:tc>
        <w:tc>
          <w:tcPr>
            <w:tcW w:w="3180" w:type="dxa"/>
            <w:shd w:val="clear" w:color="auto" w:fill="auto"/>
            <w:vAlign w:val="center"/>
          </w:tcPr>
          <w:p w:rsidR="0029667E" w:rsidRDefault="005F36FF">
            <w:pPr>
              <w:widowControl/>
              <w:snapToGrid w:val="0"/>
              <w:spacing w:line="240" w:lineRule="auto"/>
              <w:ind w:firstLineChars="0" w:firstLine="0"/>
              <w:jc w:val="left"/>
              <w:textAlignment w:val="center"/>
              <w:rPr>
                <w:kern w:val="0"/>
                <w:sz w:val="24"/>
              </w:rPr>
            </w:pPr>
            <w:r>
              <w:rPr>
                <w:color w:val="000000"/>
                <w:kern w:val="0"/>
                <w:sz w:val="24"/>
                <w:lang w:bidi="ar"/>
              </w:rPr>
              <w:t>预期指标值为</w:t>
            </w:r>
            <w:r>
              <w:rPr>
                <w:rFonts w:ascii="仿宋_GB2312" w:hint="eastAsia"/>
                <w:color w:val="000000"/>
                <w:kern w:val="0"/>
                <w:sz w:val="24"/>
                <w:lang w:bidi="ar"/>
              </w:rPr>
              <w:t>“</w:t>
            </w:r>
            <w:r>
              <w:rPr>
                <w:color w:val="000000"/>
                <w:kern w:val="0"/>
                <w:sz w:val="24"/>
                <w:lang w:bidi="ar"/>
              </w:rPr>
              <w:t>提高区域交通路网密度，完善区域路网建设</w:t>
            </w:r>
            <w:r>
              <w:rPr>
                <w:rFonts w:ascii="仿宋_GB2312" w:hint="eastAsia"/>
                <w:color w:val="000000"/>
                <w:kern w:val="0"/>
                <w:sz w:val="24"/>
                <w:lang w:bidi="ar"/>
              </w:rPr>
              <w:t>”</w:t>
            </w:r>
            <w:r>
              <w:rPr>
                <w:color w:val="000000"/>
                <w:kern w:val="0"/>
                <w:sz w:val="24"/>
                <w:lang w:bidi="ar"/>
              </w:rPr>
              <w:t>，则视实际情况综合评分。</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项目通过新建</w:t>
            </w:r>
            <w:proofErr w:type="gramStart"/>
            <w:r>
              <w:rPr>
                <w:kern w:val="0"/>
                <w:sz w:val="24"/>
              </w:rPr>
              <w:t>纵</w:t>
            </w:r>
            <w:proofErr w:type="gramEnd"/>
            <w:r>
              <w:rPr>
                <w:kern w:val="0"/>
                <w:sz w:val="24"/>
              </w:rPr>
              <w:t>一路、站前路隧道、汽车大道主线及其支线；改造新源路主线及其支线、环城路、新新公路等，完善了新塘站片区路网的建设，将新塘站与周围区域连接起来，实现了新塘镇乃至增城区交通内联外通的目标，对于提高区域交通路网密度，完善区域路网建设发挥了良好效果。</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lang w:bidi="ar"/>
              </w:rPr>
            </w:pPr>
            <w:r>
              <w:rPr>
                <w:color w:val="000000" w:themeColor="text1"/>
                <w:kern w:val="0"/>
                <w:sz w:val="24"/>
                <w:lang w:bidi="ar"/>
              </w:rPr>
              <w:t>7</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083"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3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596"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生态效益</w:t>
            </w:r>
          </w:p>
        </w:tc>
        <w:tc>
          <w:tcPr>
            <w:tcW w:w="729"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6</w:t>
            </w:r>
          </w:p>
        </w:tc>
        <w:tc>
          <w:tcPr>
            <w:tcW w:w="147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提高区域绿化水平</w:t>
            </w:r>
          </w:p>
        </w:tc>
        <w:tc>
          <w:tcPr>
            <w:tcW w:w="750" w:type="dxa"/>
            <w:shd w:val="clear" w:color="auto" w:fill="auto"/>
            <w:vAlign w:val="center"/>
          </w:tcPr>
          <w:p w:rsidR="0029667E" w:rsidRDefault="005F36FF">
            <w:pPr>
              <w:widowControl/>
              <w:snapToGrid w:val="0"/>
              <w:spacing w:line="240" w:lineRule="auto"/>
              <w:ind w:firstLineChars="0" w:firstLine="0"/>
              <w:jc w:val="center"/>
              <w:textAlignment w:val="center"/>
              <w:rPr>
                <w:kern w:val="0"/>
                <w:sz w:val="24"/>
              </w:rPr>
            </w:pPr>
            <w:r>
              <w:rPr>
                <w:color w:val="000000"/>
                <w:kern w:val="0"/>
                <w:sz w:val="24"/>
                <w:lang w:bidi="ar"/>
              </w:rPr>
              <w:t>6</w:t>
            </w:r>
          </w:p>
        </w:tc>
        <w:tc>
          <w:tcPr>
            <w:tcW w:w="3180" w:type="dxa"/>
            <w:shd w:val="clear" w:color="auto" w:fill="auto"/>
            <w:vAlign w:val="center"/>
          </w:tcPr>
          <w:p w:rsidR="0029667E" w:rsidRDefault="005F36FF">
            <w:pPr>
              <w:widowControl/>
              <w:snapToGrid w:val="0"/>
              <w:spacing w:line="240" w:lineRule="auto"/>
              <w:ind w:firstLineChars="0" w:firstLine="0"/>
              <w:jc w:val="left"/>
              <w:textAlignment w:val="center"/>
              <w:rPr>
                <w:kern w:val="0"/>
                <w:sz w:val="24"/>
              </w:rPr>
            </w:pPr>
            <w:r>
              <w:rPr>
                <w:color w:val="000000"/>
                <w:kern w:val="0"/>
                <w:sz w:val="24"/>
                <w:lang w:bidi="ar"/>
              </w:rPr>
              <w:t>预期指标值为</w:t>
            </w:r>
            <w:r>
              <w:rPr>
                <w:rFonts w:ascii="仿宋_GB2312" w:hint="eastAsia"/>
                <w:color w:val="000000"/>
                <w:kern w:val="0"/>
                <w:sz w:val="24"/>
                <w:lang w:bidi="ar"/>
              </w:rPr>
              <w:t>“</w:t>
            </w:r>
            <w:r>
              <w:rPr>
                <w:color w:val="000000"/>
                <w:kern w:val="0"/>
                <w:sz w:val="24"/>
                <w:lang w:bidi="ar"/>
              </w:rPr>
              <w:t>增加道路绿化面积，提高区域绿化水平</w:t>
            </w:r>
            <w:r>
              <w:rPr>
                <w:rFonts w:ascii="仿宋_GB2312" w:hint="eastAsia"/>
                <w:color w:val="000000"/>
                <w:kern w:val="0"/>
                <w:sz w:val="24"/>
                <w:lang w:bidi="ar"/>
              </w:rPr>
              <w:t>”</w:t>
            </w:r>
            <w:r>
              <w:rPr>
                <w:color w:val="000000"/>
                <w:kern w:val="0"/>
                <w:sz w:val="24"/>
                <w:lang w:bidi="ar"/>
              </w:rPr>
              <w:t>，</w:t>
            </w:r>
            <w:r>
              <w:rPr>
                <w:rStyle w:val="font11"/>
                <w:rFonts w:ascii="Times New Roman" w:cs="Times New Roman"/>
                <w:sz w:val="24"/>
                <w:szCs w:val="24"/>
                <w:lang w:bidi="ar"/>
              </w:rPr>
              <w:t>根据道路植被是否根据要求种植、道路植被覆盖情况等综合评分。</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根据项目一、二标段施工总结报告，一标段种植绿化面积</w:t>
            </w:r>
            <w:r>
              <w:rPr>
                <w:kern w:val="0"/>
                <w:sz w:val="24"/>
              </w:rPr>
              <w:t>14508</w:t>
            </w:r>
            <w:r>
              <w:rPr>
                <w:kern w:val="0"/>
                <w:sz w:val="24"/>
              </w:rPr>
              <w:t>平方米，二标段种植绿化面积</w:t>
            </w:r>
            <w:r>
              <w:rPr>
                <w:kern w:val="0"/>
                <w:sz w:val="24"/>
              </w:rPr>
              <w:t>14081</w:t>
            </w:r>
            <w:r>
              <w:rPr>
                <w:kern w:val="0"/>
                <w:sz w:val="24"/>
              </w:rPr>
              <w:t>平方米，结合现场核查情况，道路绿化覆盖情况良好，植物茂盛，景观环境优美。一方面有助于减少汽车尾气和灰尘、悬浮颗粒对空气的污染，改善空气质量；一方面美化了城市景观，提高居民生活环境质量的同时也提高了城市整体形象，有效提高了区域绿化水平。</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lang w:bidi="ar"/>
              </w:rPr>
            </w:pPr>
            <w:r>
              <w:rPr>
                <w:color w:val="000000" w:themeColor="text1"/>
                <w:kern w:val="0"/>
                <w:sz w:val="24"/>
                <w:lang w:bidi="ar"/>
              </w:rPr>
              <w:t>6</w:t>
            </w:r>
          </w:p>
        </w:tc>
      </w:tr>
      <w:tr w:rsidR="0029667E">
        <w:trPr>
          <w:trHeight w:val="567"/>
          <w:jc w:val="center"/>
        </w:trPr>
        <w:tc>
          <w:tcPr>
            <w:tcW w:w="1202"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780" w:type="dxa"/>
            <w:vMerge/>
            <w:shd w:val="clear" w:color="auto" w:fill="auto"/>
            <w:vAlign w:val="center"/>
          </w:tcPr>
          <w:p w:rsidR="0029667E" w:rsidRDefault="0029667E">
            <w:pPr>
              <w:widowControl/>
              <w:snapToGrid w:val="0"/>
              <w:spacing w:line="240" w:lineRule="auto"/>
              <w:ind w:firstLineChars="0" w:firstLine="0"/>
              <w:jc w:val="left"/>
              <w:rPr>
                <w:kern w:val="0"/>
                <w:sz w:val="24"/>
              </w:rPr>
            </w:pPr>
          </w:p>
        </w:tc>
        <w:tc>
          <w:tcPr>
            <w:tcW w:w="1083"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公平性</w:t>
            </w:r>
          </w:p>
        </w:tc>
        <w:tc>
          <w:tcPr>
            <w:tcW w:w="732"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5</w:t>
            </w:r>
          </w:p>
        </w:tc>
        <w:tc>
          <w:tcPr>
            <w:tcW w:w="1596"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满意度</w:t>
            </w:r>
          </w:p>
        </w:tc>
        <w:tc>
          <w:tcPr>
            <w:tcW w:w="729"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5</w:t>
            </w:r>
          </w:p>
        </w:tc>
        <w:tc>
          <w:tcPr>
            <w:tcW w:w="147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服务对象满意度</w:t>
            </w:r>
          </w:p>
        </w:tc>
        <w:tc>
          <w:tcPr>
            <w:tcW w:w="750" w:type="dxa"/>
            <w:shd w:val="clear" w:color="auto" w:fill="auto"/>
            <w:vAlign w:val="center"/>
          </w:tcPr>
          <w:p w:rsidR="0029667E" w:rsidRDefault="005F36FF">
            <w:pPr>
              <w:widowControl/>
              <w:snapToGrid w:val="0"/>
              <w:spacing w:line="240" w:lineRule="auto"/>
              <w:ind w:firstLineChars="0" w:firstLine="0"/>
              <w:jc w:val="center"/>
              <w:rPr>
                <w:kern w:val="0"/>
                <w:sz w:val="24"/>
              </w:rPr>
            </w:pPr>
            <w:r>
              <w:rPr>
                <w:kern w:val="0"/>
                <w:sz w:val="24"/>
              </w:rPr>
              <w:t>5</w:t>
            </w:r>
          </w:p>
        </w:tc>
        <w:tc>
          <w:tcPr>
            <w:tcW w:w="3180" w:type="dxa"/>
            <w:shd w:val="clear" w:color="auto" w:fill="auto"/>
            <w:vAlign w:val="center"/>
          </w:tcPr>
          <w:p w:rsidR="0029667E" w:rsidRDefault="005F36FF">
            <w:pPr>
              <w:widowControl/>
              <w:snapToGrid w:val="0"/>
              <w:spacing w:line="240" w:lineRule="auto"/>
              <w:ind w:firstLineChars="0" w:firstLine="0"/>
              <w:rPr>
                <w:kern w:val="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90%</w:t>
            </w:r>
            <w:r>
              <w:rPr>
                <w:rFonts w:ascii="仿宋_GB2312" w:hint="eastAsia"/>
                <w:color w:val="000000"/>
                <w:kern w:val="0"/>
                <w:sz w:val="24"/>
                <w:lang w:bidi="ar"/>
              </w:rPr>
              <w:t>”</w:t>
            </w:r>
            <w:r>
              <w:rPr>
                <w:color w:val="000000"/>
                <w:kern w:val="0"/>
                <w:sz w:val="24"/>
                <w:lang w:bidi="ar"/>
              </w:rPr>
              <w:t>，反映项目实施周边区域居民、服务对象对于本项目实施产生效益的满意度情况，根据满意度调查问卷回收数据进行评分，达到预期目标得满分，每减少</w:t>
            </w:r>
            <w:r>
              <w:rPr>
                <w:color w:val="000000"/>
                <w:kern w:val="0"/>
                <w:sz w:val="24"/>
                <w:lang w:bidi="ar"/>
              </w:rPr>
              <w:t>5%</w:t>
            </w:r>
            <w:r>
              <w:rPr>
                <w:color w:val="000000"/>
                <w:kern w:val="0"/>
                <w:sz w:val="24"/>
                <w:lang w:bidi="ar"/>
              </w:rPr>
              <w:t>扣</w:t>
            </w:r>
            <w:r>
              <w:rPr>
                <w:color w:val="000000"/>
                <w:kern w:val="0"/>
                <w:sz w:val="24"/>
                <w:lang w:bidi="ar"/>
              </w:rPr>
              <w:t>1</w:t>
            </w:r>
            <w:r>
              <w:rPr>
                <w:color w:val="000000"/>
                <w:kern w:val="0"/>
                <w:sz w:val="24"/>
                <w:lang w:bidi="ar"/>
              </w:rPr>
              <w:t>分，扣完即止。</w:t>
            </w:r>
          </w:p>
        </w:tc>
        <w:tc>
          <w:tcPr>
            <w:tcW w:w="3551" w:type="dxa"/>
            <w:shd w:val="clear" w:color="auto" w:fill="auto"/>
            <w:vAlign w:val="center"/>
          </w:tcPr>
          <w:p w:rsidR="0029667E" w:rsidRDefault="005F36FF">
            <w:pPr>
              <w:widowControl/>
              <w:snapToGrid w:val="0"/>
              <w:spacing w:line="240" w:lineRule="auto"/>
              <w:ind w:firstLineChars="0" w:firstLine="0"/>
              <w:rPr>
                <w:kern w:val="0"/>
                <w:sz w:val="24"/>
              </w:rPr>
            </w:pPr>
            <w:r>
              <w:rPr>
                <w:kern w:val="0"/>
                <w:sz w:val="24"/>
              </w:rPr>
              <w:t>项目满意</w:t>
            </w:r>
            <w:proofErr w:type="gramStart"/>
            <w:r>
              <w:rPr>
                <w:kern w:val="0"/>
                <w:sz w:val="24"/>
              </w:rPr>
              <w:t>度针对</w:t>
            </w:r>
            <w:proofErr w:type="gramEnd"/>
            <w:r>
              <w:rPr>
                <w:kern w:val="0"/>
                <w:sz w:val="24"/>
              </w:rPr>
              <w:t>工程质量、工程进度、施工安全、文明施工、整治道路周边环境和提高道路安全服务水平等方面开展调查，最终回收问卷</w:t>
            </w:r>
            <w:r>
              <w:rPr>
                <w:kern w:val="0"/>
                <w:sz w:val="24"/>
              </w:rPr>
              <w:t>215</w:t>
            </w:r>
            <w:r>
              <w:rPr>
                <w:kern w:val="0"/>
                <w:sz w:val="24"/>
              </w:rPr>
              <w:t>份，有效问卷</w:t>
            </w:r>
            <w:r>
              <w:rPr>
                <w:kern w:val="0"/>
                <w:sz w:val="24"/>
              </w:rPr>
              <w:t>211</w:t>
            </w:r>
            <w:r>
              <w:rPr>
                <w:kern w:val="0"/>
                <w:sz w:val="24"/>
              </w:rPr>
              <w:t>份，综合满意度</w:t>
            </w:r>
            <w:r>
              <w:rPr>
                <w:kern w:val="0"/>
                <w:sz w:val="24"/>
              </w:rPr>
              <w:t>90.17%</w:t>
            </w:r>
            <w:r>
              <w:rPr>
                <w:kern w:val="0"/>
                <w:sz w:val="24"/>
              </w:rPr>
              <w:t>。</w:t>
            </w:r>
          </w:p>
        </w:tc>
        <w:tc>
          <w:tcPr>
            <w:tcW w:w="793" w:type="dxa"/>
            <w:shd w:val="clear" w:color="auto" w:fill="auto"/>
            <w:vAlign w:val="center"/>
          </w:tcPr>
          <w:p w:rsidR="0029667E" w:rsidRDefault="005F36FF">
            <w:pPr>
              <w:widowControl/>
              <w:spacing w:line="240" w:lineRule="auto"/>
              <w:ind w:firstLineChars="0" w:firstLine="0"/>
              <w:jc w:val="center"/>
              <w:textAlignment w:val="center"/>
              <w:rPr>
                <w:color w:val="000000" w:themeColor="text1"/>
                <w:kern w:val="0"/>
                <w:sz w:val="24"/>
                <w:lang w:bidi="ar"/>
              </w:rPr>
            </w:pPr>
            <w:r>
              <w:rPr>
                <w:color w:val="000000" w:themeColor="text1"/>
                <w:kern w:val="0"/>
                <w:sz w:val="24"/>
                <w:lang w:bidi="ar"/>
              </w:rPr>
              <w:t>5</w:t>
            </w:r>
          </w:p>
        </w:tc>
      </w:tr>
      <w:tr w:rsidR="0029667E">
        <w:trPr>
          <w:trHeight w:val="567"/>
          <w:jc w:val="center"/>
        </w:trPr>
        <w:tc>
          <w:tcPr>
            <w:tcW w:w="1202" w:type="dxa"/>
            <w:shd w:val="clear" w:color="auto" w:fill="auto"/>
            <w:noWrap/>
            <w:vAlign w:val="center"/>
          </w:tcPr>
          <w:p w:rsidR="0029667E" w:rsidRDefault="005F36FF">
            <w:pPr>
              <w:widowControl/>
              <w:snapToGrid w:val="0"/>
              <w:spacing w:line="240" w:lineRule="auto"/>
              <w:ind w:firstLineChars="0" w:firstLine="0"/>
              <w:jc w:val="center"/>
              <w:rPr>
                <w:b/>
                <w:bCs/>
                <w:kern w:val="0"/>
                <w:sz w:val="24"/>
              </w:rPr>
            </w:pPr>
            <w:r>
              <w:rPr>
                <w:b/>
                <w:bCs/>
                <w:kern w:val="0"/>
                <w:sz w:val="24"/>
              </w:rPr>
              <w:t>合计</w:t>
            </w:r>
          </w:p>
        </w:tc>
        <w:tc>
          <w:tcPr>
            <w:tcW w:w="780" w:type="dxa"/>
            <w:shd w:val="clear" w:color="auto" w:fill="auto"/>
            <w:noWrap/>
            <w:vAlign w:val="center"/>
          </w:tcPr>
          <w:p w:rsidR="0029667E" w:rsidRDefault="005F36FF">
            <w:pPr>
              <w:widowControl/>
              <w:snapToGrid w:val="0"/>
              <w:spacing w:line="240" w:lineRule="auto"/>
              <w:ind w:firstLineChars="0" w:firstLine="0"/>
              <w:jc w:val="center"/>
              <w:rPr>
                <w:b/>
                <w:bCs/>
                <w:kern w:val="0"/>
                <w:sz w:val="24"/>
              </w:rPr>
            </w:pPr>
            <w:r>
              <w:rPr>
                <w:b/>
                <w:bCs/>
                <w:kern w:val="0"/>
                <w:sz w:val="24"/>
              </w:rPr>
              <w:t>100</w:t>
            </w:r>
          </w:p>
        </w:tc>
        <w:tc>
          <w:tcPr>
            <w:tcW w:w="1083" w:type="dxa"/>
            <w:shd w:val="clear" w:color="auto" w:fill="auto"/>
            <w:noWrap/>
            <w:vAlign w:val="center"/>
          </w:tcPr>
          <w:p w:rsidR="0029667E" w:rsidRDefault="0029667E">
            <w:pPr>
              <w:widowControl/>
              <w:snapToGrid w:val="0"/>
              <w:spacing w:line="240" w:lineRule="auto"/>
              <w:ind w:firstLineChars="0" w:firstLine="0"/>
              <w:jc w:val="center"/>
              <w:rPr>
                <w:b/>
                <w:bCs/>
                <w:kern w:val="0"/>
                <w:sz w:val="24"/>
              </w:rPr>
            </w:pPr>
          </w:p>
        </w:tc>
        <w:tc>
          <w:tcPr>
            <w:tcW w:w="732" w:type="dxa"/>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100</w:t>
            </w:r>
          </w:p>
        </w:tc>
        <w:tc>
          <w:tcPr>
            <w:tcW w:w="1596" w:type="dxa"/>
            <w:shd w:val="clear" w:color="auto" w:fill="auto"/>
            <w:noWrap/>
            <w:vAlign w:val="center"/>
          </w:tcPr>
          <w:p w:rsidR="0029667E" w:rsidRDefault="0029667E">
            <w:pPr>
              <w:widowControl/>
              <w:snapToGrid w:val="0"/>
              <w:spacing w:line="240" w:lineRule="auto"/>
              <w:ind w:firstLineChars="0" w:firstLine="0"/>
              <w:jc w:val="center"/>
              <w:rPr>
                <w:b/>
                <w:bCs/>
                <w:kern w:val="0"/>
                <w:sz w:val="24"/>
              </w:rPr>
            </w:pPr>
          </w:p>
        </w:tc>
        <w:tc>
          <w:tcPr>
            <w:tcW w:w="729" w:type="dxa"/>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100</w:t>
            </w:r>
          </w:p>
        </w:tc>
        <w:tc>
          <w:tcPr>
            <w:tcW w:w="1470" w:type="dxa"/>
            <w:shd w:val="clear" w:color="auto" w:fill="auto"/>
            <w:noWrap/>
            <w:vAlign w:val="center"/>
          </w:tcPr>
          <w:p w:rsidR="0029667E" w:rsidRDefault="0029667E">
            <w:pPr>
              <w:widowControl/>
              <w:snapToGrid w:val="0"/>
              <w:spacing w:line="240" w:lineRule="auto"/>
              <w:ind w:firstLineChars="0" w:firstLine="0"/>
              <w:jc w:val="center"/>
              <w:rPr>
                <w:b/>
                <w:bCs/>
                <w:kern w:val="0"/>
                <w:sz w:val="24"/>
              </w:rPr>
            </w:pPr>
          </w:p>
        </w:tc>
        <w:tc>
          <w:tcPr>
            <w:tcW w:w="750" w:type="dxa"/>
            <w:shd w:val="clear" w:color="auto" w:fill="auto"/>
            <w:vAlign w:val="center"/>
          </w:tcPr>
          <w:p w:rsidR="0029667E" w:rsidRDefault="005F36FF">
            <w:pPr>
              <w:widowControl/>
              <w:snapToGrid w:val="0"/>
              <w:spacing w:line="240" w:lineRule="auto"/>
              <w:ind w:firstLineChars="0" w:firstLine="0"/>
              <w:jc w:val="center"/>
              <w:rPr>
                <w:b/>
                <w:bCs/>
                <w:kern w:val="0"/>
                <w:sz w:val="24"/>
              </w:rPr>
            </w:pPr>
            <w:r>
              <w:rPr>
                <w:b/>
                <w:bCs/>
                <w:kern w:val="0"/>
                <w:sz w:val="24"/>
              </w:rPr>
              <w:t>100</w:t>
            </w:r>
          </w:p>
        </w:tc>
        <w:tc>
          <w:tcPr>
            <w:tcW w:w="3180" w:type="dxa"/>
            <w:shd w:val="clear" w:color="auto" w:fill="auto"/>
            <w:noWrap/>
            <w:vAlign w:val="center"/>
          </w:tcPr>
          <w:p w:rsidR="0029667E" w:rsidRDefault="0029667E">
            <w:pPr>
              <w:widowControl/>
              <w:snapToGrid w:val="0"/>
              <w:spacing w:line="240" w:lineRule="auto"/>
              <w:ind w:firstLineChars="0" w:firstLine="0"/>
              <w:jc w:val="center"/>
              <w:rPr>
                <w:b/>
                <w:bCs/>
                <w:kern w:val="0"/>
                <w:sz w:val="24"/>
              </w:rPr>
            </w:pPr>
          </w:p>
        </w:tc>
        <w:tc>
          <w:tcPr>
            <w:tcW w:w="3551" w:type="dxa"/>
            <w:shd w:val="clear" w:color="auto" w:fill="auto"/>
            <w:noWrap/>
            <w:vAlign w:val="center"/>
          </w:tcPr>
          <w:p w:rsidR="0029667E" w:rsidRDefault="0029667E">
            <w:pPr>
              <w:widowControl/>
              <w:snapToGrid w:val="0"/>
              <w:spacing w:line="240" w:lineRule="auto"/>
              <w:ind w:firstLineChars="0" w:firstLine="0"/>
              <w:rPr>
                <w:kern w:val="0"/>
                <w:sz w:val="24"/>
              </w:rPr>
            </w:pPr>
          </w:p>
        </w:tc>
        <w:tc>
          <w:tcPr>
            <w:tcW w:w="793" w:type="dxa"/>
            <w:shd w:val="clear" w:color="auto" w:fill="auto"/>
            <w:noWrap/>
            <w:vAlign w:val="center"/>
          </w:tcPr>
          <w:p w:rsidR="0029667E" w:rsidRDefault="005F36FF">
            <w:pPr>
              <w:widowControl/>
              <w:snapToGrid w:val="0"/>
              <w:spacing w:line="240" w:lineRule="auto"/>
              <w:ind w:firstLineChars="0" w:firstLine="0"/>
              <w:jc w:val="center"/>
              <w:rPr>
                <w:b/>
                <w:bCs/>
                <w:color w:val="000000" w:themeColor="text1"/>
                <w:kern w:val="0"/>
                <w:sz w:val="24"/>
              </w:rPr>
            </w:pPr>
            <w:r>
              <w:rPr>
                <w:rFonts w:hint="eastAsia"/>
                <w:b/>
                <w:bCs/>
                <w:color w:val="000000" w:themeColor="text1"/>
                <w:kern w:val="0"/>
                <w:sz w:val="24"/>
              </w:rPr>
              <w:t>89</w:t>
            </w:r>
            <w:r>
              <w:rPr>
                <w:b/>
                <w:bCs/>
                <w:color w:val="000000" w:themeColor="text1"/>
                <w:kern w:val="0"/>
                <w:sz w:val="24"/>
              </w:rPr>
              <w:t>.5</w:t>
            </w:r>
          </w:p>
        </w:tc>
      </w:tr>
    </w:tbl>
    <w:p w:rsidR="0029667E" w:rsidRDefault="0029667E">
      <w:pPr>
        <w:ind w:firstLine="640"/>
      </w:pPr>
    </w:p>
    <w:p w:rsidR="0029667E" w:rsidRDefault="0029667E">
      <w:pPr>
        <w:ind w:firstLine="640"/>
        <w:sectPr w:rsidR="0029667E">
          <w:pgSz w:w="16838" w:h="11906" w:orient="landscape"/>
          <w:pgMar w:top="2041" w:right="1418" w:bottom="1418" w:left="1531" w:header="851" w:footer="992" w:gutter="0"/>
          <w:pgNumType w:fmt="numberInDash"/>
          <w:cols w:space="720"/>
          <w:docGrid w:type="linesAndChars" w:linePitch="435"/>
        </w:sectPr>
      </w:pPr>
    </w:p>
    <w:p w:rsidR="0029667E" w:rsidRDefault="005F36FF">
      <w:pPr>
        <w:pStyle w:val="1"/>
        <w:ind w:firstLine="640"/>
      </w:pPr>
      <w:bookmarkStart w:id="101" w:name="_Toc26778"/>
      <w:bookmarkStart w:id="102" w:name="_Toc16833"/>
      <w:bookmarkStart w:id="103" w:name="_Toc6345"/>
      <w:bookmarkStart w:id="104" w:name="_Toc16669"/>
      <w:r>
        <w:t>附件</w:t>
      </w:r>
      <w:r>
        <w:t>2</w:t>
      </w:r>
      <w:r>
        <w:t>：项目满意度问卷结果</w:t>
      </w:r>
      <w:bookmarkEnd w:id="101"/>
      <w:bookmarkEnd w:id="102"/>
      <w:bookmarkEnd w:id="103"/>
      <w:bookmarkEnd w:id="104"/>
    </w:p>
    <w:p w:rsidR="0029667E" w:rsidRDefault="0029667E">
      <w:pPr>
        <w:pStyle w:val="20"/>
        <w:ind w:firstLine="64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6"/>
        <w:gridCol w:w="2868"/>
        <w:gridCol w:w="1266"/>
        <w:gridCol w:w="1700"/>
      </w:tblGrid>
      <w:tr w:rsidR="0029667E">
        <w:trPr>
          <w:trHeight w:val="567"/>
          <w:tblHeader/>
          <w:jc w:val="center"/>
        </w:trPr>
        <w:tc>
          <w:tcPr>
            <w:tcW w:w="3226" w:type="dxa"/>
            <w:shd w:val="clear" w:color="auto" w:fill="auto"/>
            <w:noWrap/>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调查统计</w:t>
            </w:r>
          </w:p>
        </w:tc>
        <w:tc>
          <w:tcPr>
            <w:tcW w:w="5834" w:type="dxa"/>
            <w:gridSpan w:val="3"/>
            <w:shd w:val="clear" w:color="auto" w:fill="auto"/>
            <w:noWrap/>
            <w:vAlign w:val="center"/>
          </w:tcPr>
          <w:p w:rsidR="0029667E" w:rsidRDefault="005F36FF">
            <w:pPr>
              <w:widowControl/>
              <w:adjustRightInd w:val="0"/>
              <w:snapToGrid w:val="0"/>
              <w:spacing w:line="240" w:lineRule="auto"/>
              <w:ind w:firstLineChars="0" w:firstLine="0"/>
              <w:jc w:val="left"/>
              <w:rPr>
                <w:kern w:val="0"/>
                <w:sz w:val="24"/>
              </w:rPr>
            </w:pPr>
            <w:r>
              <w:rPr>
                <w:kern w:val="0"/>
                <w:sz w:val="24"/>
              </w:rPr>
              <w:t>回收问卷总数</w:t>
            </w:r>
            <w:r>
              <w:rPr>
                <w:kern w:val="0"/>
                <w:sz w:val="24"/>
              </w:rPr>
              <w:t>215</w:t>
            </w:r>
            <w:r>
              <w:rPr>
                <w:kern w:val="0"/>
                <w:sz w:val="24"/>
              </w:rPr>
              <w:t>份，其中有效问卷</w:t>
            </w:r>
            <w:r>
              <w:rPr>
                <w:kern w:val="0"/>
                <w:sz w:val="24"/>
              </w:rPr>
              <w:t>211</w:t>
            </w:r>
            <w:r>
              <w:rPr>
                <w:kern w:val="0"/>
                <w:sz w:val="24"/>
              </w:rPr>
              <w:t>份，问卷有效率</w:t>
            </w:r>
            <w:r>
              <w:rPr>
                <w:kern w:val="0"/>
                <w:sz w:val="24"/>
              </w:rPr>
              <w:t>98.14%</w:t>
            </w:r>
          </w:p>
        </w:tc>
      </w:tr>
      <w:tr w:rsidR="0029667E">
        <w:trPr>
          <w:trHeight w:val="567"/>
          <w:tblHeader/>
          <w:jc w:val="center"/>
        </w:trPr>
        <w:tc>
          <w:tcPr>
            <w:tcW w:w="3226" w:type="dxa"/>
            <w:shd w:val="clear" w:color="auto" w:fill="auto"/>
            <w:noWrap/>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调查对象</w:t>
            </w:r>
          </w:p>
        </w:tc>
        <w:tc>
          <w:tcPr>
            <w:tcW w:w="5834" w:type="dxa"/>
            <w:gridSpan w:val="3"/>
            <w:shd w:val="clear" w:color="auto" w:fill="auto"/>
            <w:noWrap/>
            <w:vAlign w:val="center"/>
          </w:tcPr>
          <w:p w:rsidR="0029667E" w:rsidRDefault="005F36FF">
            <w:pPr>
              <w:widowControl/>
              <w:adjustRightInd w:val="0"/>
              <w:snapToGrid w:val="0"/>
              <w:spacing w:line="240" w:lineRule="auto"/>
              <w:ind w:firstLineChars="0" w:firstLine="0"/>
              <w:jc w:val="left"/>
              <w:rPr>
                <w:kern w:val="0"/>
                <w:sz w:val="24"/>
              </w:rPr>
            </w:pPr>
            <w:r>
              <w:rPr>
                <w:kern w:val="0"/>
                <w:sz w:val="24"/>
              </w:rPr>
              <w:t>项目周边居民</w:t>
            </w:r>
          </w:p>
        </w:tc>
      </w:tr>
      <w:tr w:rsidR="0029667E">
        <w:trPr>
          <w:trHeight w:val="567"/>
          <w:tblHeader/>
          <w:jc w:val="center"/>
        </w:trPr>
        <w:tc>
          <w:tcPr>
            <w:tcW w:w="3226" w:type="dxa"/>
            <w:shd w:val="clear" w:color="auto" w:fill="auto"/>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问题</w:t>
            </w: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选项</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人数</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占比</w:t>
            </w:r>
          </w:p>
        </w:tc>
      </w:tr>
      <w:tr w:rsidR="0029667E">
        <w:trPr>
          <w:trHeight w:val="567"/>
          <w:jc w:val="center"/>
        </w:trPr>
        <w:tc>
          <w:tcPr>
            <w:tcW w:w="3226" w:type="dxa"/>
            <w:vMerge w:val="restart"/>
            <w:shd w:val="clear" w:color="auto" w:fill="auto"/>
            <w:vAlign w:val="center"/>
          </w:tcPr>
          <w:p w:rsidR="0029667E" w:rsidRDefault="005F36FF">
            <w:pPr>
              <w:widowControl/>
              <w:adjustRightInd w:val="0"/>
              <w:snapToGrid w:val="0"/>
              <w:spacing w:line="240" w:lineRule="auto"/>
              <w:ind w:firstLineChars="0" w:firstLine="0"/>
              <w:rPr>
                <w:kern w:val="0"/>
                <w:sz w:val="24"/>
              </w:rPr>
            </w:pPr>
            <w:r>
              <w:rPr>
                <w:kern w:val="0"/>
                <w:sz w:val="24"/>
              </w:rPr>
              <w:t>5.</w:t>
            </w:r>
            <w:r>
              <w:rPr>
                <w:kern w:val="0"/>
                <w:sz w:val="24"/>
              </w:rPr>
              <w:t>您对新塘站片区路网</w:t>
            </w:r>
            <w:r>
              <w:rPr>
                <w:kern w:val="0"/>
                <w:sz w:val="24"/>
              </w:rPr>
              <w:t>-</w:t>
            </w:r>
            <w:r>
              <w:rPr>
                <w:kern w:val="0"/>
                <w:sz w:val="24"/>
              </w:rPr>
              <w:t>纵一路、新源路及汽车城大道建设工程建设过程中工程噪音、扬尘与垃圾处理等是否满意</w:t>
            </w: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不满意（</w:t>
            </w:r>
            <w:r>
              <w:rPr>
                <w:kern w:val="0"/>
                <w:sz w:val="24"/>
              </w:rPr>
              <w:t>1</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0</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0.00%</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不太满意（</w:t>
            </w:r>
            <w:r>
              <w:rPr>
                <w:kern w:val="0"/>
                <w:sz w:val="24"/>
              </w:rPr>
              <w:t>2</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0.47%</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一般（</w:t>
            </w:r>
            <w:r>
              <w:rPr>
                <w:kern w:val="0"/>
                <w:sz w:val="24"/>
              </w:rPr>
              <w:t>3</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18</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8.53%</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满意（</w:t>
            </w:r>
            <w:r>
              <w:rPr>
                <w:kern w:val="0"/>
                <w:sz w:val="24"/>
              </w:rPr>
              <w:t>4</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72</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34.12%</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非常满意（</w:t>
            </w:r>
            <w:r>
              <w:rPr>
                <w:kern w:val="0"/>
                <w:sz w:val="24"/>
              </w:rPr>
              <w:t>5</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120</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56.87%</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问题</w:t>
            </w:r>
            <w:r>
              <w:rPr>
                <w:b/>
                <w:bCs/>
                <w:kern w:val="0"/>
                <w:sz w:val="24"/>
              </w:rPr>
              <w:t>5</w:t>
            </w:r>
            <w:r>
              <w:rPr>
                <w:b/>
                <w:bCs/>
                <w:kern w:val="0"/>
                <w:sz w:val="24"/>
              </w:rPr>
              <w:t>满意度</w:t>
            </w:r>
          </w:p>
        </w:tc>
        <w:tc>
          <w:tcPr>
            <w:tcW w:w="2966" w:type="dxa"/>
            <w:gridSpan w:val="2"/>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b/>
                <w:bCs/>
                <w:kern w:val="0"/>
                <w:sz w:val="24"/>
              </w:rPr>
              <w:t>89.30%</w:t>
            </w:r>
          </w:p>
        </w:tc>
      </w:tr>
      <w:tr w:rsidR="0029667E">
        <w:trPr>
          <w:trHeight w:val="567"/>
          <w:jc w:val="center"/>
        </w:trPr>
        <w:tc>
          <w:tcPr>
            <w:tcW w:w="3226" w:type="dxa"/>
            <w:vMerge w:val="restart"/>
            <w:shd w:val="clear" w:color="auto" w:fill="auto"/>
            <w:vAlign w:val="center"/>
          </w:tcPr>
          <w:p w:rsidR="0029667E" w:rsidRDefault="005F36FF">
            <w:pPr>
              <w:widowControl/>
              <w:adjustRightInd w:val="0"/>
              <w:snapToGrid w:val="0"/>
              <w:spacing w:line="240" w:lineRule="auto"/>
              <w:ind w:firstLineChars="0" w:firstLine="0"/>
              <w:rPr>
                <w:kern w:val="0"/>
                <w:sz w:val="24"/>
              </w:rPr>
            </w:pPr>
            <w:r>
              <w:rPr>
                <w:kern w:val="0"/>
                <w:sz w:val="24"/>
              </w:rPr>
              <w:t>6.</w:t>
            </w:r>
            <w:r>
              <w:rPr>
                <w:kern w:val="0"/>
                <w:sz w:val="24"/>
              </w:rPr>
              <w:t>您对新塘站片区路网</w:t>
            </w:r>
            <w:r>
              <w:rPr>
                <w:kern w:val="0"/>
                <w:sz w:val="24"/>
              </w:rPr>
              <w:t>-</w:t>
            </w:r>
            <w:r>
              <w:rPr>
                <w:kern w:val="0"/>
                <w:sz w:val="24"/>
              </w:rPr>
              <w:t>纵一路、新源路及汽车城大道建设工程建设过程中的工程建设效率与进展是否满意</w:t>
            </w: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不满意（</w:t>
            </w:r>
            <w:r>
              <w:rPr>
                <w:kern w:val="0"/>
                <w:sz w:val="24"/>
              </w:rPr>
              <w:t>1</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0</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0.00%</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不太满意（</w:t>
            </w:r>
            <w:r>
              <w:rPr>
                <w:kern w:val="0"/>
                <w:sz w:val="24"/>
              </w:rPr>
              <w:t>2</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2</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0.95%</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一般（</w:t>
            </w:r>
            <w:r>
              <w:rPr>
                <w:kern w:val="0"/>
                <w:sz w:val="24"/>
              </w:rPr>
              <w:t>3</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12</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5.69%</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满意（</w:t>
            </w:r>
            <w:r>
              <w:rPr>
                <w:kern w:val="0"/>
                <w:sz w:val="24"/>
              </w:rPr>
              <w:t>4</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71</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33.65%</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非常满意（</w:t>
            </w:r>
            <w:r>
              <w:rPr>
                <w:kern w:val="0"/>
                <w:sz w:val="24"/>
              </w:rPr>
              <w:t>5</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126</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59.72%</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问题</w:t>
            </w:r>
            <w:r>
              <w:rPr>
                <w:b/>
                <w:bCs/>
                <w:kern w:val="0"/>
                <w:sz w:val="24"/>
              </w:rPr>
              <w:t>6</w:t>
            </w:r>
            <w:r>
              <w:rPr>
                <w:b/>
                <w:bCs/>
                <w:kern w:val="0"/>
                <w:sz w:val="24"/>
              </w:rPr>
              <w:t>满意度</w:t>
            </w:r>
          </w:p>
        </w:tc>
        <w:tc>
          <w:tcPr>
            <w:tcW w:w="2966" w:type="dxa"/>
            <w:gridSpan w:val="2"/>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b/>
                <w:bCs/>
                <w:kern w:val="0"/>
                <w:sz w:val="24"/>
              </w:rPr>
              <w:t>90.23%</w:t>
            </w:r>
          </w:p>
        </w:tc>
      </w:tr>
      <w:tr w:rsidR="0029667E">
        <w:trPr>
          <w:trHeight w:val="567"/>
          <w:jc w:val="center"/>
        </w:trPr>
        <w:tc>
          <w:tcPr>
            <w:tcW w:w="3226" w:type="dxa"/>
            <w:vMerge w:val="restart"/>
            <w:shd w:val="clear" w:color="auto" w:fill="auto"/>
            <w:vAlign w:val="center"/>
          </w:tcPr>
          <w:p w:rsidR="0029667E" w:rsidRDefault="005F36FF">
            <w:pPr>
              <w:widowControl/>
              <w:adjustRightInd w:val="0"/>
              <w:snapToGrid w:val="0"/>
              <w:spacing w:line="240" w:lineRule="auto"/>
              <w:ind w:firstLineChars="0" w:firstLine="0"/>
              <w:rPr>
                <w:kern w:val="0"/>
                <w:sz w:val="24"/>
              </w:rPr>
            </w:pPr>
            <w:r>
              <w:rPr>
                <w:kern w:val="0"/>
                <w:sz w:val="24"/>
              </w:rPr>
              <w:t>8.</w:t>
            </w:r>
            <w:r>
              <w:rPr>
                <w:kern w:val="0"/>
                <w:sz w:val="24"/>
              </w:rPr>
              <w:t>您对新塘站片区路网</w:t>
            </w:r>
            <w:r>
              <w:rPr>
                <w:kern w:val="0"/>
                <w:sz w:val="24"/>
              </w:rPr>
              <w:t>-</w:t>
            </w:r>
            <w:r>
              <w:rPr>
                <w:kern w:val="0"/>
                <w:sz w:val="24"/>
              </w:rPr>
              <w:t>纵一路、新源路及汽车城大道建设工程的建设质量、通行安全性是否满意</w:t>
            </w:r>
            <w:r>
              <w:rPr>
                <w:kern w:val="0"/>
                <w:sz w:val="24"/>
              </w:rPr>
              <w:t>?</w:t>
            </w: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不满意（</w:t>
            </w:r>
            <w:r>
              <w:rPr>
                <w:kern w:val="0"/>
                <w:sz w:val="24"/>
              </w:rPr>
              <w:t>1</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0</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0.00%</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不太满意（</w:t>
            </w:r>
            <w:r>
              <w:rPr>
                <w:kern w:val="0"/>
                <w:sz w:val="24"/>
              </w:rPr>
              <w:t>2</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0</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0.00%</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一般（</w:t>
            </w:r>
            <w:r>
              <w:rPr>
                <w:kern w:val="0"/>
                <w:sz w:val="24"/>
              </w:rPr>
              <w:t>3</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7</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3.32%</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满意（</w:t>
            </w:r>
            <w:r>
              <w:rPr>
                <w:kern w:val="0"/>
                <w:sz w:val="24"/>
              </w:rPr>
              <w:t>4</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79</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37.44%</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非常满意（</w:t>
            </w:r>
            <w:r>
              <w:rPr>
                <w:kern w:val="0"/>
                <w:sz w:val="24"/>
              </w:rPr>
              <w:t>5</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125</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59.24%</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jc w:val="center"/>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问题</w:t>
            </w:r>
            <w:r>
              <w:rPr>
                <w:b/>
                <w:bCs/>
                <w:kern w:val="0"/>
                <w:sz w:val="24"/>
              </w:rPr>
              <w:t>8</w:t>
            </w:r>
            <w:r>
              <w:rPr>
                <w:b/>
                <w:bCs/>
                <w:kern w:val="0"/>
                <w:sz w:val="24"/>
              </w:rPr>
              <w:t>满意度</w:t>
            </w:r>
          </w:p>
        </w:tc>
        <w:tc>
          <w:tcPr>
            <w:tcW w:w="2966" w:type="dxa"/>
            <w:gridSpan w:val="2"/>
            <w:shd w:val="clear" w:color="auto" w:fill="auto"/>
            <w:noWrap/>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90.98%</w:t>
            </w:r>
          </w:p>
        </w:tc>
      </w:tr>
      <w:tr w:rsidR="0029667E">
        <w:trPr>
          <w:trHeight w:val="567"/>
          <w:jc w:val="center"/>
        </w:trPr>
        <w:tc>
          <w:tcPr>
            <w:tcW w:w="3226" w:type="dxa"/>
            <w:vMerge w:val="restart"/>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综合满意度</w:t>
            </w: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不满意（</w:t>
            </w:r>
            <w:r>
              <w:rPr>
                <w:kern w:val="0"/>
                <w:sz w:val="24"/>
              </w:rPr>
              <w:t>1</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0</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0.00%</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不太满意（</w:t>
            </w:r>
            <w:r>
              <w:rPr>
                <w:kern w:val="0"/>
                <w:sz w:val="24"/>
              </w:rPr>
              <w:t>2</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3</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0.47%</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一般（</w:t>
            </w:r>
            <w:r>
              <w:rPr>
                <w:kern w:val="0"/>
                <w:sz w:val="24"/>
              </w:rPr>
              <w:t>3</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37</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5.85%</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满意（</w:t>
            </w:r>
            <w:r>
              <w:rPr>
                <w:kern w:val="0"/>
                <w:sz w:val="24"/>
              </w:rPr>
              <w:t>4</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222</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35.07%</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非常满意（</w:t>
            </w:r>
            <w:r>
              <w:rPr>
                <w:kern w:val="0"/>
                <w:sz w:val="24"/>
              </w:rPr>
              <w:t>5</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371</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58.61%</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综合满意度</w:t>
            </w:r>
          </w:p>
        </w:tc>
        <w:tc>
          <w:tcPr>
            <w:tcW w:w="2966" w:type="dxa"/>
            <w:gridSpan w:val="2"/>
            <w:shd w:val="clear" w:color="auto" w:fill="auto"/>
            <w:noWrap/>
            <w:vAlign w:val="center"/>
          </w:tcPr>
          <w:p w:rsidR="0029667E" w:rsidRDefault="005F36FF">
            <w:pPr>
              <w:widowControl/>
              <w:adjustRightInd w:val="0"/>
              <w:snapToGrid w:val="0"/>
              <w:spacing w:line="240" w:lineRule="auto"/>
              <w:ind w:firstLineChars="0" w:firstLine="0"/>
              <w:jc w:val="center"/>
              <w:rPr>
                <w:b/>
                <w:bCs/>
                <w:kern w:val="0"/>
                <w:sz w:val="24"/>
              </w:rPr>
            </w:pPr>
            <w:r>
              <w:rPr>
                <w:b/>
                <w:bCs/>
                <w:kern w:val="0"/>
                <w:sz w:val="24"/>
              </w:rPr>
              <w:t>90.17%</w:t>
            </w:r>
          </w:p>
        </w:tc>
      </w:tr>
      <w:tr w:rsidR="0029667E">
        <w:trPr>
          <w:trHeight w:val="567"/>
          <w:jc w:val="center"/>
        </w:trPr>
        <w:tc>
          <w:tcPr>
            <w:tcW w:w="3226" w:type="dxa"/>
            <w:vMerge w:val="restart"/>
            <w:shd w:val="clear" w:color="auto" w:fill="auto"/>
            <w:vAlign w:val="center"/>
          </w:tcPr>
          <w:p w:rsidR="0029667E" w:rsidRDefault="005F36FF">
            <w:pPr>
              <w:widowControl/>
              <w:adjustRightInd w:val="0"/>
              <w:snapToGrid w:val="0"/>
              <w:spacing w:line="240" w:lineRule="auto"/>
              <w:ind w:firstLineChars="0" w:firstLine="0"/>
              <w:rPr>
                <w:kern w:val="0"/>
                <w:sz w:val="24"/>
              </w:rPr>
            </w:pPr>
            <w:r>
              <w:rPr>
                <w:kern w:val="0"/>
                <w:sz w:val="24"/>
              </w:rPr>
              <w:t>1.</w:t>
            </w:r>
            <w:r>
              <w:rPr>
                <w:kern w:val="0"/>
                <w:sz w:val="24"/>
              </w:rPr>
              <w:t>您对新塘站片区路网</w:t>
            </w:r>
            <w:r>
              <w:rPr>
                <w:kern w:val="0"/>
                <w:sz w:val="24"/>
              </w:rPr>
              <w:t>-</w:t>
            </w:r>
            <w:r>
              <w:rPr>
                <w:kern w:val="0"/>
                <w:sz w:val="24"/>
              </w:rPr>
              <w:t>纵一路、新源路及汽车城大道建设工程相关内容、信息是否了解</w:t>
            </w: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没听过</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4</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1.86%</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听说过但不了解</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19</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8.84%</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有一定了解</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45</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20.93%</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比较了解</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59</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27.44%</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非常了解</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88</w:t>
            </w:r>
          </w:p>
        </w:tc>
        <w:tc>
          <w:tcPr>
            <w:tcW w:w="1700"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40.99%</w:t>
            </w:r>
          </w:p>
        </w:tc>
      </w:tr>
      <w:tr w:rsidR="0029667E">
        <w:trPr>
          <w:trHeight w:val="567"/>
          <w:jc w:val="center"/>
        </w:trPr>
        <w:tc>
          <w:tcPr>
            <w:tcW w:w="3226" w:type="dxa"/>
            <w:vMerge w:val="restart"/>
            <w:shd w:val="clear" w:color="auto" w:fill="auto"/>
            <w:vAlign w:val="center"/>
          </w:tcPr>
          <w:p w:rsidR="0029667E" w:rsidRDefault="005F36FF">
            <w:pPr>
              <w:widowControl/>
              <w:adjustRightInd w:val="0"/>
              <w:snapToGrid w:val="0"/>
              <w:spacing w:line="240" w:lineRule="auto"/>
              <w:ind w:firstLineChars="0" w:firstLine="0"/>
              <w:rPr>
                <w:kern w:val="0"/>
                <w:sz w:val="24"/>
              </w:rPr>
            </w:pPr>
            <w:r>
              <w:rPr>
                <w:kern w:val="0"/>
                <w:sz w:val="24"/>
              </w:rPr>
              <w:t>2.</w:t>
            </w:r>
            <w:r>
              <w:rPr>
                <w:kern w:val="0"/>
                <w:sz w:val="24"/>
              </w:rPr>
              <w:t>新塘站片区路网</w:t>
            </w:r>
            <w:r>
              <w:rPr>
                <w:kern w:val="0"/>
                <w:sz w:val="24"/>
              </w:rPr>
              <w:t>-</w:t>
            </w:r>
            <w:r>
              <w:rPr>
                <w:kern w:val="0"/>
                <w:sz w:val="24"/>
              </w:rPr>
              <w:t>纵一路、新源路及汽车城大道建设工程建设过程中对您的出行是否有影响</w:t>
            </w: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影响非常大（</w:t>
            </w:r>
            <w:r>
              <w:rPr>
                <w:kern w:val="0"/>
                <w:sz w:val="24"/>
              </w:rPr>
              <w:t>1</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14</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6.64%</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影响较大（</w:t>
            </w:r>
            <w:r>
              <w:rPr>
                <w:kern w:val="0"/>
                <w:sz w:val="24"/>
              </w:rPr>
              <w:t>2</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8</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3.79%</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一般（</w:t>
            </w:r>
            <w:r>
              <w:rPr>
                <w:kern w:val="0"/>
                <w:sz w:val="24"/>
              </w:rPr>
              <w:t>3</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30</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14.22%</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影响较小（</w:t>
            </w:r>
            <w:r>
              <w:rPr>
                <w:kern w:val="0"/>
                <w:sz w:val="24"/>
              </w:rPr>
              <w:t>4</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52</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24.64%</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不影响（</w:t>
            </w:r>
            <w:r>
              <w:rPr>
                <w:kern w:val="0"/>
                <w:sz w:val="24"/>
              </w:rPr>
              <w:t>5</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107</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50.71%</w:t>
            </w:r>
          </w:p>
        </w:tc>
      </w:tr>
      <w:tr w:rsidR="0029667E">
        <w:trPr>
          <w:trHeight w:val="567"/>
          <w:jc w:val="center"/>
        </w:trPr>
        <w:tc>
          <w:tcPr>
            <w:tcW w:w="3226" w:type="dxa"/>
            <w:vMerge w:val="restart"/>
            <w:shd w:val="clear" w:color="auto" w:fill="auto"/>
            <w:vAlign w:val="center"/>
          </w:tcPr>
          <w:p w:rsidR="0029667E" w:rsidRDefault="005F36FF">
            <w:pPr>
              <w:widowControl/>
              <w:adjustRightInd w:val="0"/>
              <w:snapToGrid w:val="0"/>
              <w:spacing w:line="240" w:lineRule="auto"/>
              <w:ind w:firstLineChars="0" w:firstLine="0"/>
              <w:rPr>
                <w:kern w:val="0"/>
                <w:sz w:val="24"/>
              </w:rPr>
            </w:pPr>
            <w:r>
              <w:rPr>
                <w:kern w:val="0"/>
                <w:sz w:val="24"/>
              </w:rPr>
              <w:t>3.</w:t>
            </w:r>
            <w:r>
              <w:rPr>
                <w:kern w:val="0"/>
                <w:sz w:val="24"/>
              </w:rPr>
              <w:t>新塘站片区路网</w:t>
            </w:r>
            <w:r>
              <w:rPr>
                <w:kern w:val="0"/>
                <w:sz w:val="24"/>
              </w:rPr>
              <w:t>-</w:t>
            </w:r>
            <w:r>
              <w:rPr>
                <w:kern w:val="0"/>
                <w:sz w:val="24"/>
              </w:rPr>
              <w:t>纵一路、新源路及汽车城大道建设工程建设过程中对周边环境是否有影响</w:t>
            </w: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影响非常大（</w:t>
            </w:r>
            <w:r>
              <w:rPr>
                <w:kern w:val="0"/>
                <w:sz w:val="24"/>
              </w:rPr>
              <w:t>1</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12</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5.69%</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影响较大（</w:t>
            </w:r>
            <w:r>
              <w:rPr>
                <w:kern w:val="0"/>
                <w:sz w:val="24"/>
              </w:rPr>
              <w:t>2</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6</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2.84%</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一般（</w:t>
            </w:r>
            <w:r>
              <w:rPr>
                <w:kern w:val="0"/>
                <w:sz w:val="24"/>
              </w:rPr>
              <w:t>3</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26</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12.32%</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影响较小（</w:t>
            </w:r>
            <w:r>
              <w:rPr>
                <w:kern w:val="0"/>
                <w:sz w:val="24"/>
              </w:rPr>
              <w:t>4</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67</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31.75%</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不影响（</w:t>
            </w:r>
            <w:r>
              <w:rPr>
                <w:kern w:val="0"/>
                <w:sz w:val="24"/>
              </w:rPr>
              <w:t>5</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100</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47.39%</w:t>
            </w:r>
          </w:p>
        </w:tc>
      </w:tr>
      <w:tr w:rsidR="0029667E">
        <w:trPr>
          <w:trHeight w:val="567"/>
          <w:jc w:val="center"/>
        </w:trPr>
        <w:tc>
          <w:tcPr>
            <w:tcW w:w="3226" w:type="dxa"/>
            <w:vMerge w:val="restart"/>
            <w:shd w:val="clear" w:color="auto" w:fill="auto"/>
            <w:vAlign w:val="center"/>
          </w:tcPr>
          <w:p w:rsidR="0029667E" w:rsidRDefault="005F36FF">
            <w:pPr>
              <w:widowControl/>
              <w:adjustRightInd w:val="0"/>
              <w:snapToGrid w:val="0"/>
              <w:spacing w:line="240" w:lineRule="auto"/>
              <w:ind w:firstLineChars="0" w:firstLine="0"/>
              <w:rPr>
                <w:kern w:val="0"/>
                <w:sz w:val="24"/>
              </w:rPr>
            </w:pPr>
            <w:r>
              <w:rPr>
                <w:kern w:val="0"/>
                <w:sz w:val="24"/>
              </w:rPr>
              <w:t>4.</w:t>
            </w:r>
            <w:r>
              <w:rPr>
                <w:kern w:val="0"/>
                <w:sz w:val="24"/>
              </w:rPr>
              <w:t>新塘站片区路网</w:t>
            </w:r>
            <w:r>
              <w:rPr>
                <w:kern w:val="0"/>
                <w:sz w:val="24"/>
              </w:rPr>
              <w:t>-</w:t>
            </w:r>
            <w:r>
              <w:rPr>
                <w:kern w:val="0"/>
                <w:sz w:val="24"/>
              </w:rPr>
              <w:t>纵一路、新源路及汽车城大道建设工程建设过程中对您的日常生活是否有影响</w:t>
            </w: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影响非常大（</w:t>
            </w:r>
            <w:r>
              <w:rPr>
                <w:kern w:val="0"/>
                <w:sz w:val="24"/>
              </w:rPr>
              <w:t>1</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7</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3.32%</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影响较大（</w:t>
            </w:r>
            <w:r>
              <w:rPr>
                <w:kern w:val="0"/>
                <w:sz w:val="24"/>
              </w:rPr>
              <w:t>2</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4</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1.90%</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一般（</w:t>
            </w:r>
            <w:r>
              <w:rPr>
                <w:kern w:val="0"/>
                <w:sz w:val="24"/>
              </w:rPr>
              <w:t>3</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23</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10.90%</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影响较小（</w:t>
            </w:r>
            <w:r>
              <w:rPr>
                <w:kern w:val="0"/>
                <w:sz w:val="24"/>
              </w:rPr>
              <w:t>4</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54</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25.59%</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不影响（</w:t>
            </w:r>
            <w:r>
              <w:rPr>
                <w:kern w:val="0"/>
                <w:sz w:val="24"/>
              </w:rPr>
              <w:t>5</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123</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58.29%</w:t>
            </w:r>
          </w:p>
        </w:tc>
      </w:tr>
      <w:tr w:rsidR="0029667E">
        <w:trPr>
          <w:trHeight w:val="567"/>
          <w:jc w:val="center"/>
        </w:trPr>
        <w:tc>
          <w:tcPr>
            <w:tcW w:w="3226" w:type="dxa"/>
            <w:vMerge w:val="restart"/>
            <w:vAlign w:val="center"/>
          </w:tcPr>
          <w:p w:rsidR="0029667E" w:rsidRDefault="005F36FF">
            <w:pPr>
              <w:widowControl/>
              <w:adjustRightInd w:val="0"/>
              <w:snapToGrid w:val="0"/>
              <w:spacing w:line="240" w:lineRule="auto"/>
              <w:ind w:firstLineChars="0" w:firstLine="0"/>
              <w:rPr>
                <w:kern w:val="0"/>
                <w:sz w:val="24"/>
              </w:rPr>
            </w:pPr>
            <w:r>
              <w:rPr>
                <w:kern w:val="0"/>
                <w:sz w:val="24"/>
              </w:rPr>
              <w:t>7.</w:t>
            </w:r>
            <w:r>
              <w:rPr>
                <w:kern w:val="0"/>
                <w:sz w:val="24"/>
              </w:rPr>
              <w:t>新塘站片区路网</w:t>
            </w:r>
            <w:r>
              <w:rPr>
                <w:kern w:val="0"/>
                <w:sz w:val="24"/>
              </w:rPr>
              <w:t>-</w:t>
            </w:r>
            <w:r>
              <w:rPr>
                <w:kern w:val="0"/>
                <w:sz w:val="24"/>
              </w:rPr>
              <w:t>纵一路、新源路及汽车城大道建设工程建设过程中是否发生过安全事故或负面事件</w:t>
            </w:r>
            <w:r>
              <w:rPr>
                <w:kern w:val="0"/>
                <w:sz w:val="24"/>
              </w:rPr>
              <w:t>?</w:t>
            </w: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3</w:t>
            </w:r>
            <w:r>
              <w:rPr>
                <w:kern w:val="0"/>
                <w:sz w:val="24"/>
              </w:rPr>
              <w:t>次及以上</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2</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0.95%</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2</w:t>
            </w:r>
            <w:r>
              <w:rPr>
                <w:kern w:val="0"/>
                <w:sz w:val="24"/>
              </w:rPr>
              <w:t>次</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0.47%</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w:t>
            </w:r>
            <w:r>
              <w:rPr>
                <w:kern w:val="0"/>
                <w:sz w:val="24"/>
              </w:rPr>
              <w:t>次</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0</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0.00%</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从未有过</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117</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55.45%</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不了解</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91</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43.13%</w:t>
            </w:r>
          </w:p>
        </w:tc>
      </w:tr>
      <w:tr w:rsidR="0029667E">
        <w:trPr>
          <w:trHeight w:val="567"/>
          <w:jc w:val="center"/>
        </w:trPr>
        <w:tc>
          <w:tcPr>
            <w:tcW w:w="3226" w:type="dxa"/>
            <w:vMerge w:val="restart"/>
            <w:vAlign w:val="center"/>
          </w:tcPr>
          <w:p w:rsidR="0029667E" w:rsidRDefault="005F36FF">
            <w:pPr>
              <w:widowControl/>
              <w:adjustRightInd w:val="0"/>
              <w:snapToGrid w:val="0"/>
              <w:spacing w:line="240" w:lineRule="auto"/>
              <w:ind w:firstLineChars="0" w:firstLine="0"/>
              <w:rPr>
                <w:kern w:val="0"/>
                <w:sz w:val="24"/>
              </w:rPr>
            </w:pPr>
            <w:r>
              <w:rPr>
                <w:kern w:val="0"/>
                <w:sz w:val="24"/>
              </w:rPr>
              <w:t>9..</w:t>
            </w:r>
            <w:r>
              <w:rPr>
                <w:kern w:val="0"/>
                <w:sz w:val="24"/>
              </w:rPr>
              <w:t>您认为新塘站片区路网</w:t>
            </w:r>
            <w:r>
              <w:rPr>
                <w:kern w:val="0"/>
                <w:sz w:val="24"/>
              </w:rPr>
              <w:t>-</w:t>
            </w:r>
            <w:r>
              <w:rPr>
                <w:kern w:val="0"/>
                <w:sz w:val="24"/>
              </w:rPr>
              <w:t>纵一路、新源路及汽车城大道建设工程是否对解决区域交通拥挤问题产生作用</w:t>
            </w: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更糟糕（</w:t>
            </w:r>
            <w:r>
              <w:rPr>
                <w:kern w:val="0"/>
                <w:sz w:val="24"/>
              </w:rPr>
              <w:t>1</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0</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0.00%</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无变化或变化不明显（</w:t>
            </w:r>
            <w:r>
              <w:rPr>
                <w:kern w:val="0"/>
                <w:sz w:val="24"/>
              </w:rPr>
              <w:t>2</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3</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1.42%</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有所变化（</w:t>
            </w:r>
            <w:r>
              <w:rPr>
                <w:kern w:val="0"/>
                <w:sz w:val="24"/>
              </w:rPr>
              <w:t>3</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23</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10.90%</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变化较大（</w:t>
            </w:r>
            <w:r>
              <w:rPr>
                <w:kern w:val="0"/>
                <w:sz w:val="24"/>
              </w:rPr>
              <w:t>4</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44</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20.85%</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变化非常大（</w:t>
            </w:r>
            <w:r>
              <w:rPr>
                <w:kern w:val="0"/>
                <w:sz w:val="24"/>
              </w:rPr>
              <w:t>5</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141</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66.82%</w:t>
            </w:r>
          </w:p>
        </w:tc>
      </w:tr>
      <w:tr w:rsidR="0029667E">
        <w:trPr>
          <w:trHeight w:val="567"/>
          <w:jc w:val="center"/>
        </w:trPr>
        <w:tc>
          <w:tcPr>
            <w:tcW w:w="3226" w:type="dxa"/>
            <w:vMerge w:val="restart"/>
            <w:vAlign w:val="center"/>
          </w:tcPr>
          <w:p w:rsidR="0029667E" w:rsidRDefault="005F36FF">
            <w:pPr>
              <w:widowControl/>
              <w:adjustRightInd w:val="0"/>
              <w:snapToGrid w:val="0"/>
              <w:spacing w:line="240" w:lineRule="auto"/>
              <w:ind w:firstLineChars="0" w:firstLine="0"/>
              <w:rPr>
                <w:kern w:val="0"/>
                <w:sz w:val="24"/>
              </w:rPr>
            </w:pPr>
            <w:r>
              <w:rPr>
                <w:kern w:val="0"/>
                <w:sz w:val="24"/>
              </w:rPr>
              <w:t>10.</w:t>
            </w:r>
            <w:r>
              <w:rPr>
                <w:kern w:val="0"/>
                <w:sz w:val="24"/>
              </w:rPr>
              <w:t>您认为新塘站片区路网</w:t>
            </w:r>
            <w:r>
              <w:rPr>
                <w:kern w:val="0"/>
                <w:sz w:val="24"/>
              </w:rPr>
              <w:t>-</w:t>
            </w:r>
            <w:r>
              <w:rPr>
                <w:kern w:val="0"/>
                <w:sz w:val="24"/>
              </w:rPr>
              <w:t>纵一路、新源路及汽车城大道建设工程是否对完善增城区路网产生作用</w:t>
            </w: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更糟糕（</w:t>
            </w:r>
            <w:r>
              <w:rPr>
                <w:kern w:val="0"/>
                <w:sz w:val="24"/>
              </w:rPr>
              <w:t>1</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0</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0.00%</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无变化或变化不明显（</w:t>
            </w:r>
            <w:r>
              <w:rPr>
                <w:kern w:val="0"/>
                <w:sz w:val="24"/>
              </w:rPr>
              <w:t>2</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2</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0.95%</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有所变化（</w:t>
            </w:r>
            <w:r>
              <w:rPr>
                <w:kern w:val="0"/>
                <w:sz w:val="24"/>
              </w:rPr>
              <w:t>3</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23</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10.90%</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变化较大（</w:t>
            </w:r>
            <w:r>
              <w:rPr>
                <w:kern w:val="0"/>
                <w:sz w:val="24"/>
              </w:rPr>
              <w:t>4</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43</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20.38%</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2868" w:type="dxa"/>
            <w:shd w:val="clear" w:color="auto" w:fill="auto"/>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变化非常大（</w:t>
            </w:r>
            <w:r>
              <w:rPr>
                <w:kern w:val="0"/>
                <w:sz w:val="24"/>
              </w:rPr>
              <w:t>5</w:t>
            </w:r>
            <w:r>
              <w:rPr>
                <w:kern w:val="0"/>
                <w:sz w:val="24"/>
              </w:rPr>
              <w:t>）</w:t>
            </w:r>
          </w:p>
        </w:tc>
        <w:tc>
          <w:tcPr>
            <w:tcW w:w="1266" w:type="dxa"/>
            <w:shd w:val="clear" w:color="auto" w:fill="auto"/>
            <w:noWrap/>
            <w:vAlign w:val="center"/>
          </w:tcPr>
          <w:p w:rsidR="0029667E" w:rsidRDefault="005F36FF">
            <w:pPr>
              <w:widowControl/>
              <w:adjustRightInd w:val="0"/>
              <w:snapToGrid w:val="0"/>
              <w:spacing w:line="240" w:lineRule="auto"/>
              <w:ind w:firstLineChars="0" w:firstLine="0"/>
              <w:jc w:val="center"/>
              <w:rPr>
                <w:kern w:val="0"/>
                <w:sz w:val="24"/>
              </w:rPr>
            </w:pPr>
            <w:r>
              <w:rPr>
                <w:kern w:val="0"/>
                <w:sz w:val="24"/>
              </w:rPr>
              <w:t>143</w:t>
            </w:r>
          </w:p>
        </w:tc>
        <w:tc>
          <w:tcPr>
            <w:tcW w:w="1700" w:type="dxa"/>
            <w:shd w:val="clear" w:color="auto" w:fill="auto"/>
            <w:noWrap/>
            <w:vAlign w:val="bottom"/>
          </w:tcPr>
          <w:p w:rsidR="0029667E" w:rsidRDefault="005F36FF">
            <w:pPr>
              <w:widowControl/>
              <w:adjustRightInd w:val="0"/>
              <w:snapToGrid w:val="0"/>
              <w:spacing w:line="240" w:lineRule="auto"/>
              <w:ind w:firstLineChars="0" w:firstLine="0"/>
              <w:jc w:val="center"/>
              <w:rPr>
                <w:kern w:val="0"/>
                <w:sz w:val="24"/>
              </w:rPr>
            </w:pPr>
            <w:r>
              <w:rPr>
                <w:kern w:val="0"/>
                <w:sz w:val="24"/>
              </w:rPr>
              <w:t>67.77%</w:t>
            </w:r>
          </w:p>
        </w:tc>
      </w:tr>
      <w:tr w:rsidR="0029667E">
        <w:trPr>
          <w:trHeight w:val="567"/>
          <w:jc w:val="center"/>
        </w:trPr>
        <w:tc>
          <w:tcPr>
            <w:tcW w:w="3226" w:type="dxa"/>
            <w:vMerge w:val="restart"/>
            <w:vAlign w:val="center"/>
          </w:tcPr>
          <w:p w:rsidR="0029667E" w:rsidRDefault="005F36FF">
            <w:pPr>
              <w:widowControl/>
              <w:tabs>
                <w:tab w:val="left" w:pos="690"/>
              </w:tabs>
              <w:adjustRightInd w:val="0"/>
              <w:snapToGrid w:val="0"/>
              <w:spacing w:line="240" w:lineRule="auto"/>
              <w:ind w:firstLineChars="0" w:firstLine="0"/>
              <w:rPr>
                <w:kern w:val="0"/>
                <w:sz w:val="24"/>
              </w:rPr>
            </w:pPr>
            <w:r>
              <w:rPr>
                <w:kern w:val="0"/>
                <w:sz w:val="24"/>
              </w:rPr>
              <w:t>11.</w:t>
            </w:r>
            <w:r>
              <w:rPr>
                <w:kern w:val="0"/>
                <w:sz w:val="24"/>
              </w:rPr>
              <w:t>您对本项目还有什么意见和建议</w:t>
            </w:r>
            <w:r>
              <w:rPr>
                <w:kern w:val="0"/>
                <w:sz w:val="24"/>
              </w:rPr>
              <w:t>?</w:t>
            </w:r>
          </w:p>
        </w:tc>
        <w:tc>
          <w:tcPr>
            <w:tcW w:w="5834" w:type="dxa"/>
            <w:gridSpan w:val="3"/>
            <w:shd w:val="clear" w:color="auto" w:fill="auto"/>
            <w:vAlign w:val="center"/>
          </w:tcPr>
          <w:p w:rsidR="0029667E" w:rsidRDefault="005F36FF">
            <w:pPr>
              <w:widowControl/>
              <w:adjustRightInd w:val="0"/>
              <w:snapToGrid w:val="0"/>
              <w:spacing w:line="240" w:lineRule="auto"/>
              <w:ind w:firstLineChars="0" w:firstLine="0"/>
              <w:jc w:val="left"/>
              <w:rPr>
                <w:kern w:val="0"/>
                <w:sz w:val="24"/>
              </w:rPr>
            </w:pPr>
            <w:r>
              <w:rPr>
                <w:kern w:val="0"/>
                <w:sz w:val="24"/>
              </w:rPr>
              <w:t>1.</w:t>
            </w:r>
            <w:r>
              <w:rPr>
                <w:kern w:val="0"/>
                <w:sz w:val="24"/>
              </w:rPr>
              <w:t>继续保持道路整洁，通畅；</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5834" w:type="dxa"/>
            <w:gridSpan w:val="3"/>
            <w:shd w:val="clear" w:color="auto" w:fill="auto"/>
            <w:vAlign w:val="center"/>
          </w:tcPr>
          <w:p w:rsidR="0029667E" w:rsidRDefault="005F36FF">
            <w:pPr>
              <w:widowControl/>
              <w:adjustRightInd w:val="0"/>
              <w:snapToGrid w:val="0"/>
              <w:spacing w:line="240" w:lineRule="auto"/>
              <w:ind w:firstLineChars="0" w:firstLine="0"/>
              <w:jc w:val="left"/>
              <w:rPr>
                <w:kern w:val="0"/>
                <w:sz w:val="24"/>
              </w:rPr>
            </w:pPr>
            <w:r>
              <w:rPr>
                <w:kern w:val="0"/>
                <w:sz w:val="24"/>
              </w:rPr>
              <w:t>2.</w:t>
            </w:r>
            <w:r>
              <w:rPr>
                <w:kern w:val="0"/>
                <w:sz w:val="24"/>
              </w:rPr>
              <w:t>建议后期加强管理；</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5834" w:type="dxa"/>
            <w:gridSpan w:val="3"/>
            <w:shd w:val="clear" w:color="auto" w:fill="auto"/>
            <w:vAlign w:val="center"/>
          </w:tcPr>
          <w:p w:rsidR="0029667E" w:rsidRDefault="005F36FF">
            <w:pPr>
              <w:widowControl/>
              <w:adjustRightInd w:val="0"/>
              <w:snapToGrid w:val="0"/>
              <w:spacing w:line="240" w:lineRule="auto"/>
              <w:ind w:firstLineChars="0" w:firstLine="0"/>
              <w:jc w:val="left"/>
              <w:rPr>
                <w:kern w:val="0"/>
                <w:sz w:val="24"/>
              </w:rPr>
            </w:pPr>
            <w:r>
              <w:rPr>
                <w:kern w:val="0"/>
                <w:sz w:val="24"/>
              </w:rPr>
              <w:t>3.</w:t>
            </w:r>
            <w:r>
              <w:rPr>
                <w:kern w:val="0"/>
                <w:sz w:val="24"/>
              </w:rPr>
              <w:t>该项目对周边交通发生了非常大的变化对广大人民群众出行</w:t>
            </w:r>
            <w:proofErr w:type="gramStart"/>
            <w:r>
              <w:rPr>
                <w:kern w:val="0"/>
                <w:sz w:val="24"/>
              </w:rPr>
              <w:t>作出</w:t>
            </w:r>
            <w:proofErr w:type="gramEnd"/>
            <w:r>
              <w:rPr>
                <w:kern w:val="0"/>
                <w:sz w:val="24"/>
              </w:rPr>
              <w:t>贡献；</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5834" w:type="dxa"/>
            <w:gridSpan w:val="3"/>
            <w:shd w:val="clear" w:color="auto" w:fill="auto"/>
            <w:vAlign w:val="center"/>
          </w:tcPr>
          <w:p w:rsidR="0029667E" w:rsidRDefault="005F36FF">
            <w:pPr>
              <w:widowControl/>
              <w:adjustRightInd w:val="0"/>
              <w:snapToGrid w:val="0"/>
              <w:spacing w:line="240" w:lineRule="auto"/>
              <w:ind w:firstLineChars="0" w:firstLine="0"/>
              <w:jc w:val="left"/>
              <w:rPr>
                <w:kern w:val="0"/>
                <w:sz w:val="24"/>
              </w:rPr>
            </w:pPr>
            <w:r>
              <w:rPr>
                <w:kern w:val="0"/>
                <w:sz w:val="24"/>
              </w:rPr>
              <w:t>4.</w:t>
            </w:r>
            <w:r>
              <w:rPr>
                <w:kern w:val="0"/>
                <w:sz w:val="24"/>
              </w:rPr>
              <w:t>尽快美化道路周边环境；</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5834" w:type="dxa"/>
            <w:gridSpan w:val="3"/>
            <w:shd w:val="clear" w:color="auto" w:fill="auto"/>
            <w:vAlign w:val="center"/>
          </w:tcPr>
          <w:p w:rsidR="0029667E" w:rsidRDefault="005F36FF">
            <w:pPr>
              <w:widowControl/>
              <w:adjustRightInd w:val="0"/>
              <w:snapToGrid w:val="0"/>
              <w:spacing w:line="240" w:lineRule="auto"/>
              <w:ind w:firstLineChars="0" w:firstLine="0"/>
              <w:jc w:val="left"/>
              <w:rPr>
                <w:kern w:val="0"/>
                <w:sz w:val="24"/>
              </w:rPr>
            </w:pPr>
            <w:r>
              <w:rPr>
                <w:kern w:val="0"/>
                <w:sz w:val="24"/>
              </w:rPr>
              <w:t>5.</w:t>
            </w:r>
            <w:r>
              <w:rPr>
                <w:kern w:val="0"/>
                <w:sz w:val="24"/>
              </w:rPr>
              <w:t>希望项目建设过程中，对周边居民出行、生活等可能产生影响的事情，要及时通过媒体发布，把影响降到最低；</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5834" w:type="dxa"/>
            <w:gridSpan w:val="3"/>
            <w:shd w:val="clear" w:color="auto" w:fill="auto"/>
            <w:vAlign w:val="center"/>
          </w:tcPr>
          <w:p w:rsidR="0029667E" w:rsidRDefault="005F36FF">
            <w:pPr>
              <w:widowControl/>
              <w:adjustRightInd w:val="0"/>
              <w:snapToGrid w:val="0"/>
              <w:spacing w:line="240" w:lineRule="auto"/>
              <w:ind w:firstLineChars="0" w:firstLine="0"/>
              <w:jc w:val="left"/>
              <w:rPr>
                <w:kern w:val="0"/>
                <w:sz w:val="24"/>
              </w:rPr>
            </w:pPr>
            <w:r>
              <w:rPr>
                <w:kern w:val="0"/>
                <w:sz w:val="24"/>
              </w:rPr>
              <w:t>6.</w:t>
            </w:r>
            <w:r>
              <w:rPr>
                <w:kern w:val="0"/>
                <w:sz w:val="24"/>
              </w:rPr>
              <w:t>本项目道路已建完，但乱停车较多希望交警加大力度整治；</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5834" w:type="dxa"/>
            <w:gridSpan w:val="3"/>
            <w:shd w:val="clear" w:color="auto" w:fill="auto"/>
            <w:vAlign w:val="center"/>
          </w:tcPr>
          <w:p w:rsidR="0029667E" w:rsidRDefault="005F36FF">
            <w:pPr>
              <w:widowControl/>
              <w:adjustRightInd w:val="0"/>
              <w:snapToGrid w:val="0"/>
              <w:spacing w:line="240" w:lineRule="auto"/>
              <w:ind w:firstLineChars="0" w:firstLine="0"/>
              <w:jc w:val="left"/>
              <w:rPr>
                <w:kern w:val="0"/>
                <w:sz w:val="24"/>
              </w:rPr>
            </w:pPr>
            <w:r>
              <w:rPr>
                <w:kern w:val="0"/>
                <w:sz w:val="24"/>
              </w:rPr>
              <w:t>7.</w:t>
            </w:r>
            <w:r>
              <w:rPr>
                <w:kern w:val="0"/>
                <w:sz w:val="24"/>
              </w:rPr>
              <w:t>指路牌字样再大点；</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5834" w:type="dxa"/>
            <w:gridSpan w:val="3"/>
            <w:shd w:val="clear" w:color="auto" w:fill="auto"/>
            <w:vAlign w:val="center"/>
          </w:tcPr>
          <w:p w:rsidR="0029667E" w:rsidRDefault="005F36FF">
            <w:pPr>
              <w:widowControl/>
              <w:adjustRightInd w:val="0"/>
              <w:snapToGrid w:val="0"/>
              <w:spacing w:line="240" w:lineRule="auto"/>
              <w:ind w:firstLineChars="0" w:firstLine="0"/>
              <w:jc w:val="left"/>
              <w:rPr>
                <w:kern w:val="0"/>
                <w:sz w:val="24"/>
              </w:rPr>
            </w:pPr>
            <w:r>
              <w:rPr>
                <w:kern w:val="0"/>
                <w:sz w:val="24"/>
              </w:rPr>
              <w:t>8.</w:t>
            </w:r>
            <w:r>
              <w:rPr>
                <w:kern w:val="0"/>
                <w:sz w:val="24"/>
              </w:rPr>
              <w:t>道路乱停车较多，建议整治；</w:t>
            </w:r>
          </w:p>
        </w:tc>
      </w:tr>
      <w:tr w:rsidR="0029667E">
        <w:trPr>
          <w:trHeight w:val="567"/>
          <w:jc w:val="center"/>
        </w:trPr>
        <w:tc>
          <w:tcPr>
            <w:tcW w:w="3226" w:type="dxa"/>
            <w:vMerge/>
            <w:vAlign w:val="center"/>
          </w:tcPr>
          <w:p w:rsidR="0029667E" w:rsidRDefault="0029667E">
            <w:pPr>
              <w:widowControl/>
              <w:adjustRightInd w:val="0"/>
              <w:snapToGrid w:val="0"/>
              <w:spacing w:line="240" w:lineRule="auto"/>
              <w:ind w:firstLineChars="0" w:firstLine="0"/>
              <w:rPr>
                <w:kern w:val="0"/>
                <w:sz w:val="24"/>
              </w:rPr>
            </w:pPr>
          </w:p>
        </w:tc>
        <w:tc>
          <w:tcPr>
            <w:tcW w:w="5834" w:type="dxa"/>
            <w:gridSpan w:val="3"/>
            <w:shd w:val="clear" w:color="auto" w:fill="auto"/>
            <w:vAlign w:val="center"/>
          </w:tcPr>
          <w:p w:rsidR="0029667E" w:rsidRDefault="005F36FF">
            <w:pPr>
              <w:widowControl/>
              <w:adjustRightInd w:val="0"/>
              <w:snapToGrid w:val="0"/>
              <w:spacing w:line="240" w:lineRule="auto"/>
              <w:ind w:firstLineChars="0" w:firstLine="0"/>
              <w:jc w:val="left"/>
              <w:rPr>
                <w:kern w:val="0"/>
                <w:sz w:val="24"/>
              </w:rPr>
            </w:pPr>
            <w:r>
              <w:rPr>
                <w:kern w:val="0"/>
                <w:sz w:val="24"/>
              </w:rPr>
              <w:t>9.</w:t>
            </w:r>
            <w:r>
              <w:rPr>
                <w:kern w:val="0"/>
                <w:sz w:val="24"/>
              </w:rPr>
              <w:t>工期尽量缩短。</w:t>
            </w:r>
          </w:p>
        </w:tc>
      </w:tr>
    </w:tbl>
    <w:p w:rsidR="0029667E" w:rsidRDefault="0029667E">
      <w:pPr>
        <w:ind w:firstLine="640"/>
      </w:pPr>
    </w:p>
    <w:sectPr w:rsidR="0029667E">
      <w:pgSz w:w="11906" w:h="16838"/>
      <w:pgMar w:top="2098" w:right="1474" w:bottom="1985" w:left="1588" w:header="851" w:footer="992" w:gutter="0"/>
      <w:pgNumType w:fmt="numberInDash"/>
      <w:cols w:space="720"/>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67E" w:rsidRDefault="005F36FF" w:rsidP="005F36FF">
      <w:pPr>
        <w:spacing w:line="240" w:lineRule="auto"/>
        <w:ind w:firstLine="640"/>
      </w:pPr>
      <w:r>
        <w:separator/>
      </w:r>
    </w:p>
  </w:endnote>
  <w:endnote w:type="continuationSeparator" w:id="0">
    <w:p w:rsidR="0029667E" w:rsidRDefault="005F36FF" w:rsidP="005F36FF">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494279"/>
    </w:sdtPr>
    <w:sdtEndPr>
      <w:rPr>
        <w:rFonts w:ascii="宋体" w:eastAsia="宋体" w:hAnsi="宋体"/>
        <w:sz w:val="28"/>
        <w:szCs w:val="28"/>
      </w:rPr>
    </w:sdtEndPr>
    <w:sdtContent>
      <w:p w:rsidR="0029667E" w:rsidRDefault="005F36FF">
        <w:pPr>
          <w:pStyle w:val="a7"/>
          <w:ind w:firstLineChars="0" w:firstLine="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Pr="005F36FF">
          <w:rPr>
            <w:rFonts w:ascii="宋体" w:eastAsia="宋体" w:hAnsi="宋体"/>
            <w:noProof/>
            <w:sz w:val="28"/>
            <w:szCs w:val="28"/>
            <w:lang w:val="zh-CN"/>
          </w:rPr>
          <w:t>2</w:t>
        </w:r>
        <w:r>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67E" w:rsidRDefault="0029667E">
    <w:pPr>
      <w:pStyle w:val="a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67E" w:rsidRDefault="0029667E">
    <w:pPr>
      <w:pStyle w:val="a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249305"/>
    </w:sdtPr>
    <w:sdtEndPr>
      <w:rPr>
        <w:rFonts w:ascii="宋体" w:eastAsia="宋体" w:hAnsi="宋体"/>
        <w:sz w:val="28"/>
        <w:szCs w:val="28"/>
      </w:rPr>
    </w:sdtEndPr>
    <w:sdtContent>
      <w:p w:rsidR="0029667E" w:rsidRDefault="005F36FF">
        <w:pPr>
          <w:pStyle w:val="a7"/>
          <w:ind w:firstLineChars="0" w:firstLine="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Pr="005F36FF">
          <w:rPr>
            <w:rFonts w:ascii="宋体" w:eastAsia="宋体" w:hAnsi="宋体"/>
            <w:noProof/>
            <w:sz w:val="28"/>
            <w:szCs w:val="28"/>
            <w:lang w:val="zh-CN"/>
          </w:rPr>
          <w:t>-</w:t>
        </w:r>
        <w:r>
          <w:rPr>
            <w:rFonts w:ascii="宋体" w:eastAsia="宋体" w:hAnsi="宋体"/>
            <w:noProof/>
            <w:sz w:val="28"/>
            <w:szCs w:val="28"/>
          </w:rPr>
          <w:t xml:space="preserve"> 14 -</w:t>
        </w:r>
        <w:r>
          <w:rPr>
            <w:rFonts w:ascii="宋体" w:eastAsia="宋体" w:hAnsi="宋体"/>
            <w:sz w:val="28"/>
            <w:szCs w:val="2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914862"/>
    </w:sdtPr>
    <w:sdtEndPr>
      <w:rPr>
        <w:rFonts w:ascii="宋体" w:eastAsia="宋体" w:hAnsi="宋体" w:hint="eastAsia"/>
        <w:sz w:val="28"/>
        <w:szCs w:val="28"/>
      </w:rPr>
    </w:sdtEndPr>
    <w:sdtContent>
      <w:p w:rsidR="0029667E" w:rsidRDefault="005F36FF">
        <w:pPr>
          <w:pStyle w:val="a7"/>
          <w:ind w:firstLine="360"/>
          <w:jc w:val="right"/>
          <w:rPr>
            <w:rFonts w:ascii="宋体" w:eastAsia="宋体" w:hAnsi="宋体"/>
            <w:sz w:val="28"/>
            <w:szCs w:val="28"/>
          </w:rPr>
        </w:pPr>
        <w:r>
          <w:rPr>
            <w:rFonts w:ascii="宋体" w:eastAsia="宋体" w:hAnsi="宋体" w:hint="eastAsia"/>
            <w:sz w:val="28"/>
            <w:szCs w:val="28"/>
          </w:rPr>
          <w:fldChar w:fldCharType="begin"/>
        </w:r>
        <w:r>
          <w:rPr>
            <w:rFonts w:ascii="宋体" w:eastAsia="宋体" w:hAnsi="宋体" w:hint="eastAsia"/>
            <w:sz w:val="28"/>
            <w:szCs w:val="28"/>
          </w:rPr>
          <w:instrText>PAGE   \* MERGEFORMAT</w:instrText>
        </w:r>
        <w:r>
          <w:rPr>
            <w:rFonts w:ascii="宋体" w:eastAsia="宋体" w:hAnsi="宋体" w:hint="eastAsia"/>
            <w:sz w:val="28"/>
            <w:szCs w:val="28"/>
          </w:rPr>
          <w:fldChar w:fldCharType="separate"/>
        </w:r>
        <w:r w:rsidRPr="005F36FF">
          <w:rPr>
            <w:rFonts w:ascii="宋体" w:eastAsia="宋体" w:hAnsi="宋体"/>
            <w:noProof/>
            <w:sz w:val="28"/>
            <w:szCs w:val="28"/>
            <w:lang w:val="zh-CN"/>
          </w:rPr>
          <w:t>-</w:t>
        </w:r>
        <w:r>
          <w:rPr>
            <w:rFonts w:ascii="宋体" w:eastAsia="宋体" w:hAnsi="宋体"/>
            <w:noProof/>
            <w:sz w:val="28"/>
            <w:szCs w:val="28"/>
          </w:rPr>
          <w:t xml:space="preserve"> 73 -</w:t>
        </w:r>
        <w:r>
          <w:rPr>
            <w:rFonts w:ascii="宋体" w:eastAsia="宋体" w:hAnsi="宋体" w:hint="eastAsia"/>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67E" w:rsidRDefault="005F36FF" w:rsidP="005F36FF">
      <w:pPr>
        <w:spacing w:line="240" w:lineRule="auto"/>
        <w:ind w:firstLine="640"/>
      </w:pPr>
      <w:r>
        <w:separator/>
      </w:r>
    </w:p>
  </w:footnote>
  <w:footnote w:type="continuationSeparator" w:id="0">
    <w:p w:rsidR="0029667E" w:rsidRDefault="005F36FF" w:rsidP="005F36FF">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67E" w:rsidRDefault="0029667E">
    <w:pPr>
      <w:pStyle w:val="a8"/>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67E" w:rsidRDefault="0029667E">
    <w:pPr>
      <w:pStyle w:val="a8"/>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67E" w:rsidRDefault="0029667E">
    <w:pPr>
      <w:pStyle w:val="a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grammar="clean"/>
  <w:defaultTabStop w:val="0"/>
  <w:evenAndOddHeaders/>
  <w:drawingGridHorizontalSpacing w:val="160"/>
  <w:drawingGridVerticalSpacing w:val="435"/>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kNWFlNjBkNWUzMDcxNjdmMmYwYmEzZWQzOGMzMzEifQ=="/>
  </w:docVars>
  <w:rsids>
    <w:rsidRoot w:val="00FC633E"/>
    <w:rsid w:val="0000320A"/>
    <w:rsid w:val="000040D8"/>
    <w:rsid w:val="00004351"/>
    <w:rsid w:val="00005073"/>
    <w:rsid w:val="0001078C"/>
    <w:rsid w:val="00010C68"/>
    <w:rsid w:val="0001332E"/>
    <w:rsid w:val="000136F4"/>
    <w:rsid w:val="000138E0"/>
    <w:rsid w:val="00016895"/>
    <w:rsid w:val="0002009F"/>
    <w:rsid w:val="000202E4"/>
    <w:rsid w:val="0002138E"/>
    <w:rsid w:val="00022972"/>
    <w:rsid w:val="000229F5"/>
    <w:rsid w:val="000251E2"/>
    <w:rsid w:val="000255FE"/>
    <w:rsid w:val="00025652"/>
    <w:rsid w:val="00026740"/>
    <w:rsid w:val="000271CA"/>
    <w:rsid w:val="00031DD5"/>
    <w:rsid w:val="000333D1"/>
    <w:rsid w:val="0003482C"/>
    <w:rsid w:val="00034B4B"/>
    <w:rsid w:val="0003645D"/>
    <w:rsid w:val="000367B8"/>
    <w:rsid w:val="00036907"/>
    <w:rsid w:val="0004210E"/>
    <w:rsid w:val="00043342"/>
    <w:rsid w:val="00044F91"/>
    <w:rsid w:val="00045FC7"/>
    <w:rsid w:val="00046633"/>
    <w:rsid w:val="00046A36"/>
    <w:rsid w:val="00047E4F"/>
    <w:rsid w:val="00047F9A"/>
    <w:rsid w:val="00050298"/>
    <w:rsid w:val="00050494"/>
    <w:rsid w:val="0005169C"/>
    <w:rsid w:val="00053425"/>
    <w:rsid w:val="00053877"/>
    <w:rsid w:val="00053C99"/>
    <w:rsid w:val="000547DB"/>
    <w:rsid w:val="00057133"/>
    <w:rsid w:val="00057830"/>
    <w:rsid w:val="00060297"/>
    <w:rsid w:val="0006108F"/>
    <w:rsid w:val="00062019"/>
    <w:rsid w:val="000620AD"/>
    <w:rsid w:val="0006338E"/>
    <w:rsid w:val="000649E1"/>
    <w:rsid w:val="000654F6"/>
    <w:rsid w:val="00066BE5"/>
    <w:rsid w:val="00070100"/>
    <w:rsid w:val="00071561"/>
    <w:rsid w:val="0007179A"/>
    <w:rsid w:val="00072218"/>
    <w:rsid w:val="00074A1D"/>
    <w:rsid w:val="00074B34"/>
    <w:rsid w:val="00074E2F"/>
    <w:rsid w:val="00077E8D"/>
    <w:rsid w:val="00080303"/>
    <w:rsid w:val="0008362A"/>
    <w:rsid w:val="000846AC"/>
    <w:rsid w:val="00084F40"/>
    <w:rsid w:val="000855B6"/>
    <w:rsid w:val="000859DD"/>
    <w:rsid w:val="00086185"/>
    <w:rsid w:val="00090FD7"/>
    <w:rsid w:val="00091328"/>
    <w:rsid w:val="00093F13"/>
    <w:rsid w:val="00097693"/>
    <w:rsid w:val="00097B62"/>
    <w:rsid w:val="00097EC3"/>
    <w:rsid w:val="000A197C"/>
    <w:rsid w:val="000A3B2B"/>
    <w:rsid w:val="000A411B"/>
    <w:rsid w:val="000A5E14"/>
    <w:rsid w:val="000A713B"/>
    <w:rsid w:val="000A7AAF"/>
    <w:rsid w:val="000A7FAA"/>
    <w:rsid w:val="000B0F78"/>
    <w:rsid w:val="000B25A7"/>
    <w:rsid w:val="000B3B3C"/>
    <w:rsid w:val="000B42E3"/>
    <w:rsid w:val="000B4F76"/>
    <w:rsid w:val="000B56F1"/>
    <w:rsid w:val="000B61E8"/>
    <w:rsid w:val="000B647B"/>
    <w:rsid w:val="000B6B0D"/>
    <w:rsid w:val="000B725F"/>
    <w:rsid w:val="000C129D"/>
    <w:rsid w:val="000C3ECD"/>
    <w:rsid w:val="000C5A66"/>
    <w:rsid w:val="000C68B3"/>
    <w:rsid w:val="000C7300"/>
    <w:rsid w:val="000C7B19"/>
    <w:rsid w:val="000D12A2"/>
    <w:rsid w:val="000D4233"/>
    <w:rsid w:val="000D5F0E"/>
    <w:rsid w:val="000D6E7A"/>
    <w:rsid w:val="000D792F"/>
    <w:rsid w:val="000E39C3"/>
    <w:rsid w:val="000E7160"/>
    <w:rsid w:val="000F0398"/>
    <w:rsid w:val="000F0E4B"/>
    <w:rsid w:val="000F12B4"/>
    <w:rsid w:val="000F13C2"/>
    <w:rsid w:val="000F1B8E"/>
    <w:rsid w:val="000F26FA"/>
    <w:rsid w:val="000F5E49"/>
    <w:rsid w:val="000F7843"/>
    <w:rsid w:val="0010019C"/>
    <w:rsid w:val="0010222D"/>
    <w:rsid w:val="00104410"/>
    <w:rsid w:val="00105761"/>
    <w:rsid w:val="00112EFB"/>
    <w:rsid w:val="00113E13"/>
    <w:rsid w:val="001142E5"/>
    <w:rsid w:val="00115819"/>
    <w:rsid w:val="00117075"/>
    <w:rsid w:val="00117340"/>
    <w:rsid w:val="00117617"/>
    <w:rsid w:val="0012040B"/>
    <w:rsid w:val="00121862"/>
    <w:rsid w:val="00125B8B"/>
    <w:rsid w:val="001272B8"/>
    <w:rsid w:val="001274C4"/>
    <w:rsid w:val="00131145"/>
    <w:rsid w:val="001314B7"/>
    <w:rsid w:val="001317C1"/>
    <w:rsid w:val="00132884"/>
    <w:rsid w:val="00133869"/>
    <w:rsid w:val="001338E4"/>
    <w:rsid w:val="00133EE7"/>
    <w:rsid w:val="00136233"/>
    <w:rsid w:val="00137A72"/>
    <w:rsid w:val="00140706"/>
    <w:rsid w:val="001411F8"/>
    <w:rsid w:val="001450BC"/>
    <w:rsid w:val="00145348"/>
    <w:rsid w:val="00151319"/>
    <w:rsid w:val="00152187"/>
    <w:rsid w:val="001523A8"/>
    <w:rsid w:val="00153573"/>
    <w:rsid w:val="001537CD"/>
    <w:rsid w:val="0015399D"/>
    <w:rsid w:val="00154622"/>
    <w:rsid w:val="00155474"/>
    <w:rsid w:val="00155661"/>
    <w:rsid w:val="00155719"/>
    <w:rsid w:val="00155E3B"/>
    <w:rsid w:val="00160211"/>
    <w:rsid w:val="00161772"/>
    <w:rsid w:val="0016337D"/>
    <w:rsid w:val="001637E4"/>
    <w:rsid w:val="00164060"/>
    <w:rsid w:val="00165696"/>
    <w:rsid w:val="00166D47"/>
    <w:rsid w:val="00170404"/>
    <w:rsid w:val="0017144B"/>
    <w:rsid w:val="0017182A"/>
    <w:rsid w:val="00171D1A"/>
    <w:rsid w:val="00172045"/>
    <w:rsid w:val="00174B06"/>
    <w:rsid w:val="00175107"/>
    <w:rsid w:val="00175846"/>
    <w:rsid w:val="00177DFB"/>
    <w:rsid w:val="001800DF"/>
    <w:rsid w:val="00180646"/>
    <w:rsid w:val="00180B8B"/>
    <w:rsid w:val="0018214C"/>
    <w:rsid w:val="00184576"/>
    <w:rsid w:val="00184E96"/>
    <w:rsid w:val="001859EF"/>
    <w:rsid w:val="00186E3C"/>
    <w:rsid w:val="0018772D"/>
    <w:rsid w:val="0019221C"/>
    <w:rsid w:val="00193946"/>
    <w:rsid w:val="0019748F"/>
    <w:rsid w:val="00197902"/>
    <w:rsid w:val="001A08BD"/>
    <w:rsid w:val="001A212F"/>
    <w:rsid w:val="001A2D58"/>
    <w:rsid w:val="001A4A96"/>
    <w:rsid w:val="001A6834"/>
    <w:rsid w:val="001A6D0F"/>
    <w:rsid w:val="001A776B"/>
    <w:rsid w:val="001B1B24"/>
    <w:rsid w:val="001B240D"/>
    <w:rsid w:val="001B2A34"/>
    <w:rsid w:val="001B3A29"/>
    <w:rsid w:val="001B669A"/>
    <w:rsid w:val="001B6E9D"/>
    <w:rsid w:val="001B6EA1"/>
    <w:rsid w:val="001C16C2"/>
    <w:rsid w:val="001C4F4C"/>
    <w:rsid w:val="001D18CC"/>
    <w:rsid w:val="001D3BAD"/>
    <w:rsid w:val="001E091B"/>
    <w:rsid w:val="001E1012"/>
    <w:rsid w:val="001E20A0"/>
    <w:rsid w:val="001E244C"/>
    <w:rsid w:val="001E532B"/>
    <w:rsid w:val="001F0263"/>
    <w:rsid w:val="001F057B"/>
    <w:rsid w:val="001F312F"/>
    <w:rsid w:val="001F60DD"/>
    <w:rsid w:val="001F6ED3"/>
    <w:rsid w:val="00201DE4"/>
    <w:rsid w:val="00204462"/>
    <w:rsid w:val="0020508C"/>
    <w:rsid w:val="00206FCE"/>
    <w:rsid w:val="00207E41"/>
    <w:rsid w:val="00212293"/>
    <w:rsid w:val="002140A3"/>
    <w:rsid w:val="002170CE"/>
    <w:rsid w:val="00217D8B"/>
    <w:rsid w:val="00217E2D"/>
    <w:rsid w:val="00221121"/>
    <w:rsid w:val="00224347"/>
    <w:rsid w:val="0022666A"/>
    <w:rsid w:val="002301C2"/>
    <w:rsid w:val="002302C9"/>
    <w:rsid w:val="00231674"/>
    <w:rsid w:val="002316C2"/>
    <w:rsid w:val="00232384"/>
    <w:rsid w:val="00233244"/>
    <w:rsid w:val="00233ABF"/>
    <w:rsid w:val="00234DE9"/>
    <w:rsid w:val="0023668B"/>
    <w:rsid w:val="00237032"/>
    <w:rsid w:val="002400A2"/>
    <w:rsid w:val="002422A1"/>
    <w:rsid w:val="00242ECB"/>
    <w:rsid w:val="002439EB"/>
    <w:rsid w:val="00243B52"/>
    <w:rsid w:val="00244469"/>
    <w:rsid w:val="00244DD1"/>
    <w:rsid w:val="002464D3"/>
    <w:rsid w:val="00247B24"/>
    <w:rsid w:val="00250F34"/>
    <w:rsid w:val="0025287C"/>
    <w:rsid w:val="002547AD"/>
    <w:rsid w:val="002560BE"/>
    <w:rsid w:val="0025613F"/>
    <w:rsid w:val="00256632"/>
    <w:rsid w:val="00260E0F"/>
    <w:rsid w:val="00263407"/>
    <w:rsid w:val="002644B5"/>
    <w:rsid w:val="00267824"/>
    <w:rsid w:val="00267A7B"/>
    <w:rsid w:val="002710FA"/>
    <w:rsid w:val="002711D5"/>
    <w:rsid w:val="00272960"/>
    <w:rsid w:val="002731FC"/>
    <w:rsid w:val="00273D68"/>
    <w:rsid w:val="00275862"/>
    <w:rsid w:val="00275AB7"/>
    <w:rsid w:val="0028190B"/>
    <w:rsid w:val="00285BBD"/>
    <w:rsid w:val="00286CB7"/>
    <w:rsid w:val="0028766D"/>
    <w:rsid w:val="00287D31"/>
    <w:rsid w:val="0029147E"/>
    <w:rsid w:val="0029359E"/>
    <w:rsid w:val="00294999"/>
    <w:rsid w:val="00294E83"/>
    <w:rsid w:val="0029667E"/>
    <w:rsid w:val="002968EA"/>
    <w:rsid w:val="002A05EA"/>
    <w:rsid w:val="002A0E84"/>
    <w:rsid w:val="002A1B6D"/>
    <w:rsid w:val="002A47DC"/>
    <w:rsid w:val="002A5280"/>
    <w:rsid w:val="002A5326"/>
    <w:rsid w:val="002A56FD"/>
    <w:rsid w:val="002A7E49"/>
    <w:rsid w:val="002B0274"/>
    <w:rsid w:val="002B1C0E"/>
    <w:rsid w:val="002B2A24"/>
    <w:rsid w:val="002B3A63"/>
    <w:rsid w:val="002B3E4D"/>
    <w:rsid w:val="002B56F6"/>
    <w:rsid w:val="002B6901"/>
    <w:rsid w:val="002B6D80"/>
    <w:rsid w:val="002C0DCA"/>
    <w:rsid w:val="002C259A"/>
    <w:rsid w:val="002C3E83"/>
    <w:rsid w:val="002C529B"/>
    <w:rsid w:val="002C622B"/>
    <w:rsid w:val="002C6CA1"/>
    <w:rsid w:val="002C6D73"/>
    <w:rsid w:val="002D1F54"/>
    <w:rsid w:val="002D2DB9"/>
    <w:rsid w:val="002D2F2F"/>
    <w:rsid w:val="002D4BBB"/>
    <w:rsid w:val="002D534F"/>
    <w:rsid w:val="002D5B60"/>
    <w:rsid w:val="002D5FD0"/>
    <w:rsid w:val="002D60B8"/>
    <w:rsid w:val="002D664B"/>
    <w:rsid w:val="002D6D13"/>
    <w:rsid w:val="002E038B"/>
    <w:rsid w:val="002E0D3C"/>
    <w:rsid w:val="002E11F7"/>
    <w:rsid w:val="002E3A65"/>
    <w:rsid w:val="002E3C26"/>
    <w:rsid w:val="002E5566"/>
    <w:rsid w:val="002E7ED4"/>
    <w:rsid w:val="002F250C"/>
    <w:rsid w:val="002F2852"/>
    <w:rsid w:val="002F286B"/>
    <w:rsid w:val="002F29FF"/>
    <w:rsid w:val="002F348D"/>
    <w:rsid w:val="002F3BB5"/>
    <w:rsid w:val="002F3FCC"/>
    <w:rsid w:val="002F40A1"/>
    <w:rsid w:val="002F48D1"/>
    <w:rsid w:val="002F4E61"/>
    <w:rsid w:val="002F4E9E"/>
    <w:rsid w:val="002F5297"/>
    <w:rsid w:val="002F6542"/>
    <w:rsid w:val="002F69A3"/>
    <w:rsid w:val="002F7091"/>
    <w:rsid w:val="00302A8D"/>
    <w:rsid w:val="00303950"/>
    <w:rsid w:val="00303C62"/>
    <w:rsid w:val="00304F5B"/>
    <w:rsid w:val="00305C1D"/>
    <w:rsid w:val="0030631E"/>
    <w:rsid w:val="0030698C"/>
    <w:rsid w:val="00307035"/>
    <w:rsid w:val="00312286"/>
    <w:rsid w:val="00313959"/>
    <w:rsid w:val="00314E00"/>
    <w:rsid w:val="00320BAF"/>
    <w:rsid w:val="00321423"/>
    <w:rsid w:val="00325A6F"/>
    <w:rsid w:val="00325CC1"/>
    <w:rsid w:val="00327059"/>
    <w:rsid w:val="0033014D"/>
    <w:rsid w:val="003303B3"/>
    <w:rsid w:val="003319A7"/>
    <w:rsid w:val="00331BFC"/>
    <w:rsid w:val="00333120"/>
    <w:rsid w:val="0033379D"/>
    <w:rsid w:val="00335E45"/>
    <w:rsid w:val="00336126"/>
    <w:rsid w:val="00336A2F"/>
    <w:rsid w:val="003377E8"/>
    <w:rsid w:val="00340CA7"/>
    <w:rsid w:val="0034226F"/>
    <w:rsid w:val="00343204"/>
    <w:rsid w:val="003441C4"/>
    <w:rsid w:val="0034449A"/>
    <w:rsid w:val="00345C95"/>
    <w:rsid w:val="003502AE"/>
    <w:rsid w:val="00350854"/>
    <w:rsid w:val="0035259D"/>
    <w:rsid w:val="0035467D"/>
    <w:rsid w:val="003566C1"/>
    <w:rsid w:val="0036036B"/>
    <w:rsid w:val="003606C3"/>
    <w:rsid w:val="0036098F"/>
    <w:rsid w:val="00364549"/>
    <w:rsid w:val="00364CCB"/>
    <w:rsid w:val="00366497"/>
    <w:rsid w:val="00366AAE"/>
    <w:rsid w:val="00366DC3"/>
    <w:rsid w:val="00366E16"/>
    <w:rsid w:val="00371755"/>
    <w:rsid w:val="003731E0"/>
    <w:rsid w:val="003747E4"/>
    <w:rsid w:val="00374B69"/>
    <w:rsid w:val="00384965"/>
    <w:rsid w:val="00384ED1"/>
    <w:rsid w:val="00385984"/>
    <w:rsid w:val="003918B1"/>
    <w:rsid w:val="00391EF4"/>
    <w:rsid w:val="00392A8E"/>
    <w:rsid w:val="00392AC0"/>
    <w:rsid w:val="00392E50"/>
    <w:rsid w:val="00395BE5"/>
    <w:rsid w:val="0039655E"/>
    <w:rsid w:val="0039678C"/>
    <w:rsid w:val="003970D3"/>
    <w:rsid w:val="003976FF"/>
    <w:rsid w:val="003A054B"/>
    <w:rsid w:val="003A0E63"/>
    <w:rsid w:val="003A19D7"/>
    <w:rsid w:val="003A3324"/>
    <w:rsid w:val="003A40B3"/>
    <w:rsid w:val="003A5653"/>
    <w:rsid w:val="003B01F8"/>
    <w:rsid w:val="003B1785"/>
    <w:rsid w:val="003B221F"/>
    <w:rsid w:val="003B3FAC"/>
    <w:rsid w:val="003B40D6"/>
    <w:rsid w:val="003B5B38"/>
    <w:rsid w:val="003B6C4C"/>
    <w:rsid w:val="003B7841"/>
    <w:rsid w:val="003C189E"/>
    <w:rsid w:val="003C254C"/>
    <w:rsid w:val="003C2ADA"/>
    <w:rsid w:val="003C4298"/>
    <w:rsid w:val="003C45A8"/>
    <w:rsid w:val="003C4833"/>
    <w:rsid w:val="003D11D0"/>
    <w:rsid w:val="003D1479"/>
    <w:rsid w:val="003D23B5"/>
    <w:rsid w:val="003D5B73"/>
    <w:rsid w:val="003D655A"/>
    <w:rsid w:val="003D6735"/>
    <w:rsid w:val="003E01F8"/>
    <w:rsid w:val="003E0FCA"/>
    <w:rsid w:val="003E26A4"/>
    <w:rsid w:val="003E2C55"/>
    <w:rsid w:val="003E374A"/>
    <w:rsid w:val="003E4F90"/>
    <w:rsid w:val="003E6A22"/>
    <w:rsid w:val="003F3DAF"/>
    <w:rsid w:val="003F533D"/>
    <w:rsid w:val="003F5C25"/>
    <w:rsid w:val="003F62DD"/>
    <w:rsid w:val="0040139F"/>
    <w:rsid w:val="00402930"/>
    <w:rsid w:val="00402BFE"/>
    <w:rsid w:val="004062A0"/>
    <w:rsid w:val="00407482"/>
    <w:rsid w:val="00407F01"/>
    <w:rsid w:val="00410061"/>
    <w:rsid w:val="0041083C"/>
    <w:rsid w:val="00410BA5"/>
    <w:rsid w:val="00411A71"/>
    <w:rsid w:val="004121A8"/>
    <w:rsid w:val="004128DE"/>
    <w:rsid w:val="004131C7"/>
    <w:rsid w:val="00414D50"/>
    <w:rsid w:val="0041542D"/>
    <w:rsid w:val="004158D3"/>
    <w:rsid w:val="00420B25"/>
    <w:rsid w:val="004217ED"/>
    <w:rsid w:val="00422FDB"/>
    <w:rsid w:val="00424610"/>
    <w:rsid w:val="004251B4"/>
    <w:rsid w:val="00426331"/>
    <w:rsid w:val="004322AD"/>
    <w:rsid w:val="00432BE1"/>
    <w:rsid w:val="004363EA"/>
    <w:rsid w:val="00436853"/>
    <w:rsid w:val="004402B1"/>
    <w:rsid w:val="00441000"/>
    <w:rsid w:val="00443B0E"/>
    <w:rsid w:val="00443B18"/>
    <w:rsid w:val="00444329"/>
    <w:rsid w:val="00445F20"/>
    <w:rsid w:val="00446C5A"/>
    <w:rsid w:val="00447446"/>
    <w:rsid w:val="00447525"/>
    <w:rsid w:val="00447CC8"/>
    <w:rsid w:val="004517F5"/>
    <w:rsid w:val="00453563"/>
    <w:rsid w:val="00454660"/>
    <w:rsid w:val="00454F02"/>
    <w:rsid w:val="00455BB0"/>
    <w:rsid w:val="004576B1"/>
    <w:rsid w:val="00457F29"/>
    <w:rsid w:val="004601F4"/>
    <w:rsid w:val="0046255F"/>
    <w:rsid w:val="00462673"/>
    <w:rsid w:val="00462CE3"/>
    <w:rsid w:val="00463403"/>
    <w:rsid w:val="00464C7A"/>
    <w:rsid w:val="00466418"/>
    <w:rsid w:val="00466DA0"/>
    <w:rsid w:val="00467107"/>
    <w:rsid w:val="00467A2A"/>
    <w:rsid w:val="00467B26"/>
    <w:rsid w:val="00470E97"/>
    <w:rsid w:val="00471571"/>
    <w:rsid w:val="0047194C"/>
    <w:rsid w:val="00471F3C"/>
    <w:rsid w:val="00472785"/>
    <w:rsid w:val="00472ADF"/>
    <w:rsid w:val="00474EEC"/>
    <w:rsid w:val="00474F00"/>
    <w:rsid w:val="00475E47"/>
    <w:rsid w:val="00476D2E"/>
    <w:rsid w:val="00476F5C"/>
    <w:rsid w:val="00477CE6"/>
    <w:rsid w:val="00477EC1"/>
    <w:rsid w:val="00480250"/>
    <w:rsid w:val="00483433"/>
    <w:rsid w:val="004836C3"/>
    <w:rsid w:val="0048619B"/>
    <w:rsid w:val="00486703"/>
    <w:rsid w:val="00487652"/>
    <w:rsid w:val="00490F4D"/>
    <w:rsid w:val="00491F25"/>
    <w:rsid w:val="00493066"/>
    <w:rsid w:val="00496CFF"/>
    <w:rsid w:val="004976D8"/>
    <w:rsid w:val="004A042B"/>
    <w:rsid w:val="004A2ECC"/>
    <w:rsid w:val="004A5342"/>
    <w:rsid w:val="004A5668"/>
    <w:rsid w:val="004A684B"/>
    <w:rsid w:val="004A70CE"/>
    <w:rsid w:val="004A79C6"/>
    <w:rsid w:val="004B1F30"/>
    <w:rsid w:val="004B34C1"/>
    <w:rsid w:val="004B3973"/>
    <w:rsid w:val="004B3F7A"/>
    <w:rsid w:val="004B3FFA"/>
    <w:rsid w:val="004B6874"/>
    <w:rsid w:val="004B7E4B"/>
    <w:rsid w:val="004C041A"/>
    <w:rsid w:val="004C0FA3"/>
    <w:rsid w:val="004C1150"/>
    <w:rsid w:val="004C19DA"/>
    <w:rsid w:val="004C2279"/>
    <w:rsid w:val="004C30E4"/>
    <w:rsid w:val="004C3DFE"/>
    <w:rsid w:val="004C3EC1"/>
    <w:rsid w:val="004C5B3B"/>
    <w:rsid w:val="004C70EB"/>
    <w:rsid w:val="004C7627"/>
    <w:rsid w:val="004D0B99"/>
    <w:rsid w:val="004D1D90"/>
    <w:rsid w:val="004D358F"/>
    <w:rsid w:val="004D55BE"/>
    <w:rsid w:val="004D5D28"/>
    <w:rsid w:val="004D5F0B"/>
    <w:rsid w:val="004D6134"/>
    <w:rsid w:val="004D745D"/>
    <w:rsid w:val="004D76D3"/>
    <w:rsid w:val="004E1B9B"/>
    <w:rsid w:val="004E3F35"/>
    <w:rsid w:val="004E5EB0"/>
    <w:rsid w:val="004E7634"/>
    <w:rsid w:val="004E786F"/>
    <w:rsid w:val="004F0B45"/>
    <w:rsid w:val="004F1EC0"/>
    <w:rsid w:val="004F25B1"/>
    <w:rsid w:val="004F2F2A"/>
    <w:rsid w:val="004F48B0"/>
    <w:rsid w:val="004F541F"/>
    <w:rsid w:val="004F65C6"/>
    <w:rsid w:val="004F6A3C"/>
    <w:rsid w:val="005021F5"/>
    <w:rsid w:val="005023E9"/>
    <w:rsid w:val="005039F8"/>
    <w:rsid w:val="00504347"/>
    <w:rsid w:val="00504BF2"/>
    <w:rsid w:val="005054F9"/>
    <w:rsid w:val="005058E6"/>
    <w:rsid w:val="00505B0C"/>
    <w:rsid w:val="00505B2E"/>
    <w:rsid w:val="00507CEB"/>
    <w:rsid w:val="00510150"/>
    <w:rsid w:val="00510342"/>
    <w:rsid w:val="00510965"/>
    <w:rsid w:val="0051292A"/>
    <w:rsid w:val="0051323B"/>
    <w:rsid w:val="005137F6"/>
    <w:rsid w:val="00513F17"/>
    <w:rsid w:val="00517BCE"/>
    <w:rsid w:val="00520DC1"/>
    <w:rsid w:val="00521279"/>
    <w:rsid w:val="00521329"/>
    <w:rsid w:val="00521697"/>
    <w:rsid w:val="00521D77"/>
    <w:rsid w:val="00522B7F"/>
    <w:rsid w:val="00524244"/>
    <w:rsid w:val="00524953"/>
    <w:rsid w:val="00524F6E"/>
    <w:rsid w:val="00526F32"/>
    <w:rsid w:val="00527240"/>
    <w:rsid w:val="00530F1B"/>
    <w:rsid w:val="00532A1A"/>
    <w:rsid w:val="005340FE"/>
    <w:rsid w:val="00534524"/>
    <w:rsid w:val="00535A1A"/>
    <w:rsid w:val="0054324C"/>
    <w:rsid w:val="00543792"/>
    <w:rsid w:val="0054516C"/>
    <w:rsid w:val="005455B2"/>
    <w:rsid w:val="0054642C"/>
    <w:rsid w:val="0054668D"/>
    <w:rsid w:val="00554C90"/>
    <w:rsid w:val="005553AE"/>
    <w:rsid w:val="00555F3A"/>
    <w:rsid w:val="005568DA"/>
    <w:rsid w:val="00556F63"/>
    <w:rsid w:val="00557CBA"/>
    <w:rsid w:val="0056037C"/>
    <w:rsid w:val="005604A2"/>
    <w:rsid w:val="00560AB9"/>
    <w:rsid w:val="005627E4"/>
    <w:rsid w:val="00562DFF"/>
    <w:rsid w:val="005638A7"/>
    <w:rsid w:val="005652B0"/>
    <w:rsid w:val="00565496"/>
    <w:rsid w:val="00565647"/>
    <w:rsid w:val="00565695"/>
    <w:rsid w:val="0056638F"/>
    <w:rsid w:val="005678FC"/>
    <w:rsid w:val="005708EB"/>
    <w:rsid w:val="005719F9"/>
    <w:rsid w:val="00573398"/>
    <w:rsid w:val="00573C75"/>
    <w:rsid w:val="00573DDC"/>
    <w:rsid w:val="00573DEA"/>
    <w:rsid w:val="00575110"/>
    <w:rsid w:val="00575CDF"/>
    <w:rsid w:val="00576421"/>
    <w:rsid w:val="0057768B"/>
    <w:rsid w:val="005803A4"/>
    <w:rsid w:val="00580C06"/>
    <w:rsid w:val="00584098"/>
    <w:rsid w:val="005840DC"/>
    <w:rsid w:val="00584714"/>
    <w:rsid w:val="005848C9"/>
    <w:rsid w:val="005861FE"/>
    <w:rsid w:val="00586CA5"/>
    <w:rsid w:val="00587122"/>
    <w:rsid w:val="005907F1"/>
    <w:rsid w:val="00592444"/>
    <w:rsid w:val="005931E6"/>
    <w:rsid w:val="00593D4B"/>
    <w:rsid w:val="00593FA8"/>
    <w:rsid w:val="005958F2"/>
    <w:rsid w:val="005A138B"/>
    <w:rsid w:val="005A37A4"/>
    <w:rsid w:val="005A5F71"/>
    <w:rsid w:val="005A73FA"/>
    <w:rsid w:val="005A7D62"/>
    <w:rsid w:val="005B1138"/>
    <w:rsid w:val="005B1EFF"/>
    <w:rsid w:val="005B2DEB"/>
    <w:rsid w:val="005B3156"/>
    <w:rsid w:val="005B3922"/>
    <w:rsid w:val="005B3DA7"/>
    <w:rsid w:val="005B5E1A"/>
    <w:rsid w:val="005B6457"/>
    <w:rsid w:val="005C18CA"/>
    <w:rsid w:val="005C2E3C"/>
    <w:rsid w:val="005C4226"/>
    <w:rsid w:val="005C4C14"/>
    <w:rsid w:val="005C4F19"/>
    <w:rsid w:val="005D0356"/>
    <w:rsid w:val="005D0E2F"/>
    <w:rsid w:val="005D137D"/>
    <w:rsid w:val="005D20E6"/>
    <w:rsid w:val="005D489A"/>
    <w:rsid w:val="005D5F15"/>
    <w:rsid w:val="005D66B6"/>
    <w:rsid w:val="005D7367"/>
    <w:rsid w:val="005E0CDA"/>
    <w:rsid w:val="005E2C4F"/>
    <w:rsid w:val="005E34A5"/>
    <w:rsid w:val="005E35EC"/>
    <w:rsid w:val="005E37DC"/>
    <w:rsid w:val="005E39FF"/>
    <w:rsid w:val="005E4B28"/>
    <w:rsid w:val="005E5BFD"/>
    <w:rsid w:val="005E694F"/>
    <w:rsid w:val="005F0183"/>
    <w:rsid w:val="005F2900"/>
    <w:rsid w:val="005F2D85"/>
    <w:rsid w:val="005F36FF"/>
    <w:rsid w:val="005F3DBB"/>
    <w:rsid w:val="005F443F"/>
    <w:rsid w:val="005F444D"/>
    <w:rsid w:val="005F4E57"/>
    <w:rsid w:val="005F68A5"/>
    <w:rsid w:val="005F7318"/>
    <w:rsid w:val="005F7A79"/>
    <w:rsid w:val="006004CB"/>
    <w:rsid w:val="00601E94"/>
    <w:rsid w:val="00604456"/>
    <w:rsid w:val="00604A1E"/>
    <w:rsid w:val="00604A6D"/>
    <w:rsid w:val="00605499"/>
    <w:rsid w:val="00605B45"/>
    <w:rsid w:val="00606263"/>
    <w:rsid w:val="006076FC"/>
    <w:rsid w:val="00607AE9"/>
    <w:rsid w:val="00610121"/>
    <w:rsid w:val="00610D70"/>
    <w:rsid w:val="00616AA4"/>
    <w:rsid w:val="00616B7D"/>
    <w:rsid w:val="00620934"/>
    <w:rsid w:val="0062333F"/>
    <w:rsid w:val="00623571"/>
    <w:rsid w:val="006253DD"/>
    <w:rsid w:val="00625D15"/>
    <w:rsid w:val="0062612F"/>
    <w:rsid w:val="006319E0"/>
    <w:rsid w:val="00631A42"/>
    <w:rsid w:val="006323A7"/>
    <w:rsid w:val="006368AF"/>
    <w:rsid w:val="00637122"/>
    <w:rsid w:val="006405F3"/>
    <w:rsid w:val="00640A6A"/>
    <w:rsid w:val="00640DDA"/>
    <w:rsid w:val="00645BC1"/>
    <w:rsid w:val="00645CBA"/>
    <w:rsid w:val="006505ED"/>
    <w:rsid w:val="00651295"/>
    <w:rsid w:val="006513D1"/>
    <w:rsid w:val="00653A0F"/>
    <w:rsid w:val="00653C99"/>
    <w:rsid w:val="00653FE5"/>
    <w:rsid w:val="00654F37"/>
    <w:rsid w:val="00655DF2"/>
    <w:rsid w:val="00657872"/>
    <w:rsid w:val="0066368A"/>
    <w:rsid w:val="006641FB"/>
    <w:rsid w:val="0066729D"/>
    <w:rsid w:val="00667F3F"/>
    <w:rsid w:val="006722B3"/>
    <w:rsid w:val="00673DAA"/>
    <w:rsid w:val="006747C3"/>
    <w:rsid w:val="00674F6B"/>
    <w:rsid w:val="006754E2"/>
    <w:rsid w:val="00676748"/>
    <w:rsid w:val="00680662"/>
    <w:rsid w:val="0068140A"/>
    <w:rsid w:val="00681637"/>
    <w:rsid w:val="006834EB"/>
    <w:rsid w:val="00685FFF"/>
    <w:rsid w:val="00686FD9"/>
    <w:rsid w:val="00687D76"/>
    <w:rsid w:val="006908BA"/>
    <w:rsid w:val="00692519"/>
    <w:rsid w:val="006927AF"/>
    <w:rsid w:val="00692F78"/>
    <w:rsid w:val="006958AB"/>
    <w:rsid w:val="0069702A"/>
    <w:rsid w:val="00697E30"/>
    <w:rsid w:val="006A0CED"/>
    <w:rsid w:val="006A1320"/>
    <w:rsid w:val="006A1550"/>
    <w:rsid w:val="006A2593"/>
    <w:rsid w:val="006A26A2"/>
    <w:rsid w:val="006A2CF0"/>
    <w:rsid w:val="006A2F8D"/>
    <w:rsid w:val="006A4C3B"/>
    <w:rsid w:val="006A4CED"/>
    <w:rsid w:val="006A500E"/>
    <w:rsid w:val="006A5132"/>
    <w:rsid w:val="006A5A69"/>
    <w:rsid w:val="006A5FD7"/>
    <w:rsid w:val="006A7618"/>
    <w:rsid w:val="006B0461"/>
    <w:rsid w:val="006B087A"/>
    <w:rsid w:val="006B101E"/>
    <w:rsid w:val="006B1F59"/>
    <w:rsid w:val="006B60D8"/>
    <w:rsid w:val="006B65BA"/>
    <w:rsid w:val="006C0CCF"/>
    <w:rsid w:val="006C25D0"/>
    <w:rsid w:val="006C27F5"/>
    <w:rsid w:val="006C3F96"/>
    <w:rsid w:val="006C4E11"/>
    <w:rsid w:val="006C5129"/>
    <w:rsid w:val="006C52C6"/>
    <w:rsid w:val="006C64F4"/>
    <w:rsid w:val="006C6E26"/>
    <w:rsid w:val="006C7163"/>
    <w:rsid w:val="006D00FC"/>
    <w:rsid w:val="006D0402"/>
    <w:rsid w:val="006D0E0C"/>
    <w:rsid w:val="006D1049"/>
    <w:rsid w:val="006D147D"/>
    <w:rsid w:val="006D3AD5"/>
    <w:rsid w:val="006D5683"/>
    <w:rsid w:val="006D57FC"/>
    <w:rsid w:val="006D59AD"/>
    <w:rsid w:val="006D7A95"/>
    <w:rsid w:val="006E2BDB"/>
    <w:rsid w:val="006E3413"/>
    <w:rsid w:val="006E6080"/>
    <w:rsid w:val="006E6BA4"/>
    <w:rsid w:val="006E6DF8"/>
    <w:rsid w:val="006E7044"/>
    <w:rsid w:val="006E7339"/>
    <w:rsid w:val="006E770D"/>
    <w:rsid w:val="006E7E95"/>
    <w:rsid w:val="006F087C"/>
    <w:rsid w:val="006F097B"/>
    <w:rsid w:val="006F1790"/>
    <w:rsid w:val="006F2542"/>
    <w:rsid w:val="006F3C25"/>
    <w:rsid w:val="006F4E1A"/>
    <w:rsid w:val="006F62D6"/>
    <w:rsid w:val="006F75FD"/>
    <w:rsid w:val="007003D6"/>
    <w:rsid w:val="00700713"/>
    <w:rsid w:val="007012D0"/>
    <w:rsid w:val="00701346"/>
    <w:rsid w:val="007027BE"/>
    <w:rsid w:val="00702B47"/>
    <w:rsid w:val="007038D9"/>
    <w:rsid w:val="00705256"/>
    <w:rsid w:val="00707A8A"/>
    <w:rsid w:val="00707D2A"/>
    <w:rsid w:val="00710C38"/>
    <w:rsid w:val="00711715"/>
    <w:rsid w:val="00712A1E"/>
    <w:rsid w:val="007143E7"/>
    <w:rsid w:val="0071451C"/>
    <w:rsid w:val="00714ADF"/>
    <w:rsid w:val="00717486"/>
    <w:rsid w:val="0071767B"/>
    <w:rsid w:val="00717B3E"/>
    <w:rsid w:val="00717CFD"/>
    <w:rsid w:val="007207C3"/>
    <w:rsid w:val="007209EC"/>
    <w:rsid w:val="00721863"/>
    <w:rsid w:val="00721BE0"/>
    <w:rsid w:val="007231C9"/>
    <w:rsid w:val="00723B35"/>
    <w:rsid w:val="00724289"/>
    <w:rsid w:val="007254D2"/>
    <w:rsid w:val="007256FD"/>
    <w:rsid w:val="0072611E"/>
    <w:rsid w:val="00731555"/>
    <w:rsid w:val="00732A3B"/>
    <w:rsid w:val="0073358E"/>
    <w:rsid w:val="00736C4D"/>
    <w:rsid w:val="00736C8D"/>
    <w:rsid w:val="00747941"/>
    <w:rsid w:val="00750F2D"/>
    <w:rsid w:val="007514CE"/>
    <w:rsid w:val="0075174A"/>
    <w:rsid w:val="00753C0C"/>
    <w:rsid w:val="00753E6E"/>
    <w:rsid w:val="00754100"/>
    <w:rsid w:val="00755411"/>
    <w:rsid w:val="00756742"/>
    <w:rsid w:val="007603C0"/>
    <w:rsid w:val="007619C5"/>
    <w:rsid w:val="007647FC"/>
    <w:rsid w:val="007673B7"/>
    <w:rsid w:val="0076776D"/>
    <w:rsid w:val="00767888"/>
    <w:rsid w:val="007678F0"/>
    <w:rsid w:val="00767E5E"/>
    <w:rsid w:val="00772BBA"/>
    <w:rsid w:val="00775759"/>
    <w:rsid w:val="0078080E"/>
    <w:rsid w:val="00784383"/>
    <w:rsid w:val="0078448A"/>
    <w:rsid w:val="00784AEB"/>
    <w:rsid w:val="00785753"/>
    <w:rsid w:val="00785761"/>
    <w:rsid w:val="00791E2B"/>
    <w:rsid w:val="0079369D"/>
    <w:rsid w:val="007941DE"/>
    <w:rsid w:val="00796C9C"/>
    <w:rsid w:val="00797866"/>
    <w:rsid w:val="007A05CE"/>
    <w:rsid w:val="007A296E"/>
    <w:rsid w:val="007A3DCE"/>
    <w:rsid w:val="007A6897"/>
    <w:rsid w:val="007A759D"/>
    <w:rsid w:val="007B484C"/>
    <w:rsid w:val="007B5337"/>
    <w:rsid w:val="007B5699"/>
    <w:rsid w:val="007B5A3C"/>
    <w:rsid w:val="007B5E36"/>
    <w:rsid w:val="007B666F"/>
    <w:rsid w:val="007B7625"/>
    <w:rsid w:val="007C00A8"/>
    <w:rsid w:val="007C044E"/>
    <w:rsid w:val="007C2C25"/>
    <w:rsid w:val="007C2F0D"/>
    <w:rsid w:val="007C4CF1"/>
    <w:rsid w:val="007C4FE0"/>
    <w:rsid w:val="007D077B"/>
    <w:rsid w:val="007D083E"/>
    <w:rsid w:val="007D181F"/>
    <w:rsid w:val="007D1A9E"/>
    <w:rsid w:val="007D36BF"/>
    <w:rsid w:val="007D7A15"/>
    <w:rsid w:val="007E00E2"/>
    <w:rsid w:val="007E1704"/>
    <w:rsid w:val="007E1B6C"/>
    <w:rsid w:val="007E28E3"/>
    <w:rsid w:val="007E7E0F"/>
    <w:rsid w:val="007F1E7E"/>
    <w:rsid w:val="007F236A"/>
    <w:rsid w:val="007F2F17"/>
    <w:rsid w:val="007F449F"/>
    <w:rsid w:val="007F4684"/>
    <w:rsid w:val="007F5244"/>
    <w:rsid w:val="007F597B"/>
    <w:rsid w:val="007F6789"/>
    <w:rsid w:val="007F6B39"/>
    <w:rsid w:val="007F6F2B"/>
    <w:rsid w:val="008005E9"/>
    <w:rsid w:val="00802045"/>
    <w:rsid w:val="0080331F"/>
    <w:rsid w:val="00803CDA"/>
    <w:rsid w:val="00803CF5"/>
    <w:rsid w:val="008042DF"/>
    <w:rsid w:val="0080432C"/>
    <w:rsid w:val="0080666B"/>
    <w:rsid w:val="0081043A"/>
    <w:rsid w:val="00812346"/>
    <w:rsid w:val="008126B4"/>
    <w:rsid w:val="00813DAC"/>
    <w:rsid w:val="00814399"/>
    <w:rsid w:val="00815253"/>
    <w:rsid w:val="00820E86"/>
    <w:rsid w:val="00821860"/>
    <w:rsid w:val="00822001"/>
    <w:rsid w:val="008260F3"/>
    <w:rsid w:val="00827490"/>
    <w:rsid w:val="008276BB"/>
    <w:rsid w:val="0083146B"/>
    <w:rsid w:val="00831D31"/>
    <w:rsid w:val="00832EBD"/>
    <w:rsid w:val="0083300C"/>
    <w:rsid w:val="008332C4"/>
    <w:rsid w:val="008339D6"/>
    <w:rsid w:val="00833AE0"/>
    <w:rsid w:val="00833DA0"/>
    <w:rsid w:val="00834915"/>
    <w:rsid w:val="00834B02"/>
    <w:rsid w:val="00836564"/>
    <w:rsid w:val="0083685F"/>
    <w:rsid w:val="00840725"/>
    <w:rsid w:val="00842D6D"/>
    <w:rsid w:val="00844339"/>
    <w:rsid w:val="00845B5A"/>
    <w:rsid w:val="008512DC"/>
    <w:rsid w:val="008522AE"/>
    <w:rsid w:val="00854498"/>
    <w:rsid w:val="00854A90"/>
    <w:rsid w:val="00857108"/>
    <w:rsid w:val="00860D7D"/>
    <w:rsid w:val="0086115F"/>
    <w:rsid w:val="0086208D"/>
    <w:rsid w:val="008623C8"/>
    <w:rsid w:val="008627B1"/>
    <w:rsid w:val="00862818"/>
    <w:rsid w:val="00863211"/>
    <w:rsid w:val="008642BB"/>
    <w:rsid w:val="00864C86"/>
    <w:rsid w:val="00867A1C"/>
    <w:rsid w:val="008704DD"/>
    <w:rsid w:val="00871AE0"/>
    <w:rsid w:val="0087219B"/>
    <w:rsid w:val="00873B19"/>
    <w:rsid w:val="00876850"/>
    <w:rsid w:val="00880226"/>
    <w:rsid w:val="0088102D"/>
    <w:rsid w:val="008824AC"/>
    <w:rsid w:val="00882FA5"/>
    <w:rsid w:val="00884272"/>
    <w:rsid w:val="00885113"/>
    <w:rsid w:val="00885584"/>
    <w:rsid w:val="00885DB3"/>
    <w:rsid w:val="008864E2"/>
    <w:rsid w:val="00887CA7"/>
    <w:rsid w:val="00890A05"/>
    <w:rsid w:val="0089178F"/>
    <w:rsid w:val="00893197"/>
    <w:rsid w:val="00896182"/>
    <w:rsid w:val="008A03A6"/>
    <w:rsid w:val="008A0C3F"/>
    <w:rsid w:val="008A34A3"/>
    <w:rsid w:val="008A3522"/>
    <w:rsid w:val="008A4129"/>
    <w:rsid w:val="008A4462"/>
    <w:rsid w:val="008A68A8"/>
    <w:rsid w:val="008A6A31"/>
    <w:rsid w:val="008A6DE2"/>
    <w:rsid w:val="008B02DC"/>
    <w:rsid w:val="008B20E1"/>
    <w:rsid w:val="008B22CD"/>
    <w:rsid w:val="008B2EBD"/>
    <w:rsid w:val="008B3C4C"/>
    <w:rsid w:val="008B63EF"/>
    <w:rsid w:val="008B6BD1"/>
    <w:rsid w:val="008B6CA3"/>
    <w:rsid w:val="008C0107"/>
    <w:rsid w:val="008C0D79"/>
    <w:rsid w:val="008C2E8F"/>
    <w:rsid w:val="008C3CC6"/>
    <w:rsid w:val="008C44A8"/>
    <w:rsid w:val="008C56A2"/>
    <w:rsid w:val="008D1689"/>
    <w:rsid w:val="008D1839"/>
    <w:rsid w:val="008D19AB"/>
    <w:rsid w:val="008D20CF"/>
    <w:rsid w:val="008D25B6"/>
    <w:rsid w:val="008D2BAF"/>
    <w:rsid w:val="008D33AA"/>
    <w:rsid w:val="008D38D2"/>
    <w:rsid w:val="008D41EB"/>
    <w:rsid w:val="008D4444"/>
    <w:rsid w:val="008D5488"/>
    <w:rsid w:val="008D5CCA"/>
    <w:rsid w:val="008D629D"/>
    <w:rsid w:val="008D7D31"/>
    <w:rsid w:val="008D7ED7"/>
    <w:rsid w:val="008E03F1"/>
    <w:rsid w:val="008E1152"/>
    <w:rsid w:val="008E1648"/>
    <w:rsid w:val="008E1696"/>
    <w:rsid w:val="008E2296"/>
    <w:rsid w:val="008E49FF"/>
    <w:rsid w:val="008E52AA"/>
    <w:rsid w:val="008E5F1E"/>
    <w:rsid w:val="008E5F30"/>
    <w:rsid w:val="008E6824"/>
    <w:rsid w:val="008E6A11"/>
    <w:rsid w:val="008E7533"/>
    <w:rsid w:val="008E7F0C"/>
    <w:rsid w:val="008F0844"/>
    <w:rsid w:val="008F09B0"/>
    <w:rsid w:val="008F2662"/>
    <w:rsid w:val="008F2837"/>
    <w:rsid w:val="008F41E8"/>
    <w:rsid w:val="008F4835"/>
    <w:rsid w:val="008F50C9"/>
    <w:rsid w:val="008F6955"/>
    <w:rsid w:val="008F6AFE"/>
    <w:rsid w:val="008F6FEE"/>
    <w:rsid w:val="008F7E18"/>
    <w:rsid w:val="00901A0D"/>
    <w:rsid w:val="00902162"/>
    <w:rsid w:val="009023F1"/>
    <w:rsid w:val="00902450"/>
    <w:rsid w:val="009024B4"/>
    <w:rsid w:val="00902A99"/>
    <w:rsid w:val="009030B1"/>
    <w:rsid w:val="00903248"/>
    <w:rsid w:val="00903422"/>
    <w:rsid w:val="0090385B"/>
    <w:rsid w:val="00904118"/>
    <w:rsid w:val="00904922"/>
    <w:rsid w:val="00904E7D"/>
    <w:rsid w:val="00906195"/>
    <w:rsid w:val="00911988"/>
    <w:rsid w:val="0091579C"/>
    <w:rsid w:val="00917514"/>
    <w:rsid w:val="00922130"/>
    <w:rsid w:val="009258D3"/>
    <w:rsid w:val="00925B2D"/>
    <w:rsid w:val="00926699"/>
    <w:rsid w:val="009277F3"/>
    <w:rsid w:val="00927822"/>
    <w:rsid w:val="00927B3D"/>
    <w:rsid w:val="009300B3"/>
    <w:rsid w:val="00930813"/>
    <w:rsid w:val="00931FB0"/>
    <w:rsid w:val="00933E08"/>
    <w:rsid w:val="00936D14"/>
    <w:rsid w:val="0094003D"/>
    <w:rsid w:val="009436A1"/>
    <w:rsid w:val="00945FBB"/>
    <w:rsid w:val="009523E3"/>
    <w:rsid w:val="00953891"/>
    <w:rsid w:val="009558E7"/>
    <w:rsid w:val="00955F61"/>
    <w:rsid w:val="00957500"/>
    <w:rsid w:val="00960FB8"/>
    <w:rsid w:val="009611CE"/>
    <w:rsid w:val="00962606"/>
    <w:rsid w:val="009636CA"/>
    <w:rsid w:val="00963CE7"/>
    <w:rsid w:val="00963F7E"/>
    <w:rsid w:val="009647D3"/>
    <w:rsid w:val="009648ED"/>
    <w:rsid w:val="009651A0"/>
    <w:rsid w:val="00966222"/>
    <w:rsid w:val="009666CE"/>
    <w:rsid w:val="009678AF"/>
    <w:rsid w:val="0097073A"/>
    <w:rsid w:val="00970E6D"/>
    <w:rsid w:val="00970F30"/>
    <w:rsid w:val="00972409"/>
    <w:rsid w:val="0097285E"/>
    <w:rsid w:val="00972973"/>
    <w:rsid w:val="0097555D"/>
    <w:rsid w:val="0097574F"/>
    <w:rsid w:val="00975974"/>
    <w:rsid w:val="00976466"/>
    <w:rsid w:val="00976CD6"/>
    <w:rsid w:val="009777CA"/>
    <w:rsid w:val="009835B1"/>
    <w:rsid w:val="00983A82"/>
    <w:rsid w:val="00984787"/>
    <w:rsid w:val="00985896"/>
    <w:rsid w:val="00986255"/>
    <w:rsid w:val="00986803"/>
    <w:rsid w:val="009869A9"/>
    <w:rsid w:val="00986A7E"/>
    <w:rsid w:val="0098702A"/>
    <w:rsid w:val="0099209D"/>
    <w:rsid w:val="0099256D"/>
    <w:rsid w:val="00994E78"/>
    <w:rsid w:val="00996D1A"/>
    <w:rsid w:val="00997CC4"/>
    <w:rsid w:val="009A0FF4"/>
    <w:rsid w:val="009A14D2"/>
    <w:rsid w:val="009A1B5A"/>
    <w:rsid w:val="009A3B08"/>
    <w:rsid w:val="009A3D9E"/>
    <w:rsid w:val="009A3FC8"/>
    <w:rsid w:val="009A53B3"/>
    <w:rsid w:val="009A721E"/>
    <w:rsid w:val="009B20A6"/>
    <w:rsid w:val="009B2429"/>
    <w:rsid w:val="009B2CE3"/>
    <w:rsid w:val="009B5759"/>
    <w:rsid w:val="009B59BC"/>
    <w:rsid w:val="009B722B"/>
    <w:rsid w:val="009B78B0"/>
    <w:rsid w:val="009C0163"/>
    <w:rsid w:val="009C02B7"/>
    <w:rsid w:val="009C2A1C"/>
    <w:rsid w:val="009C2F9A"/>
    <w:rsid w:val="009C384F"/>
    <w:rsid w:val="009C6A60"/>
    <w:rsid w:val="009C7DED"/>
    <w:rsid w:val="009D1698"/>
    <w:rsid w:val="009D2C06"/>
    <w:rsid w:val="009D507D"/>
    <w:rsid w:val="009D5815"/>
    <w:rsid w:val="009D5B83"/>
    <w:rsid w:val="009D5BFD"/>
    <w:rsid w:val="009D63C6"/>
    <w:rsid w:val="009D70C2"/>
    <w:rsid w:val="009D73A3"/>
    <w:rsid w:val="009D7451"/>
    <w:rsid w:val="009E0426"/>
    <w:rsid w:val="009E05C5"/>
    <w:rsid w:val="009E084C"/>
    <w:rsid w:val="009E3A1A"/>
    <w:rsid w:val="009E416F"/>
    <w:rsid w:val="009E4AC9"/>
    <w:rsid w:val="009E6DF7"/>
    <w:rsid w:val="009E6F9A"/>
    <w:rsid w:val="009F2439"/>
    <w:rsid w:val="009F4082"/>
    <w:rsid w:val="009F4342"/>
    <w:rsid w:val="009F59C8"/>
    <w:rsid w:val="009F6760"/>
    <w:rsid w:val="009F753D"/>
    <w:rsid w:val="009F7FA9"/>
    <w:rsid w:val="00A02033"/>
    <w:rsid w:val="00A02048"/>
    <w:rsid w:val="00A03428"/>
    <w:rsid w:val="00A03B5A"/>
    <w:rsid w:val="00A04334"/>
    <w:rsid w:val="00A05D9D"/>
    <w:rsid w:val="00A06029"/>
    <w:rsid w:val="00A10152"/>
    <w:rsid w:val="00A10393"/>
    <w:rsid w:val="00A111EB"/>
    <w:rsid w:val="00A112A3"/>
    <w:rsid w:val="00A12E97"/>
    <w:rsid w:val="00A1304E"/>
    <w:rsid w:val="00A134F3"/>
    <w:rsid w:val="00A140C7"/>
    <w:rsid w:val="00A14B8C"/>
    <w:rsid w:val="00A155D2"/>
    <w:rsid w:val="00A16A84"/>
    <w:rsid w:val="00A23D8A"/>
    <w:rsid w:val="00A25AD3"/>
    <w:rsid w:val="00A318A6"/>
    <w:rsid w:val="00A32187"/>
    <w:rsid w:val="00A32A31"/>
    <w:rsid w:val="00A3347D"/>
    <w:rsid w:val="00A33FC3"/>
    <w:rsid w:val="00A34970"/>
    <w:rsid w:val="00A35603"/>
    <w:rsid w:val="00A43CD0"/>
    <w:rsid w:val="00A43F58"/>
    <w:rsid w:val="00A44FD8"/>
    <w:rsid w:val="00A475DB"/>
    <w:rsid w:val="00A5049D"/>
    <w:rsid w:val="00A5056B"/>
    <w:rsid w:val="00A51911"/>
    <w:rsid w:val="00A52BDC"/>
    <w:rsid w:val="00A5387F"/>
    <w:rsid w:val="00A53E15"/>
    <w:rsid w:val="00A56FB4"/>
    <w:rsid w:val="00A61FBE"/>
    <w:rsid w:val="00A62028"/>
    <w:rsid w:val="00A63077"/>
    <w:rsid w:val="00A63C25"/>
    <w:rsid w:val="00A63C63"/>
    <w:rsid w:val="00A640C5"/>
    <w:rsid w:val="00A648A7"/>
    <w:rsid w:val="00A662CA"/>
    <w:rsid w:val="00A67184"/>
    <w:rsid w:val="00A676AA"/>
    <w:rsid w:val="00A7373B"/>
    <w:rsid w:val="00A744A4"/>
    <w:rsid w:val="00A74853"/>
    <w:rsid w:val="00A75521"/>
    <w:rsid w:val="00A769D5"/>
    <w:rsid w:val="00A77A6A"/>
    <w:rsid w:val="00A77B36"/>
    <w:rsid w:val="00A80DAE"/>
    <w:rsid w:val="00A81056"/>
    <w:rsid w:val="00A82936"/>
    <w:rsid w:val="00A833AE"/>
    <w:rsid w:val="00A84B1F"/>
    <w:rsid w:val="00A87BFE"/>
    <w:rsid w:val="00A91B06"/>
    <w:rsid w:val="00A920D9"/>
    <w:rsid w:val="00A9308E"/>
    <w:rsid w:val="00A9321D"/>
    <w:rsid w:val="00A93C82"/>
    <w:rsid w:val="00A9475C"/>
    <w:rsid w:val="00A95912"/>
    <w:rsid w:val="00A971E4"/>
    <w:rsid w:val="00AA1C56"/>
    <w:rsid w:val="00AA35B8"/>
    <w:rsid w:val="00AA5746"/>
    <w:rsid w:val="00AA5883"/>
    <w:rsid w:val="00AA63D6"/>
    <w:rsid w:val="00AA7D9B"/>
    <w:rsid w:val="00AB0B32"/>
    <w:rsid w:val="00AB2093"/>
    <w:rsid w:val="00AB2554"/>
    <w:rsid w:val="00AB3D35"/>
    <w:rsid w:val="00AB4D3B"/>
    <w:rsid w:val="00AB6E8C"/>
    <w:rsid w:val="00AB7B18"/>
    <w:rsid w:val="00AC003C"/>
    <w:rsid w:val="00AC136E"/>
    <w:rsid w:val="00AC161D"/>
    <w:rsid w:val="00AC2365"/>
    <w:rsid w:val="00AC3EAA"/>
    <w:rsid w:val="00AC49AD"/>
    <w:rsid w:val="00AC529C"/>
    <w:rsid w:val="00AC61D4"/>
    <w:rsid w:val="00AD143B"/>
    <w:rsid w:val="00AD3E2D"/>
    <w:rsid w:val="00AD434E"/>
    <w:rsid w:val="00AD5051"/>
    <w:rsid w:val="00AD50DA"/>
    <w:rsid w:val="00AD5AAC"/>
    <w:rsid w:val="00AD7176"/>
    <w:rsid w:val="00AD7754"/>
    <w:rsid w:val="00AE062C"/>
    <w:rsid w:val="00AE1FF5"/>
    <w:rsid w:val="00AE3E1A"/>
    <w:rsid w:val="00AE4BCE"/>
    <w:rsid w:val="00AE647F"/>
    <w:rsid w:val="00AF2674"/>
    <w:rsid w:val="00AF2B90"/>
    <w:rsid w:val="00AF3B5F"/>
    <w:rsid w:val="00AF4514"/>
    <w:rsid w:val="00AF62F3"/>
    <w:rsid w:val="00AF791B"/>
    <w:rsid w:val="00AF7B8F"/>
    <w:rsid w:val="00B0713B"/>
    <w:rsid w:val="00B0769F"/>
    <w:rsid w:val="00B07AFF"/>
    <w:rsid w:val="00B10182"/>
    <w:rsid w:val="00B11BA8"/>
    <w:rsid w:val="00B133CF"/>
    <w:rsid w:val="00B137F0"/>
    <w:rsid w:val="00B1393B"/>
    <w:rsid w:val="00B156FD"/>
    <w:rsid w:val="00B175AE"/>
    <w:rsid w:val="00B17961"/>
    <w:rsid w:val="00B20468"/>
    <w:rsid w:val="00B2315F"/>
    <w:rsid w:val="00B2359C"/>
    <w:rsid w:val="00B23B50"/>
    <w:rsid w:val="00B25FF2"/>
    <w:rsid w:val="00B260AC"/>
    <w:rsid w:val="00B27AF1"/>
    <w:rsid w:val="00B27D04"/>
    <w:rsid w:val="00B30AA8"/>
    <w:rsid w:val="00B31957"/>
    <w:rsid w:val="00B348ED"/>
    <w:rsid w:val="00B34F23"/>
    <w:rsid w:val="00B35E0D"/>
    <w:rsid w:val="00B370ED"/>
    <w:rsid w:val="00B37528"/>
    <w:rsid w:val="00B4161F"/>
    <w:rsid w:val="00B41C0D"/>
    <w:rsid w:val="00B42E4A"/>
    <w:rsid w:val="00B4420F"/>
    <w:rsid w:val="00B51C4A"/>
    <w:rsid w:val="00B51E0C"/>
    <w:rsid w:val="00B57594"/>
    <w:rsid w:val="00B57727"/>
    <w:rsid w:val="00B608E2"/>
    <w:rsid w:val="00B60E8A"/>
    <w:rsid w:val="00B61135"/>
    <w:rsid w:val="00B621E2"/>
    <w:rsid w:val="00B62A03"/>
    <w:rsid w:val="00B62B3D"/>
    <w:rsid w:val="00B651EC"/>
    <w:rsid w:val="00B65591"/>
    <w:rsid w:val="00B66235"/>
    <w:rsid w:val="00B67074"/>
    <w:rsid w:val="00B67247"/>
    <w:rsid w:val="00B675C9"/>
    <w:rsid w:val="00B7044A"/>
    <w:rsid w:val="00B7046B"/>
    <w:rsid w:val="00B718AB"/>
    <w:rsid w:val="00B72F5C"/>
    <w:rsid w:val="00B7330D"/>
    <w:rsid w:val="00B73D45"/>
    <w:rsid w:val="00B757DE"/>
    <w:rsid w:val="00B75CFF"/>
    <w:rsid w:val="00B76ABC"/>
    <w:rsid w:val="00B76FAF"/>
    <w:rsid w:val="00B77BB2"/>
    <w:rsid w:val="00B85E83"/>
    <w:rsid w:val="00B871F6"/>
    <w:rsid w:val="00B93B11"/>
    <w:rsid w:val="00BA08E5"/>
    <w:rsid w:val="00BA0C66"/>
    <w:rsid w:val="00BA11BB"/>
    <w:rsid w:val="00BA1BC8"/>
    <w:rsid w:val="00BA368F"/>
    <w:rsid w:val="00BA36A8"/>
    <w:rsid w:val="00BA5F42"/>
    <w:rsid w:val="00BA6183"/>
    <w:rsid w:val="00BA6A87"/>
    <w:rsid w:val="00BA6AB2"/>
    <w:rsid w:val="00BB0E9D"/>
    <w:rsid w:val="00BB28D7"/>
    <w:rsid w:val="00BB296E"/>
    <w:rsid w:val="00BB3DB8"/>
    <w:rsid w:val="00BB435E"/>
    <w:rsid w:val="00BB5370"/>
    <w:rsid w:val="00BB5B67"/>
    <w:rsid w:val="00BC05B2"/>
    <w:rsid w:val="00BC206D"/>
    <w:rsid w:val="00BC24BD"/>
    <w:rsid w:val="00BC56E1"/>
    <w:rsid w:val="00BC5EDB"/>
    <w:rsid w:val="00BC7F37"/>
    <w:rsid w:val="00BD04E9"/>
    <w:rsid w:val="00BD1637"/>
    <w:rsid w:val="00BD30DF"/>
    <w:rsid w:val="00BD5975"/>
    <w:rsid w:val="00BE09E8"/>
    <w:rsid w:val="00BE20A9"/>
    <w:rsid w:val="00BE20E9"/>
    <w:rsid w:val="00BE26D5"/>
    <w:rsid w:val="00BE2AF0"/>
    <w:rsid w:val="00BE2E2F"/>
    <w:rsid w:val="00BE325C"/>
    <w:rsid w:val="00BF4D6A"/>
    <w:rsid w:val="00BF4FA4"/>
    <w:rsid w:val="00BF504F"/>
    <w:rsid w:val="00BF5E8E"/>
    <w:rsid w:val="00BF6144"/>
    <w:rsid w:val="00C001C6"/>
    <w:rsid w:val="00C006CC"/>
    <w:rsid w:val="00C05D86"/>
    <w:rsid w:val="00C06FA7"/>
    <w:rsid w:val="00C071BA"/>
    <w:rsid w:val="00C10E70"/>
    <w:rsid w:val="00C11E74"/>
    <w:rsid w:val="00C120B8"/>
    <w:rsid w:val="00C15942"/>
    <w:rsid w:val="00C16FAD"/>
    <w:rsid w:val="00C172F8"/>
    <w:rsid w:val="00C177E8"/>
    <w:rsid w:val="00C2088D"/>
    <w:rsid w:val="00C2230A"/>
    <w:rsid w:val="00C22BA9"/>
    <w:rsid w:val="00C22D2B"/>
    <w:rsid w:val="00C2316B"/>
    <w:rsid w:val="00C2382B"/>
    <w:rsid w:val="00C24845"/>
    <w:rsid w:val="00C3126E"/>
    <w:rsid w:val="00C33C60"/>
    <w:rsid w:val="00C3411A"/>
    <w:rsid w:val="00C35ECF"/>
    <w:rsid w:val="00C41A37"/>
    <w:rsid w:val="00C41A8F"/>
    <w:rsid w:val="00C43C9F"/>
    <w:rsid w:val="00C45046"/>
    <w:rsid w:val="00C4522E"/>
    <w:rsid w:val="00C46E5D"/>
    <w:rsid w:val="00C47AA0"/>
    <w:rsid w:val="00C52055"/>
    <w:rsid w:val="00C52DD3"/>
    <w:rsid w:val="00C54A15"/>
    <w:rsid w:val="00C54E71"/>
    <w:rsid w:val="00C5569F"/>
    <w:rsid w:val="00C56AD1"/>
    <w:rsid w:val="00C57657"/>
    <w:rsid w:val="00C621E8"/>
    <w:rsid w:val="00C627AA"/>
    <w:rsid w:val="00C649AD"/>
    <w:rsid w:val="00C654D3"/>
    <w:rsid w:val="00C661BB"/>
    <w:rsid w:val="00C66632"/>
    <w:rsid w:val="00C7150E"/>
    <w:rsid w:val="00C72EDE"/>
    <w:rsid w:val="00C73A18"/>
    <w:rsid w:val="00C746AD"/>
    <w:rsid w:val="00C8136D"/>
    <w:rsid w:val="00C848A2"/>
    <w:rsid w:val="00C86F81"/>
    <w:rsid w:val="00C879B8"/>
    <w:rsid w:val="00C87D5C"/>
    <w:rsid w:val="00C90D7A"/>
    <w:rsid w:val="00C92B75"/>
    <w:rsid w:val="00C96348"/>
    <w:rsid w:val="00C969F0"/>
    <w:rsid w:val="00CA2559"/>
    <w:rsid w:val="00CA28EC"/>
    <w:rsid w:val="00CA2F33"/>
    <w:rsid w:val="00CA333A"/>
    <w:rsid w:val="00CA3CFD"/>
    <w:rsid w:val="00CA4B30"/>
    <w:rsid w:val="00CA586A"/>
    <w:rsid w:val="00CA5B12"/>
    <w:rsid w:val="00CA63C2"/>
    <w:rsid w:val="00CA793F"/>
    <w:rsid w:val="00CA7953"/>
    <w:rsid w:val="00CB1E7E"/>
    <w:rsid w:val="00CB41AC"/>
    <w:rsid w:val="00CB528E"/>
    <w:rsid w:val="00CB6BD2"/>
    <w:rsid w:val="00CB7942"/>
    <w:rsid w:val="00CB7F86"/>
    <w:rsid w:val="00CC0C78"/>
    <w:rsid w:val="00CC1775"/>
    <w:rsid w:val="00CC1BA7"/>
    <w:rsid w:val="00CC5B66"/>
    <w:rsid w:val="00CD2194"/>
    <w:rsid w:val="00CD328E"/>
    <w:rsid w:val="00CD445A"/>
    <w:rsid w:val="00CD4716"/>
    <w:rsid w:val="00CD54AB"/>
    <w:rsid w:val="00CD5F72"/>
    <w:rsid w:val="00CD614A"/>
    <w:rsid w:val="00CD61C4"/>
    <w:rsid w:val="00CD6AB0"/>
    <w:rsid w:val="00CD73BB"/>
    <w:rsid w:val="00CD7688"/>
    <w:rsid w:val="00CE045F"/>
    <w:rsid w:val="00CE0B0C"/>
    <w:rsid w:val="00CE1365"/>
    <w:rsid w:val="00CE1D12"/>
    <w:rsid w:val="00CE2659"/>
    <w:rsid w:val="00CE3CE4"/>
    <w:rsid w:val="00CE59C9"/>
    <w:rsid w:val="00CE5FFA"/>
    <w:rsid w:val="00CE6B5F"/>
    <w:rsid w:val="00CE7E92"/>
    <w:rsid w:val="00CE7EF9"/>
    <w:rsid w:val="00CF0443"/>
    <w:rsid w:val="00CF15DC"/>
    <w:rsid w:val="00CF161B"/>
    <w:rsid w:val="00CF1D43"/>
    <w:rsid w:val="00CF1DC0"/>
    <w:rsid w:val="00CF3387"/>
    <w:rsid w:val="00CF3792"/>
    <w:rsid w:val="00CF696E"/>
    <w:rsid w:val="00CF6E55"/>
    <w:rsid w:val="00D00202"/>
    <w:rsid w:val="00D01BB5"/>
    <w:rsid w:val="00D01E26"/>
    <w:rsid w:val="00D029AC"/>
    <w:rsid w:val="00D0525C"/>
    <w:rsid w:val="00D06987"/>
    <w:rsid w:val="00D1032B"/>
    <w:rsid w:val="00D10A5B"/>
    <w:rsid w:val="00D1437D"/>
    <w:rsid w:val="00D153CF"/>
    <w:rsid w:val="00D228CE"/>
    <w:rsid w:val="00D22DC9"/>
    <w:rsid w:val="00D248AC"/>
    <w:rsid w:val="00D24B7C"/>
    <w:rsid w:val="00D24F6A"/>
    <w:rsid w:val="00D25F38"/>
    <w:rsid w:val="00D27226"/>
    <w:rsid w:val="00D3148C"/>
    <w:rsid w:val="00D31716"/>
    <w:rsid w:val="00D33E36"/>
    <w:rsid w:val="00D34846"/>
    <w:rsid w:val="00D34934"/>
    <w:rsid w:val="00D369FE"/>
    <w:rsid w:val="00D417CF"/>
    <w:rsid w:val="00D42129"/>
    <w:rsid w:val="00D44588"/>
    <w:rsid w:val="00D45FDE"/>
    <w:rsid w:val="00D47A90"/>
    <w:rsid w:val="00D51E33"/>
    <w:rsid w:val="00D51FDD"/>
    <w:rsid w:val="00D5252D"/>
    <w:rsid w:val="00D5423B"/>
    <w:rsid w:val="00D554FC"/>
    <w:rsid w:val="00D5560A"/>
    <w:rsid w:val="00D55FB5"/>
    <w:rsid w:val="00D560ED"/>
    <w:rsid w:val="00D5666A"/>
    <w:rsid w:val="00D5757D"/>
    <w:rsid w:val="00D62341"/>
    <w:rsid w:val="00D647E8"/>
    <w:rsid w:val="00D675E7"/>
    <w:rsid w:val="00D71E06"/>
    <w:rsid w:val="00D72342"/>
    <w:rsid w:val="00D72751"/>
    <w:rsid w:val="00D72E28"/>
    <w:rsid w:val="00D7610D"/>
    <w:rsid w:val="00D772FC"/>
    <w:rsid w:val="00D801AD"/>
    <w:rsid w:val="00D8183F"/>
    <w:rsid w:val="00D8293C"/>
    <w:rsid w:val="00D83A93"/>
    <w:rsid w:val="00D847AC"/>
    <w:rsid w:val="00D84A5B"/>
    <w:rsid w:val="00D8557D"/>
    <w:rsid w:val="00D86147"/>
    <w:rsid w:val="00D869A1"/>
    <w:rsid w:val="00D86E13"/>
    <w:rsid w:val="00D90351"/>
    <w:rsid w:val="00D92C23"/>
    <w:rsid w:val="00D936C0"/>
    <w:rsid w:val="00D939E0"/>
    <w:rsid w:val="00D93AC5"/>
    <w:rsid w:val="00D9491D"/>
    <w:rsid w:val="00D95746"/>
    <w:rsid w:val="00DA0AED"/>
    <w:rsid w:val="00DA150B"/>
    <w:rsid w:val="00DA23D2"/>
    <w:rsid w:val="00DA2937"/>
    <w:rsid w:val="00DA556F"/>
    <w:rsid w:val="00DA5A1B"/>
    <w:rsid w:val="00DA5A6A"/>
    <w:rsid w:val="00DA5F7D"/>
    <w:rsid w:val="00DA64E9"/>
    <w:rsid w:val="00DA6730"/>
    <w:rsid w:val="00DA67C0"/>
    <w:rsid w:val="00DA7165"/>
    <w:rsid w:val="00DA788D"/>
    <w:rsid w:val="00DB187D"/>
    <w:rsid w:val="00DB38CD"/>
    <w:rsid w:val="00DB4B74"/>
    <w:rsid w:val="00DB50EF"/>
    <w:rsid w:val="00DB59EB"/>
    <w:rsid w:val="00DB6BF9"/>
    <w:rsid w:val="00DB7864"/>
    <w:rsid w:val="00DB7FA5"/>
    <w:rsid w:val="00DC0BAE"/>
    <w:rsid w:val="00DC2C05"/>
    <w:rsid w:val="00DC2C38"/>
    <w:rsid w:val="00DC4A86"/>
    <w:rsid w:val="00DC4CC2"/>
    <w:rsid w:val="00DC58D5"/>
    <w:rsid w:val="00DC673C"/>
    <w:rsid w:val="00DC6FE3"/>
    <w:rsid w:val="00DC7656"/>
    <w:rsid w:val="00DC7F03"/>
    <w:rsid w:val="00DD359D"/>
    <w:rsid w:val="00DD35B4"/>
    <w:rsid w:val="00DD40B0"/>
    <w:rsid w:val="00DD4D51"/>
    <w:rsid w:val="00DD5087"/>
    <w:rsid w:val="00DD79BC"/>
    <w:rsid w:val="00DE0459"/>
    <w:rsid w:val="00DE10C2"/>
    <w:rsid w:val="00DE3466"/>
    <w:rsid w:val="00DE37A0"/>
    <w:rsid w:val="00DE6091"/>
    <w:rsid w:val="00DF003F"/>
    <w:rsid w:val="00DF2F20"/>
    <w:rsid w:val="00DF363A"/>
    <w:rsid w:val="00DF38C5"/>
    <w:rsid w:val="00DF602E"/>
    <w:rsid w:val="00DF6880"/>
    <w:rsid w:val="00DF7C48"/>
    <w:rsid w:val="00DF7FAD"/>
    <w:rsid w:val="00E0045F"/>
    <w:rsid w:val="00E00EFF"/>
    <w:rsid w:val="00E02141"/>
    <w:rsid w:val="00E03477"/>
    <w:rsid w:val="00E040E9"/>
    <w:rsid w:val="00E04242"/>
    <w:rsid w:val="00E05111"/>
    <w:rsid w:val="00E05B7A"/>
    <w:rsid w:val="00E06F5E"/>
    <w:rsid w:val="00E07082"/>
    <w:rsid w:val="00E071D0"/>
    <w:rsid w:val="00E11539"/>
    <w:rsid w:val="00E117F3"/>
    <w:rsid w:val="00E11D97"/>
    <w:rsid w:val="00E1200D"/>
    <w:rsid w:val="00E13697"/>
    <w:rsid w:val="00E14059"/>
    <w:rsid w:val="00E17400"/>
    <w:rsid w:val="00E2094F"/>
    <w:rsid w:val="00E211DF"/>
    <w:rsid w:val="00E215FA"/>
    <w:rsid w:val="00E22859"/>
    <w:rsid w:val="00E231DB"/>
    <w:rsid w:val="00E2490B"/>
    <w:rsid w:val="00E24AE8"/>
    <w:rsid w:val="00E252B5"/>
    <w:rsid w:val="00E2572B"/>
    <w:rsid w:val="00E26E24"/>
    <w:rsid w:val="00E27988"/>
    <w:rsid w:val="00E324F1"/>
    <w:rsid w:val="00E332A1"/>
    <w:rsid w:val="00E33B29"/>
    <w:rsid w:val="00E33B9C"/>
    <w:rsid w:val="00E342E3"/>
    <w:rsid w:val="00E35234"/>
    <w:rsid w:val="00E35808"/>
    <w:rsid w:val="00E3669B"/>
    <w:rsid w:val="00E37C09"/>
    <w:rsid w:val="00E41044"/>
    <w:rsid w:val="00E41814"/>
    <w:rsid w:val="00E44314"/>
    <w:rsid w:val="00E44E87"/>
    <w:rsid w:val="00E45C17"/>
    <w:rsid w:val="00E46E4F"/>
    <w:rsid w:val="00E50AED"/>
    <w:rsid w:val="00E50CF1"/>
    <w:rsid w:val="00E51376"/>
    <w:rsid w:val="00E5631B"/>
    <w:rsid w:val="00E56B63"/>
    <w:rsid w:val="00E57A22"/>
    <w:rsid w:val="00E61BCB"/>
    <w:rsid w:val="00E640DF"/>
    <w:rsid w:val="00E644A3"/>
    <w:rsid w:val="00E66C41"/>
    <w:rsid w:val="00E672BC"/>
    <w:rsid w:val="00E67F9F"/>
    <w:rsid w:val="00E7101C"/>
    <w:rsid w:val="00E715C5"/>
    <w:rsid w:val="00E71D4D"/>
    <w:rsid w:val="00E71F3A"/>
    <w:rsid w:val="00E72428"/>
    <w:rsid w:val="00E72D80"/>
    <w:rsid w:val="00E73458"/>
    <w:rsid w:val="00E7362E"/>
    <w:rsid w:val="00E739ED"/>
    <w:rsid w:val="00E73ED0"/>
    <w:rsid w:val="00E75813"/>
    <w:rsid w:val="00E7604F"/>
    <w:rsid w:val="00E819D7"/>
    <w:rsid w:val="00E81DB5"/>
    <w:rsid w:val="00E83140"/>
    <w:rsid w:val="00E836EA"/>
    <w:rsid w:val="00E846A0"/>
    <w:rsid w:val="00E84884"/>
    <w:rsid w:val="00E855CF"/>
    <w:rsid w:val="00E86521"/>
    <w:rsid w:val="00E90243"/>
    <w:rsid w:val="00E906AC"/>
    <w:rsid w:val="00E90928"/>
    <w:rsid w:val="00E93338"/>
    <w:rsid w:val="00E935C4"/>
    <w:rsid w:val="00E94230"/>
    <w:rsid w:val="00E96626"/>
    <w:rsid w:val="00E97A14"/>
    <w:rsid w:val="00E97FA7"/>
    <w:rsid w:val="00EA1188"/>
    <w:rsid w:val="00EA2818"/>
    <w:rsid w:val="00EA4416"/>
    <w:rsid w:val="00EA58DD"/>
    <w:rsid w:val="00EA6A69"/>
    <w:rsid w:val="00EA6B9C"/>
    <w:rsid w:val="00EA75ED"/>
    <w:rsid w:val="00EA7A46"/>
    <w:rsid w:val="00EA7CEE"/>
    <w:rsid w:val="00EB00FB"/>
    <w:rsid w:val="00EB141F"/>
    <w:rsid w:val="00EB22B8"/>
    <w:rsid w:val="00EB3D79"/>
    <w:rsid w:val="00EB56B3"/>
    <w:rsid w:val="00EB570B"/>
    <w:rsid w:val="00EB5E09"/>
    <w:rsid w:val="00EB5FD9"/>
    <w:rsid w:val="00EB6C59"/>
    <w:rsid w:val="00EC3D94"/>
    <w:rsid w:val="00EC3DE0"/>
    <w:rsid w:val="00EC414F"/>
    <w:rsid w:val="00EC4928"/>
    <w:rsid w:val="00EC4A74"/>
    <w:rsid w:val="00EC559C"/>
    <w:rsid w:val="00ED1C26"/>
    <w:rsid w:val="00ED20E6"/>
    <w:rsid w:val="00ED2E0E"/>
    <w:rsid w:val="00ED3B48"/>
    <w:rsid w:val="00ED41BF"/>
    <w:rsid w:val="00ED58F4"/>
    <w:rsid w:val="00ED66CE"/>
    <w:rsid w:val="00ED7208"/>
    <w:rsid w:val="00EE037F"/>
    <w:rsid w:val="00EE0470"/>
    <w:rsid w:val="00EE13A3"/>
    <w:rsid w:val="00EE1B28"/>
    <w:rsid w:val="00EE20BD"/>
    <w:rsid w:val="00EE282D"/>
    <w:rsid w:val="00EE3226"/>
    <w:rsid w:val="00EE3AD3"/>
    <w:rsid w:val="00EE4D19"/>
    <w:rsid w:val="00EE5AF7"/>
    <w:rsid w:val="00EE79BA"/>
    <w:rsid w:val="00EE7E2C"/>
    <w:rsid w:val="00EF202F"/>
    <w:rsid w:val="00EF2D80"/>
    <w:rsid w:val="00EF3042"/>
    <w:rsid w:val="00EF37B5"/>
    <w:rsid w:val="00EF3C8D"/>
    <w:rsid w:val="00EF42F6"/>
    <w:rsid w:val="00EF578D"/>
    <w:rsid w:val="00EF6A41"/>
    <w:rsid w:val="00F00893"/>
    <w:rsid w:val="00F00FB6"/>
    <w:rsid w:val="00F02FBB"/>
    <w:rsid w:val="00F031EA"/>
    <w:rsid w:val="00F04FAE"/>
    <w:rsid w:val="00F05E6A"/>
    <w:rsid w:val="00F07287"/>
    <w:rsid w:val="00F07BB6"/>
    <w:rsid w:val="00F11EA2"/>
    <w:rsid w:val="00F12DFD"/>
    <w:rsid w:val="00F13946"/>
    <w:rsid w:val="00F14A38"/>
    <w:rsid w:val="00F16BE7"/>
    <w:rsid w:val="00F17594"/>
    <w:rsid w:val="00F177ED"/>
    <w:rsid w:val="00F21810"/>
    <w:rsid w:val="00F21B52"/>
    <w:rsid w:val="00F2211D"/>
    <w:rsid w:val="00F233FA"/>
    <w:rsid w:val="00F23D3B"/>
    <w:rsid w:val="00F24274"/>
    <w:rsid w:val="00F2524E"/>
    <w:rsid w:val="00F2757F"/>
    <w:rsid w:val="00F276D9"/>
    <w:rsid w:val="00F30A94"/>
    <w:rsid w:val="00F31FBE"/>
    <w:rsid w:val="00F32378"/>
    <w:rsid w:val="00F34AD6"/>
    <w:rsid w:val="00F350E9"/>
    <w:rsid w:val="00F360E4"/>
    <w:rsid w:val="00F367C3"/>
    <w:rsid w:val="00F402ED"/>
    <w:rsid w:val="00F40D4C"/>
    <w:rsid w:val="00F413FF"/>
    <w:rsid w:val="00F438E5"/>
    <w:rsid w:val="00F45866"/>
    <w:rsid w:val="00F45FD1"/>
    <w:rsid w:val="00F47912"/>
    <w:rsid w:val="00F47DCA"/>
    <w:rsid w:val="00F51534"/>
    <w:rsid w:val="00F51D83"/>
    <w:rsid w:val="00F54534"/>
    <w:rsid w:val="00F54F37"/>
    <w:rsid w:val="00F55EFF"/>
    <w:rsid w:val="00F604B9"/>
    <w:rsid w:val="00F60F7A"/>
    <w:rsid w:val="00F61295"/>
    <w:rsid w:val="00F62688"/>
    <w:rsid w:val="00F62F74"/>
    <w:rsid w:val="00F63B17"/>
    <w:rsid w:val="00F63B61"/>
    <w:rsid w:val="00F650B1"/>
    <w:rsid w:val="00F70800"/>
    <w:rsid w:val="00F7086F"/>
    <w:rsid w:val="00F71717"/>
    <w:rsid w:val="00F718D5"/>
    <w:rsid w:val="00F73DF1"/>
    <w:rsid w:val="00F74207"/>
    <w:rsid w:val="00F74726"/>
    <w:rsid w:val="00F75B49"/>
    <w:rsid w:val="00F76AFC"/>
    <w:rsid w:val="00F76EB5"/>
    <w:rsid w:val="00F80F35"/>
    <w:rsid w:val="00F81608"/>
    <w:rsid w:val="00F8321B"/>
    <w:rsid w:val="00F91C50"/>
    <w:rsid w:val="00F91C77"/>
    <w:rsid w:val="00F91D99"/>
    <w:rsid w:val="00F933EA"/>
    <w:rsid w:val="00F93CE5"/>
    <w:rsid w:val="00F97F18"/>
    <w:rsid w:val="00FA14C4"/>
    <w:rsid w:val="00FA2923"/>
    <w:rsid w:val="00FA32C8"/>
    <w:rsid w:val="00FA38BD"/>
    <w:rsid w:val="00FA3E06"/>
    <w:rsid w:val="00FA3E25"/>
    <w:rsid w:val="00FA407E"/>
    <w:rsid w:val="00FA62AB"/>
    <w:rsid w:val="00FA781F"/>
    <w:rsid w:val="00FA7C45"/>
    <w:rsid w:val="00FA7FF5"/>
    <w:rsid w:val="00FB0F04"/>
    <w:rsid w:val="00FB1D71"/>
    <w:rsid w:val="00FB3539"/>
    <w:rsid w:val="00FB388A"/>
    <w:rsid w:val="00FB578E"/>
    <w:rsid w:val="00FB6FC8"/>
    <w:rsid w:val="00FC04C9"/>
    <w:rsid w:val="00FC0CAF"/>
    <w:rsid w:val="00FC0DC7"/>
    <w:rsid w:val="00FC3CEC"/>
    <w:rsid w:val="00FC3D7F"/>
    <w:rsid w:val="00FC4722"/>
    <w:rsid w:val="00FC4823"/>
    <w:rsid w:val="00FC5353"/>
    <w:rsid w:val="00FC6075"/>
    <w:rsid w:val="00FC633E"/>
    <w:rsid w:val="00FC63D9"/>
    <w:rsid w:val="00FC6C1E"/>
    <w:rsid w:val="00FD3147"/>
    <w:rsid w:val="00FD3C16"/>
    <w:rsid w:val="00FD3CEB"/>
    <w:rsid w:val="00FD4DDE"/>
    <w:rsid w:val="00FD5AA0"/>
    <w:rsid w:val="00FD5C35"/>
    <w:rsid w:val="00FE145F"/>
    <w:rsid w:val="00FE63FD"/>
    <w:rsid w:val="00FE6B8A"/>
    <w:rsid w:val="00FF0610"/>
    <w:rsid w:val="00FF07D2"/>
    <w:rsid w:val="00FF1AD7"/>
    <w:rsid w:val="00FF3877"/>
    <w:rsid w:val="00FF4297"/>
    <w:rsid w:val="00FF6706"/>
    <w:rsid w:val="00FF6FE9"/>
    <w:rsid w:val="00FF75DA"/>
    <w:rsid w:val="00FF7CA2"/>
    <w:rsid w:val="08A96DDD"/>
    <w:rsid w:val="0B5F7B11"/>
    <w:rsid w:val="0D847D3F"/>
    <w:rsid w:val="0E114260"/>
    <w:rsid w:val="0E12675F"/>
    <w:rsid w:val="0FCC4EBB"/>
    <w:rsid w:val="10A257B6"/>
    <w:rsid w:val="132D277D"/>
    <w:rsid w:val="1370704C"/>
    <w:rsid w:val="1E6373C7"/>
    <w:rsid w:val="1FB073FA"/>
    <w:rsid w:val="2157468E"/>
    <w:rsid w:val="23333DD5"/>
    <w:rsid w:val="263F789C"/>
    <w:rsid w:val="28344E65"/>
    <w:rsid w:val="2AB5107A"/>
    <w:rsid w:val="2ACE5033"/>
    <w:rsid w:val="2D925AD5"/>
    <w:rsid w:val="303D16D4"/>
    <w:rsid w:val="31551F9A"/>
    <w:rsid w:val="31B72FD3"/>
    <w:rsid w:val="333F0BD7"/>
    <w:rsid w:val="35452BCA"/>
    <w:rsid w:val="35E50231"/>
    <w:rsid w:val="36063A32"/>
    <w:rsid w:val="387722A6"/>
    <w:rsid w:val="3BA743A8"/>
    <w:rsid w:val="3CF25389"/>
    <w:rsid w:val="3DC14EC2"/>
    <w:rsid w:val="40CC6713"/>
    <w:rsid w:val="43B15671"/>
    <w:rsid w:val="44296F2B"/>
    <w:rsid w:val="47516E46"/>
    <w:rsid w:val="4AE92F3B"/>
    <w:rsid w:val="4B7B6AAC"/>
    <w:rsid w:val="51FC0E83"/>
    <w:rsid w:val="5240643C"/>
    <w:rsid w:val="531966B1"/>
    <w:rsid w:val="579969BD"/>
    <w:rsid w:val="58FE5746"/>
    <w:rsid w:val="5A0047BF"/>
    <w:rsid w:val="5B5C3C50"/>
    <w:rsid w:val="5C21669E"/>
    <w:rsid w:val="5E3451C1"/>
    <w:rsid w:val="5E8C03A9"/>
    <w:rsid w:val="5F0E4E25"/>
    <w:rsid w:val="5FAC70B3"/>
    <w:rsid w:val="6127358E"/>
    <w:rsid w:val="61F112B4"/>
    <w:rsid w:val="638D4BC4"/>
    <w:rsid w:val="66FD3349"/>
    <w:rsid w:val="66FF71FB"/>
    <w:rsid w:val="69CD68BB"/>
    <w:rsid w:val="6A9821AE"/>
    <w:rsid w:val="6D667370"/>
    <w:rsid w:val="6E882759"/>
    <w:rsid w:val="6FE75138"/>
    <w:rsid w:val="710400D9"/>
    <w:rsid w:val="74FC2B57"/>
    <w:rsid w:val="75646EBB"/>
    <w:rsid w:val="7910799E"/>
    <w:rsid w:val="7937201C"/>
    <w:rsid w:val="7D165BA1"/>
    <w:rsid w:val="7FA02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semiHidden="0" w:qFormat="1"/>
    <w:lsdException w:name="header" w:semiHidden="0" w:qFormat="1"/>
    <w:lsdException w:name="footer" w:semiHidden="0" w:qFormat="1"/>
    <w:lsdException w:name="caption" w:semiHidden="0" w:uiPriority="35" w:qFormat="1"/>
    <w:lsdException w:name="footnote reference" w:qFormat="1"/>
    <w:lsdException w:name="annotation reference"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spacing w:line="570" w:lineRule="exact"/>
      <w:ind w:firstLineChars="200" w:firstLine="200"/>
      <w:jc w:val="both"/>
    </w:pPr>
    <w:rPr>
      <w:rFonts w:eastAsia="仿宋_GB2312"/>
      <w:kern w:val="2"/>
      <w:sz w:val="32"/>
      <w:szCs w:val="24"/>
    </w:rPr>
  </w:style>
  <w:style w:type="paragraph" w:styleId="1">
    <w:name w:val="heading 1"/>
    <w:basedOn w:val="a"/>
    <w:next w:val="a"/>
    <w:link w:val="1Char"/>
    <w:autoRedefine/>
    <w:uiPriority w:val="9"/>
    <w:qFormat/>
    <w:pPr>
      <w:keepNext/>
      <w:keepLines/>
      <w:outlineLvl w:val="0"/>
    </w:pPr>
    <w:rPr>
      <w:rFonts w:eastAsia="黑体"/>
      <w:bCs/>
      <w:kern w:val="44"/>
      <w:szCs w:val="44"/>
    </w:rPr>
  </w:style>
  <w:style w:type="paragraph" w:styleId="2">
    <w:name w:val="heading 2"/>
    <w:basedOn w:val="a"/>
    <w:next w:val="a"/>
    <w:link w:val="2Char"/>
    <w:autoRedefine/>
    <w:uiPriority w:val="9"/>
    <w:unhideWhenUsed/>
    <w:qFormat/>
    <w:pPr>
      <w:keepNext/>
      <w:keepLines/>
      <w:outlineLvl w:val="1"/>
    </w:pPr>
    <w:rPr>
      <w:rFonts w:eastAsia="楷体_GB2312" w:cstheme="majorBidi"/>
      <w:bCs/>
      <w:szCs w:val="32"/>
    </w:rPr>
  </w:style>
  <w:style w:type="paragraph" w:styleId="3">
    <w:name w:val="heading 3"/>
    <w:basedOn w:val="a"/>
    <w:next w:val="a"/>
    <w:link w:val="3Char"/>
    <w:autoRedefine/>
    <w:uiPriority w:val="9"/>
    <w:unhideWhenUsed/>
    <w:qFormat/>
    <w:pPr>
      <w:keepNext/>
      <w:keepLines/>
      <w:outlineLvl w:val="2"/>
    </w:pPr>
    <w:rPr>
      <w:bCs/>
      <w:szCs w:val="32"/>
    </w:rPr>
  </w:style>
  <w:style w:type="paragraph" w:styleId="4">
    <w:name w:val="heading 4"/>
    <w:basedOn w:val="a"/>
    <w:next w:val="a"/>
    <w:link w:val="4Char"/>
    <w:autoRedefine/>
    <w:uiPriority w:val="9"/>
    <w:unhideWhenUsed/>
    <w:qFormat/>
    <w:pPr>
      <w:keepNext/>
      <w:keepLines/>
      <w:outlineLvl w:val="3"/>
    </w:pPr>
    <w:rPr>
      <w:rFonts w:cstheme="majorBidi"/>
      <w:bCs/>
      <w:szCs w:val="28"/>
    </w:rPr>
  </w:style>
  <w:style w:type="paragraph" w:styleId="5">
    <w:name w:val="heading 5"/>
    <w:basedOn w:val="a"/>
    <w:next w:val="a"/>
    <w:link w:val="5Char"/>
    <w:autoRedefine/>
    <w:uiPriority w:val="9"/>
    <w:unhideWhenUsed/>
    <w:qFormat/>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autoRedefine/>
    <w:uiPriority w:val="35"/>
    <w:unhideWhenUsed/>
    <w:qFormat/>
    <w:pPr>
      <w:spacing w:line="240" w:lineRule="auto"/>
      <w:ind w:firstLineChars="0" w:firstLine="0"/>
      <w:jc w:val="center"/>
    </w:pPr>
    <w:rPr>
      <w:rFonts w:asciiTheme="majorHAnsi" w:eastAsia="黑体" w:hAnsiTheme="majorHAnsi" w:cstheme="majorBidi"/>
      <w:sz w:val="28"/>
      <w:szCs w:val="20"/>
    </w:rPr>
  </w:style>
  <w:style w:type="paragraph" w:styleId="a4">
    <w:name w:val="annotation text"/>
    <w:basedOn w:val="a"/>
    <w:link w:val="Char"/>
    <w:autoRedefine/>
    <w:uiPriority w:val="99"/>
    <w:unhideWhenUsed/>
    <w:qFormat/>
    <w:pPr>
      <w:jc w:val="left"/>
    </w:pPr>
  </w:style>
  <w:style w:type="paragraph" w:styleId="a5">
    <w:name w:val="Body Text Indent"/>
    <w:basedOn w:val="a"/>
    <w:qFormat/>
    <w:pPr>
      <w:spacing w:after="120"/>
      <w:ind w:leftChars="200" w:left="420"/>
    </w:pPr>
  </w:style>
  <w:style w:type="paragraph" w:styleId="a6">
    <w:name w:val="Balloon Text"/>
    <w:basedOn w:val="a"/>
    <w:link w:val="Char0"/>
    <w:autoRedefine/>
    <w:uiPriority w:val="99"/>
    <w:semiHidden/>
    <w:unhideWhenUsed/>
    <w:qFormat/>
    <w:pPr>
      <w:spacing w:line="240" w:lineRule="auto"/>
    </w:pPr>
    <w:rPr>
      <w:sz w:val="18"/>
      <w:szCs w:val="18"/>
    </w:rPr>
  </w:style>
  <w:style w:type="paragraph" w:styleId="a7">
    <w:name w:val="footer"/>
    <w:basedOn w:val="a"/>
    <w:link w:val="Char1"/>
    <w:autoRedefine/>
    <w:uiPriority w:val="99"/>
    <w:unhideWhenUsed/>
    <w:qFormat/>
    <w:pPr>
      <w:tabs>
        <w:tab w:val="center" w:pos="4153"/>
        <w:tab w:val="right" w:pos="8306"/>
      </w:tabs>
      <w:snapToGrid w:val="0"/>
      <w:spacing w:line="240" w:lineRule="auto"/>
      <w:jc w:val="left"/>
    </w:pPr>
    <w:rPr>
      <w:sz w:val="18"/>
      <w:szCs w:val="18"/>
    </w:rPr>
  </w:style>
  <w:style w:type="paragraph" w:styleId="a8">
    <w:name w:val="header"/>
    <w:basedOn w:val="a"/>
    <w:link w:val="Char2"/>
    <w:autoRedefine/>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
    <w:next w:val="a"/>
    <w:autoRedefine/>
    <w:uiPriority w:val="39"/>
    <w:unhideWhenUsed/>
    <w:qFormat/>
    <w:pPr>
      <w:ind w:firstLineChars="0" w:firstLine="0"/>
    </w:pPr>
    <w:rPr>
      <w:rFonts w:eastAsia="黑体"/>
    </w:rPr>
  </w:style>
  <w:style w:type="paragraph" w:styleId="a9">
    <w:name w:val="footnote text"/>
    <w:basedOn w:val="a"/>
    <w:link w:val="Char3"/>
    <w:autoRedefine/>
    <w:uiPriority w:val="99"/>
    <w:semiHidden/>
    <w:unhideWhenUsed/>
    <w:qFormat/>
    <w:pPr>
      <w:snapToGrid w:val="0"/>
      <w:jc w:val="left"/>
    </w:pPr>
    <w:rPr>
      <w:sz w:val="18"/>
      <w:szCs w:val="18"/>
    </w:rPr>
  </w:style>
  <w:style w:type="paragraph" w:styleId="20">
    <w:name w:val="toc 2"/>
    <w:basedOn w:val="a"/>
    <w:next w:val="a"/>
    <w:autoRedefine/>
    <w:uiPriority w:val="39"/>
    <w:unhideWhenUsed/>
    <w:qFormat/>
    <w:rPr>
      <w:rFonts w:eastAsia="楷体_GB2312"/>
    </w:rPr>
  </w:style>
  <w:style w:type="paragraph" w:styleId="aa">
    <w:name w:val="Title"/>
    <w:basedOn w:val="a"/>
    <w:next w:val="a"/>
    <w:link w:val="Char4"/>
    <w:autoRedefine/>
    <w:uiPriority w:val="10"/>
    <w:qFormat/>
    <w:pPr>
      <w:jc w:val="center"/>
      <w:outlineLvl w:val="2"/>
    </w:pPr>
    <w:rPr>
      <w:rFonts w:cstheme="majorBidi"/>
      <w:b/>
      <w:bCs/>
      <w:szCs w:val="32"/>
    </w:rPr>
  </w:style>
  <w:style w:type="paragraph" w:styleId="ab">
    <w:name w:val="annotation subject"/>
    <w:basedOn w:val="a4"/>
    <w:next w:val="a4"/>
    <w:link w:val="Char5"/>
    <w:uiPriority w:val="99"/>
    <w:semiHidden/>
    <w:unhideWhenUsed/>
    <w:qFormat/>
    <w:rPr>
      <w:b/>
      <w:bCs/>
    </w:rPr>
  </w:style>
  <w:style w:type="paragraph" w:styleId="21">
    <w:name w:val="Body Text First Indent 2"/>
    <w:basedOn w:val="a5"/>
    <w:qFormat/>
    <w:pPr>
      <w:ind w:leftChars="0" w:left="0" w:firstLine="420"/>
    </w:pPr>
  </w:style>
  <w:style w:type="table" w:styleId="ac">
    <w:name w:val="Table Grid"/>
    <w:basedOn w:val="a1"/>
    <w:autoRedefine/>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autoRedefine/>
    <w:uiPriority w:val="99"/>
    <w:unhideWhenUsed/>
    <w:qFormat/>
    <w:rPr>
      <w:color w:val="0000FF" w:themeColor="hyperlink"/>
      <w:u w:val="single"/>
    </w:rPr>
  </w:style>
  <w:style w:type="character" w:styleId="ae">
    <w:name w:val="annotation reference"/>
    <w:basedOn w:val="a0"/>
    <w:uiPriority w:val="99"/>
    <w:semiHidden/>
    <w:unhideWhenUsed/>
    <w:qFormat/>
    <w:rPr>
      <w:sz w:val="21"/>
      <w:szCs w:val="21"/>
    </w:rPr>
  </w:style>
  <w:style w:type="character" w:styleId="af">
    <w:name w:val="footnote reference"/>
    <w:basedOn w:val="a0"/>
    <w:autoRedefine/>
    <w:uiPriority w:val="99"/>
    <w:semiHidden/>
    <w:unhideWhenUsed/>
    <w:qFormat/>
    <w:rPr>
      <w:vertAlign w:val="superscript"/>
    </w:rPr>
  </w:style>
  <w:style w:type="character" w:customStyle="1" w:styleId="1Char">
    <w:name w:val="标题 1 Char"/>
    <w:basedOn w:val="a0"/>
    <w:link w:val="1"/>
    <w:autoRedefine/>
    <w:uiPriority w:val="9"/>
    <w:qFormat/>
    <w:rPr>
      <w:rFonts w:ascii="Times New Roman" w:eastAsia="黑体" w:hAnsi="Times New Roman" w:cs="Times New Roman"/>
      <w:bCs/>
      <w:kern w:val="44"/>
      <w:sz w:val="32"/>
      <w:szCs w:val="44"/>
    </w:rPr>
  </w:style>
  <w:style w:type="character" w:customStyle="1" w:styleId="2Char">
    <w:name w:val="标题 2 Char"/>
    <w:basedOn w:val="a0"/>
    <w:link w:val="2"/>
    <w:autoRedefine/>
    <w:uiPriority w:val="9"/>
    <w:qFormat/>
    <w:rPr>
      <w:rFonts w:ascii="Times New Roman" w:eastAsia="楷体_GB2312" w:hAnsi="Times New Roman" w:cstheme="majorBidi"/>
      <w:bCs/>
      <w:sz w:val="32"/>
      <w:szCs w:val="32"/>
    </w:rPr>
  </w:style>
  <w:style w:type="character" w:customStyle="1" w:styleId="Char4">
    <w:name w:val="标题 Char"/>
    <w:basedOn w:val="a0"/>
    <w:link w:val="aa"/>
    <w:autoRedefine/>
    <w:uiPriority w:val="10"/>
    <w:qFormat/>
    <w:rPr>
      <w:rFonts w:ascii="Times New Roman" w:eastAsia="仿宋_GB2312" w:hAnsi="Times New Roman" w:cstheme="majorBidi"/>
      <w:b/>
      <w:bCs/>
      <w:sz w:val="32"/>
      <w:szCs w:val="32"/>
    </w:rPr>
  </w:style>
  <w:style w:type="character" w:customStyle="1" w:styleId="Char2">
    <w:name w:val="页眉 Char"/>
    <w:basedOn w:val="a0"/>
    <w:link w:val="a8"/>
    <w:autoRedefine/>
    <w:uiPriority w:val="99"/>
    <w:qFormat/>
    <w:rPr>
      <w:rFonts w:ascii="Times New Roman" w:eastAsia="仿宋_GB2312" w:hAnsi="Times New Roman" w:cs="Times New Roman"/>
      <w:sz w:val="18"/>
      <w:szCs w:val="18"/>
    </w:rPr>
  </w:style>
  <w:style w:type="character" w:customStyle="1" w:styleId="Char1">
    <w:name w:val="页脚 Char"/>
    <w:basedOn w:val="a0"/>
    <w:link w:val="a7"/>
    <w:autoRedefine/>
    <w:uiPriority w:val="99"/>
    <w:qFormat/>
    <w:rPr>
      <w:rFonts w:ascii="Times New Roman" w:eastAsia="仿宋_GB2312" w:hAnsi="Times New Roman" w:cs="Times New Roman"/>
      <w:sz w:val="18"/>
      <w:szCs w:val="18"/>
    </w:rPr>
  </w:style>
  <w:style w:type="character" w:customStyle="1" w:styleId="3Char">
    <w:name w:val="标题 3 Char"/>
    <w:basedOn w:val="a0"/>
    <w:link w:val="3"/>
    <w:autoRedefine/>
    <w:uiPriority w:val="9"/>
    <w:qFormat/>
    <w:rPr>
      <w:rFonts w:ascii="Times New Roman" w:eastAsia="仿宋_GB2312" w:hAnsi="Times New Roman" w:cs="Times New Roman"/>
      <w:bCs/>
      <w:sz w:val="32"/>
      <w:szCs w:val="32"/>
    </w:rPr>
  </w:style>
  <w:style w:type="character" w:customStyle="1" w:styleId="Char0">
    <w:name w:val="批注框文本 Char"/>
    <w:basedOn w:val="a0"/>
    <w:link w:val="a6"/>
    <w:autoRedefine/>
    <w:uiPriority w:val="99"/>
    <w:semiHidden/>
    <w:qFormat/>
    <w:rPr>
      <w:rFonts w:ascii="Times New Roman" w:eastAsia="仿宋_GB2312" w:hAnsi="Times New Roman" w:cs="Times New Roman"/>
      <w:sz w:val="18"/>
      <w:szCs w:val="18"/>
    </w:rPr>
  </w:style>
  <w:style w:type="character" w:customStyle="1" w:styleId="Char3">
    <w:name w:val="脚注文本 Char"/>
    <w:basedOn w:val="a0"/>
    <w:link w:val="a9"/>
    <w:autoRedefine/>
    <w:uiPriority w:val="99"/>
    <w:semiHidden/>
    <w:qFormat/>
    <w:rPr>
      <w:rFonts w:ascii="Times New Roman" w:eastAsia="仿宋_GB2312" w:hAnsi="Times New Roman" w:cs="Times New Roman"/>
      <w:sz w:val="18"/>
      <w:szCs w:val="18"/>
    </w:rPr>
  </w:style>
  <w:style w:type="paragraph" w:customStyle="1" w:styleId="Default">
    <w:name w:val="Default"/>
    <w:autoRedefine/>
    <w:qFormat/>
    <w:pPr>
      <w:widowControl w:val="0"/>
      <w:autoSpaceDE w:val="0"/>
      <w:autoSpaceDN w:val="0"/>
      <w:adjustRightInd w:val="0"/>
    </w:pPr>
    <w:rPr>
      <w:rFonts w:ascii="仿宋_GB2312" w:eastAsia="仿宋_GB2312" w:hAnsi="等线" w:cs="仿宋_GB2312"/>
      <w:color w:val="000000"/>
      <w:kern w:val="2"/>
      <w:sz w:val="24"/>
      <w:szCs w:val="24"/>
    </w:rPr>
  </w:style>
  <w:style w:type="paragraph" w:styleId="af0">
    <w:name w:val="List Paragraph"/>
    <w:basedOn w:val="a"/>
    <w:autoRedefine/>
    <w:uiPriority w:val="34"/>
    <w:qFormat/>
    <w:pPr>
      <w:ind w:firstLine="420"/>
    </w:pPr>
  </w:style>
  <w:style w:type="character" w:customStyle="1" w:styleId="4Char">
    <w:name w:val="标题 4 Char"/>
    <w:basedOn w:val="a0"/>
    <w:link w:val="4"/>
    <w:autoRedefine/>
    <w:uiPriority w:val="9"/>
    <w:qFormat/>
    <w:rPr>
      <w:rFonts w:ascii="Times New Roman" w:eastAsia="仿宋_GB2312" w:hAnsi="Times New Roman" w:cstheme="majorBidi"/>
      <w:bCs/>
      <w:sz w:val="32"/>
      <w:szCs w:val="28"/>
    </w:rPr>
  </w:style>
  <w:style w:type="character" w:customStyle="1" w:styleId="5Char">
    <w:name w:val="标题 5 Char"/>
    <w:basedOn w:val="a0"/>
    <w:link w:val="5"/>
    <w:autoRedefine/>
    <w:uiPriority w:val="9"/>
    <w:semiHidden/>
    <w:qFormat/>
    <w:rPr>
      <w:rFonts w:ascii="Times New Roman" w:eastAsia="仿宋_GB2312" w:hAnsi="Times New Roman" w:cs="Times New Roman"/>
      <w:b/>
      <w:bCs/>
      <w:sz w:val="28"/>
      <w:szCs w:val="28"/>
    </w:rPr>
  </w:style>
  <w:style w:type="character" w:customStyle="1" w:styleId="font21">
    <w:name w:val="font21"/>
    <w:basedOn w:val="a0"/>
    <w:autoRedefine/>
    <w:qFormat/>
    <w:rPr>
      <w:rFonts w:ascii="仿宋_GB2312" w:eastAsia="仿宋_GB2312" w:cs="仿宋_GB2312" w:hint="default"/>
      <w:color w:val="000000"/>
      <w:sz w:val="44"/>
      <w:szCs w:val="44"/>
      <w:u w:val="none"/>
    </w:rPr>
  </w:style>
  <w:style w:type="character" w:customStyle="1" w:styleId="font41">
    <w:name w:val="font41"/>
    <w:basedOn w:val="a0"/>
    <w:autoRedefine/>
    <w:qFormat/>
    <w:rPr>
      <w:rFonts w:ascii="宋体" w:eastAsia="宋体" w:hAnsi="宋体" w:cs="宋体" w:hint="eastAsia"/>
      <w:color w:val="000000"/>
      <w:sz w:val="44"/>
      <w:szCs w:val="44"/>
      <w:u w:val="none"/>
    </w:rPr>
  </w:style>
  <w:style w:type="character" w:customStyle="1" w:styleId="font11">
    <w:name w:val="font11"/>
    <w:basedOn w:val="a0"/>
    <w:autoRedefine/>
    <w:qFormat/>
    <w:rPr>
      <w:rFonts w:ascii="仿宋_GB2312" w:eastAsia="仿宋_GB2312" w:cs="仿宋_GB2312" w:hint="default"/>
      <w:color w:val="000000"/>
      <w:sz w:val="44"/>
      <w:szCs w:val="44"/>
      <w:u w:val="none"/>
    </w:rPr>
  </w:style>
  <w:style w:type="character" w:customStyle="1" w:styleId="font51">
    <w:name w:val="font51"/>
    <w:basedOn w:val="a0"/>
    <w:autoRedefine/>
    <w:qFormat/>
    <w:rPr>
      <w:rFonts w:ascii="宋体" w:eastAsia="宋体" w:hAnsi="宋体" w:cs="宋体" w:hint="eastAsia"/>
      <w:color w:val="000000"/>
      <w:sz w:val="44"/>
      <w:szCs w:val="44"/>
      <w:u w:val="none"/>
    </w:rPr>
  </w:style>
  <w:style w:type="character" w:customStyle="1" w:styleId="Char">
    <w:name w:val="批注文字 Char"/>
    <w:basedOn w:val="a0"/>
    <w:link w:val="a4"/>
    <w:uiPriority w:val="99"/>
    <w:qFormat/>
    <w:rPr>
      <w:rFonts w:eastAsia="仿宋_GB2312"/>
      <w:kern w:val="2"/>
      <w:sz w:val="32"/>
      <w:szCs w:val="24"/>
    </w:rPr>
  </w:style>
  <w:style w:type="character" w:customStyle="1" w:styleId="Char5">
    <w:name w:val="批注主题 Char"/>
    <w:basedOn w:val="Char"/>
    <w:link w:val="ab"/>
    <w:uiPriority w:val="99"/>
    <w:semiHidden/>
    <w:qFormat/>
    <w:rPr>
      <w:rFonts w:eastAsia="仿宋_GB2312"/>
      <w:b/>
      <w:bCs/>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semiHidden="0" w:qFormat="1"/>
    <w:lsdException w:name="header" w:semiHidden="0" w:qFormat="1"/>
    <w:lsdException w:name="footer" w:semiHidden="0" w:qFormat="1"/>
    <w:lsdException w:name="caption" w:semiHidden="0" w:uiPriority="35" w:qFormat="1"/>
    <w:lsdException w:name="footnote reference" w:qFormat="1"/>
    <w:lsdException w:name="annotation reference"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spacing w:line="570" w:lineRule="exact"/>
      <w:ind w:firstLineChars="200" w:firstLine="200"/>
      <w:jc w:val="both"/>
    </w:pPr>
    <w:rPr>
      <w:rFonts w:eastAsia="仿宋_GB2312"/>
      <w:kern w:val="2"/>
      <w:sz w:val="32"/>
      <w:szCs w:val="24"/>
    </w:rPr>
  </w:style>
  <w:style w:type="paragraph" w:styleId="1">
    <w:name w:val="heading 1"/>
    <w:basedOn w:val="a"/>
    <w:next w:val="a"/>
    <w:link w:val="1Char"/>
    <w:autoRedefine/>
    <w:uiPriority w:val="9"/>
    <w:qFormat/>
    <w:pPr>
      <w:keepNext/>
      <w:keepLines/>
      <w:outlineLvl w:val="0"/>
    </w:pPr>
    <w:rPr>
      <w:rFonts w:eastAsia="黑体"/>
      <w:bCs/>
      <w:kern w:val="44"/>
      <w:szCs w:val="44"/>
    </w:rPr>
  </w:style>
  <w:style w:type="paragraph" w:styleId="2">
    <w:name w:val="heading 2"/>
    <w:basedOn w:val="a"/>
    <w:next w:val="a"/>
    <w:link w:val="2Char"/>
    <w:autoRedefine/>
    <w:uiPriority w:val="9"/>
    <w:unhideWhenUsed/>
    <w:qFormat/>
    <w:pPr>
      <w:keepNext/>
      <w:keepLines/>
      <w:outlineLvl w:val="1"/>
    </w:pPr>
    <w:rPr>
      <w:rFonts w:eastAsia="楷体_GB2312" w:cstheme="majorBidi"/>
      <w:bCs/>
      <w:szCs w:val="32"/>
    </w:rPr>
  </w:style>
  <w:style w:type="paragraph" w:styleId="3">
    <w:name w:val="heading 3"/>
    <w:basedOn w:val="a"/>
    <w:next w:val="a"/>
    <w:link w:val="3Char"/>
    <w:autoRedefine/>
    <w:uiPriority w:val="9"/>
    <w:unhideWhenUsed/>
    <w:qFormat/>
    <w:pPr>
      <w:keepNext/>
      <w:keepLines/>
      <w:outlineLvl w:val="2"/>
    </w:pPr>
    <w:rPr>
      <w:bCs/>
      <w:szCs w:val="32"/>
    </w:rPr>
  </w:style>
  <w:style w:type="paragraph" w:styleId="4">
    <w:name w:val="heading 4"/>
    <w:basedOn w:val="a"/>
    <w:next w:val="a"/>
    <w:link w:val="4Char"/>
    <w:autoRedefine/>
    <w:uiPriority w:val="9"/>
    <w:unhideWhenUsed/>
    <w:qFormat/>
    <w:pPr>
      <w:keepNext/>
      <w:keepLines/>
      <w:outlineLvl w:val="3"/>
    </w:pPr>
    <w:rPr>
      <w:rFonts w:cstheme="majorBidi"/>
      <w:bCs/>
      <w:szCs w:val="28"/>
    </w:rPr>
  </w:style>
  <w:style w:type="paragraph" w:styleId="5">
    <w:name w:val="heading 5"/>
    <w:basedOn w:val="a"/>
    <w:next w:val="a"/>
    <w:link w:val="5Char"/>
    <w:autoRedefine/>
    <w:uiPriority w:val="9"/>
    <w:unhideWhenUsed/>
    <w:qFormat/>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autoRedefine/>
    <w:uiPriority w:val="35"/>
    <w:unhideWhenUsed/>
    <w:qFormat/>
    <w:pPr>
      <w:spacing w:line="240" w:lineRule="auto"/>
      <w:ind w:firstLineChars="0" w:firstLine="0"/>
      <w:jc w:val="center"/>
    </w:pPr>
    <w:rPr>
      <w:rFonts w:asciiTheme="majorHAnsi" w:eastAsia="黑体" w:hAnsiTheme="majorHAnsi" w:cstheme="majorBidi"/>
      <w:sz w:val="28"/>
      <w:szCs w:val="20"/>
    </w:rPr>
  </w:style>
  <w:style w:type="paragraph" w:styleId="a4">
    <w:name w:val="annotation text"/>
    <w:basedOn w:val="a"/>
    <w:link w:val="Char"/>
    <w:autoRedefine/>
    <w:uiPriority w:val="99"/>
    <w:unhideWhenUsed/>
    <w:qFormat/>
    <w:pPr>
      <w:jc w:val="left"/>
    </w:pPr>
  </w:style>
  <w:style w:type="paragraph" w:styleId="a5">
    <w:name w:val="Body Text Indent"/>
    <w:basedOn w:val="a"/>
    <w:qFormat/>
    <w:pPr>
      <w:spacing w:after="120"/>
      <w:ind w:leftChars="200" w:left="420"/>
    </w:pPr>
  </w:style>
  <w:style w:type="paragraph" w:styleId="a6">
    <w:name w:val="Balloon Text"/>
    <w:basedOn w:val="a"/>
    <w:link w:val="Char0"/>
    <w:autoRedefine/>
    <w:uiPriority w:val="99"/>
    <w:semiHidden/>
    <w:unhideWhenUsed/>
    <w:qFormat/>
    <w:pPr>
      <w:spacing w:line="240" w:lineRule="auto"/>
    </w:pPr>
    <w:rPr>
      <w:sz w:val="18"/>
      <w:szCs w:val="18"/>
    </w:rPr>
  </w:style>
  <w:style w:type="paragraph" w:styleId="a7">
    <w:name w:val="footer"/>
    <w:basedOn w:val="a"/>
    <w:link w:val="Char1"/>
    <w:autoRedefine/>
    <w:uiPriority w:val="99"/>
    <w:unhideWhenUsed/>
    <w:qFormat/>
    <w:pPr>
      <w:tabs>
        <w:tab w:val="center" w:pos="4153"/>
        <w:tab w:val="right" w:pos="8306"/>
      </w:tabs>
      <w:snapToGrid w:val="0"/>
      <w:spacing w:line="240" w:lineRule="auto"/>
      <w:jc w:val="left"/>
    </w:pPr>
    <w:rPr>
      <w:sz w:val="18"/>
      <w:szCs w:val="18"/>
    </w:rPr>
  </w:style>
  <w:style w:type="paragraph" w:styleId="a8">
    <w:name w:val="header"/>
    <w:basedOn w:val="a"/>
    <w:link w:val="Char2"/>
    <w:autoRedefine/>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
    <w:next w:val="a"/>
    <w:autoRedefine/>
    <w:uiPriority w:val="39"/>
    <w:unhideWhenUsed/>
    <w:qFormat/>
    <w:pPr>
      <w:ind w:firstLineChars="0" w:firstLine="0"/>
    </w:pPr>
    <w:rPr>
      <w:rFonts w:eastAsia="黑体"/>
    </w:rPr>
  </w:style>
  <w:style w:type="paragraph" w:styleId="a9">
    <w:name w:val="footnote text"/>
    <w:basedOn w:val="a"/>
    <w:link w:val="Char3"/>
    <w:autoRedefine/>
    <w:uiPriority w:val="99"/>
    <w:semiHidden/>
    <w:unhideWhenUsed/>
    <w:qFormat/>
    <w:pPr>
      <w:snapToGrid w:val="0"/>
      <w:jc w:val="left"/>
    </w:pPr>
    <w:rPr>
      <w:sz w:val="18"/>
      <w:szCs w:val="18"/>
    </w:rPr>
  </w:style>
  <w:style w:type="paragraph" w:styleId="20">
    <w:name w:val="toc 2"/>
    <w:basedOn w:val="a"/>
    <w:next w:val="a"/>
    <w:autoRedefine/>
    <w:uiPriority w:val="39"/>
    <w:unhideWhenUsed/>
    <w:qFormat/>
    <w:rPr>
      <w:rFonts w:eastAsia="楷体_GB2312"/>
    </w:rPr>
  </w:style>
  <w:style w:type="paragraph" w:styleId="aa">
    <w:name w:val="Title"/>
    <w:basedOn w:val="a"/>
    <w:next w:val="a"/>
    <w:link w:val="Char4"/>
    <w:autoRedefine/>
    <w:uiPriority w:val="10"/>
    <w:qFormat/>
    <w:pPr>
      <w:jc w:val="center"/>
      <w:outlineLvl w:val="2"/>
    </w:pPr>
    <w:rPr>
      <w:rFonts w:cstheme="majorBidi"/>
      <w:b/>
      <w:bCs/>
      <w:szCs w:val="32"/>
    </w:rPr>
  </w:style>
  <w:style w:type="paragraph" w:styleId="ab">
    <w:name w:val="annotation subject"/>
    <w:basedOn w:val="a4"/>
    <w:next w:val="a4"/>
    <w:link w:val="Char5"/>
    <w:uiPriority w:val="99"/>
    <w:semiHidden/>
    <w:unhideWhenUsed/>
    <w:qFormat/>
    <w:rPr>
      <w:b/>
      <w:bCs/>
    </w:rPr>
  </w:style>
  <w:style w:type="paragraph" w:styleId="21">
    <w:name w:val="Body Text First Indent 2"/>
    <w:basedOn w:val="a5"/>
    <w:qFormat/>
    <w:pPr>
      <w:ind w:leftChars="0" w:left="0" w:firstLine="420"/>
    </w:pPr>
  </w:style>
  <w:style w:type="table" w:styleId="ac">
    <w:name w:val="Table Grid"/>
    <w:basedOn w:val="a1"/>
    <w:autoRedefine/>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autoRedefine/>
    <w:uiPriority w:val="99"/>
    <w:unhideWhenUsed/>
    <w:qFormat/>
    <w:rPr>
      <w:color w:val="0000FF" w:themeColor="hyperlink"/>
      <w:u w:val="single"/>
    </w:rPr>
  </w:style>
  <w:style w:type="character" w:styleId="ae">
    <w:name w:val="annotation reference"/>
    <w:basedOn w:val="a0"/>
    <w:uiPriority w:val="99"/>
    <w:semiHidden/>
    <w:unhideWhenUsed/>
    <w:qFormat/>
    <w:rPr>
      <w:sz w:val="21"/>
      <w:szCs w:val="21"/>
    </w:rPr>
  </w:style>
  <w:style w:type="character" w:styleId="af">
    <w:name w:val="footnote reference"/>
    <w:basedOn w:val="a0"/>
    <w:autoRedefine/>
    <w:uiPriority w:val="99"/>
    <w:semiHidden/>
    <w:unhideWhenUsed/>
    <w:qFormat/>
    <w:rPr>
      <w:vertAlign w:val="superscript"/>
    </w:rPr>
  </w:style>
  <w:style w:type="character" w:customStyle="1" w:styleId="1Char">
    <w:name w:val="标题 1 Char"/>
    <w:basedOn w:val="a0"/>
    <w:link w:val="1"/>
    <w:autoRedefine/>
    <w:uiPriority w:val="9"/>
    <w:qFormat/>
    <w:rPr>
      <w:rFonts w:ascii="Times New Roman" w:eastAsia="黑体" w:hAnsi="Times New Roman" w:cs="Times New Roman"/>
      <w:bCs/>
      <w:kern w:val="44"/>
      <w:sz w:val="32"/>
      <w:szCs w:val="44"/>
    </w:rPr>
  </w:style>
  <w:style w:type="character" w:customStyle="1" w:styleId="2Char">
    <w:name w:val="标题 2 Char"/>
    <w:basedOn w:val="a0"/>
    <w:link w:val="2"/>
    <w:autoRedefine/>
    <w:uiPriority w:val="9"/>
    <w:qFormat/>
    <w:rPr>
      <w:rFonts w:ascii="Times New Roman" w:eastAsia="楷体_GB2312" w:hAnsi="Times New Roman" w:cstheme="majorBidi"/>
      <w:bCs/>
      <w:sz w:val="32"/>
      <w:szCs w:val="32"/>
    </w:rPr>
  </w:style>
  <w:style w:type="character" w:customStyle="1" w:styleId="Char4">
    <w:name w:val="标题 Char"/>
    <w:basedOn w:val="a0"/>
    <w:link w:val="aa"/>
    <w:autoRedefine/>
    <w:uiPriority w:val="10"/>
    <w:qFormat/>
    <w:rPr>
      <w:rFonts w:ascii="Times New Roman" w:eastAsia="仿宋_GB2312" w:hAnsi="Times New Roman" w:cstheme="majorBidi"/>
      <w:b/>
      <w:bCs/>
      <w:sz w:val="32"/>
      <w:szCs w:val="32"/>
    </w:rPr>
  </w:style>
  <w:style w:type="character" w:customStyle="1" w:styleId="Char2">
    <w:name w:val="页眉 Char"/>
    <w:basedOn w:val="a0"/>
    <w:link w:val="a8"/>
    <w:autoRedefine/>
    <w:uiPriority w:val="99"/>
    <w:qFormat/>
    <w:rPr>
      <w:rFonts w:ascii="Times New Roman" w:eastAsia="仿宋_GB2312" w:hAnsi="Times New Roman" w:cs="Times New Roman"/>
      <w:sz w:val="18"/>
      <w:szCs w:val="18"/>
    </w:rPr>
  </w:style>
  <w:style w:type="character" w:customStyle="1" w:styleId="Char1">
    <w:name w:val="页脚 Char"/>
    <w:basedOn w:val="a0"/>
    <w:link w:val="a7"/>
    <w:autoRedefine/>
    <w:uiPriority w:val="99"/>
    <w:qFormat/>
    <w:rPr>
      <w:rFonts w:ascii="Times New Roman" w:eastAsia="仿宋_GB2312" w:hAnsi="Times New Roman" w:cs="Times New Roman"/>
      <w:sz w:val="18"/>
      <w:szCs w:val="18"/>
    </w:rPr>
  </w:style>
  <w:style w:type="character" w:customStyle="1" w:styleId="3Char">
    <w:name w:val="标题 3 Char"/>
    <w:basedOn w:val="a0"/>
    <w:link w:val="3"/>
    <w:autoRedefine/>
    <w:uiPriority w:val="9"/>
    <w:qFormat/>
    <w:rPr>
      <w:rFonts w:ascii="Times New Roman" w:eastAsia="仿宋_GB2312" w:hAnsi="Times New Roman" w:cs="Times New Roman"/>
      <w:bCs/>
      <w:sz w:val="32"/>
      <w:szCs w:val="32"/>
    </w:rPr>
  </w:style>
  <w:style w:type="character" w:customStyle="1" w:styleId="Char0">
    <w:name w:val="批注框文本 Char"/>
    <w:basedOn w:val="a0"/>
    <w:link w:val="a6"/>
    <w:autoRedefine/>
    <w:uiPriority w:val="99"/>
    <w:semiHidden/>
    <w:qFormat/>
    <w:rPr>
      <w:rFonts w:ascii="Times New Roman" w:eastAsia="仿宋_GB2312" w:hAnsi="Times New Roman" w:cs="Times New Roman"/>
      <w:sz w:val="18"/>
      <w:szCs w:val="18"/>
    </w:rPr>
  </w:style>
  <w:style w:type="character" w:customStyle="1" w:styleId="Char3">
    <w:name w:val="脚注文本 Char"/>
    <w:basedOn w:val="a0"/>
    <w:link w:val="a9"/>
    <w:autoRedefine/>
    <w:uiPriority w:val="99"/>
    <w:semiHidden/>
    <w:qFormat/>
    <w:rPr>
      <w:rFonts w:ascii="Times New Roman" w:eastAsia="仿宋_GB2312" w:hAnsi="Times New Roman" w:cs="Times New Roman"/>
      <w:sz w:val="18"/>
      <w:szCs w:val="18"/>
    </w:rPr>
  </w:style>
  <w:style w:type="paragraph" w:customStyle="1" w:styleId="Default">
    <w:name w:val="Default"/>
    <w:autoRedefine/>
    <w:qFormat/>
    <w:pPr>
      <w:widowControl w:val="0"/>
      <w:autoSpaceDE w:val="0"/>
      <w:autoSpaceDN w:val="0"/>
      <w:adjustRightInd w:val="0"/>
    </w:pPr>
    <w:rPr>
      <w:rFonts w:ascii="仿宋_GB2312" w:eastAsia="仿宋_GB2312" w:hAnsi="等线" w:cs="仿宋_GB2312"/>
      <w:color w:val="000000"/>
      <w:kern w:val="2"/>
      <w:sz w:val="24"/>
      <w:szCs w:val="24"/>
    </w:rPr>
  </w:style>
  <w:style w:type="paragraph" w:styleId="af0">
    <w:name w:val="List Paragraph"/>
    <w:basedOn w:val="a"/>
    <w:autoRedefine/>
    <w:uiPriority w:val="34"/>
    <w:qFormat/>
    <w:pPr>
      <w:ind w:firstLine="420"/>
    </w:pPr>
  </w:style>
  <w:style w:type="character" w:customStyle="1" w:styleId="4Char">
    <w:name w:val="标题 4 Char"/>
    <w:basedOn w:val="a0"/>
    <w:link w:val="4"/>
    <w:autoRedefine/>
    <w:uiPriority w:val="9"/>
    <w:qFormat/>
    <w:rPr>
      <w:rFonts w:ascii="Times New Roman" w:eastAsia="仿宋_GB2312" w:hAnsi="Times New Roman" w:cstheme="majorBidi"/>
      <w:bCs/>
      <w:sz w:val="32"/>
      <w:szCs w:val="28"/>
    </w:rPr>
  </w:style>
  <w:style w:type="character" w:customStyle="1" w:styleId="5Char">
    <w:name w:val="标题 5 Char"/>
    <w:basedOn w:val="a0"/>
    <w:link w:val="5"/>
    <w:autoRedefine/>
    <w:uiPriority w:val="9"/>
    <w:semiHidden/>
    <w:qFormat/>
    <w:rPr>
      <w:rFonts w:ascii="Times New Roman" w:eastAsia="仿宋_GB2312" w:hAnsi="Times New Roman" w:cs="Times New Roman"/>
      <w:b/>
      <w:bCs/>
      <w:sz w:val="28"/>
      <w:szCs w:val="28"/>
    </w:rPr>
  </w:style>
  <w:style w:type="character" w:customStyle="1" w:styleId="font21">
    <w:name w:val="font21"/>
    <w:basedOn w:val="a0"/>
    <w:autoRedefine/>
    <w:qFormat/>
    <w:rPr>
      <w:rFonts w:ascii="仿宋_GB2312" w:eastAsia="仿宋_GB2312" w:cs="仿宋_GB2312" w:hint="default"/>
      <w:color w:val="000000"/>
      <w:sz w:val="44"/>
      <w:szCs w:val="44"/>
      <w:u w:val="none"/>
    </w:rPr>
  </w:style>
  <w:style w:type="character" w:customStyle="1" w:styleId="font41">
    <w:name w:val="font41"/>
    <w:basedOn w:val="a0"/>
    <w:autoRedefine/>
    <w:qFormat/>
    <w:rPr>
      <w:rFonts w:ascii="宋体" w:eastAsia="宋体" w:hAnsi="宋体" w:cs="宋体" w:hint="eastAsia"/>
      <w:color w:val="000000"/>
      <w:sz w:val="44"/>
      <w:szCs w:val="44"/>
      <w:u w:val="none"/>
    </w:rPr>
  </w:style>
  <w:style w:type="character" w:customStyle="1" w:styleId="font11">
    <w:name w:val="font11"/>
    <w:basedOn w:val="a0"/>
    <w:autoRedefine/>
    <w:qFormat/>
    <w:rPr>
      <w:rFonts w:ascii="仿宋_GB2312" w:eastAsia="仿宋_GB2312" w:cs="仿宋_GB2312" w:hint="default"/>
      <w:color w:val="000000"/>
      <w:sz w:val="44"/>
      <w:szCs w:val="44"/>
      <w:u w:val="none"/>
    </w:rPr>
  </w:style>
  <w:style w:type="character" w:customStyle="1" w:styleId="font51">
    <w:name w:val="font51"/>
    <w:basedOn w:val="a0"/>
    <w:autoRedefine/>
    <w:qFormat/>
    <w:rPr>
      <w:rFonts w:ascii="宋体" w:eastAsia="宋体" w:hAnsi="宋体" w:cs="宋体" w:hint="eastAsia"/>
      <w:color w:val="000000"/>
      <w:sz w:val="44"/>
      <w:szCs w:val="44"/>
      <w:u w:val="none"/>
    </w:rPr>
  </w:style>
  <w:style w:type="character" w:customStyle="1" w:styleId="Char">
    <w:name w:val="批注文字 Char"/>
    <w:basedOn w:val="a0"/>
    <w:link w:val="a4"/>
    <w:uiPriority w:val="99"/>
    <w:qFormat/>
    <w:rPr>
      <w:rFonts w:eastAsia="仿宋_GB2312"/>
      <w:kern w:val="2"/>
      <w:sz w:val="32"/>
      <w:szCs w:val="24"/>
    </w:rPr>
  </w:style>
  <w:style w:type="character" w:customStyle="1" w:styleId="Char5">
    <w:name w:val="批注主题 Char"/>
    <w:basedOn w:val="Char"/>
    <w:link w:val="ab"/>
    <w:uiPriority w:val="99"/>
    <w:semiHidden/>
    <w:qFormat/>
    <w:rPr>
      <w:rFonts w:eastAsia="仿宋_GB2312"/>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6583-DF6B-40A7-9CE3-085381BDD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77</Pages>
  <Words>5579</Words>
  <Characters>31801</Characters>
  <Application>Microsoft Office Word</Application>
  <DocSecurity>0</DocSecurity>
  <Lines>265</Lines>
  <Paragraphs>74</Paragraphs>
  <ScaleCrop>false</ScaleCrop>
  <Company>xitongwuyou.com</Company>
  <LinksUpToDate>false</LinksUpToDate>
  <CharactersWithSpaces>37306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Wenlu</dc:creator>
  <cp:lastModifiedBy>Wenlu</cp:lastModifiedBy>
  <cp:revision>207</cp:revision>
  <cp:lastPrinted>2024-09-14T10:00:00Z</cp:lastPrinted>
  <dcterms:created xsi:type="dcterms:W3CDTF">2023-11-05T09:45:00Z</dcterms:created>
  <dcterms:modified xsi:type="dcterms:W3CDTF">2024-09-26T03:54:00Z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947D8168BAED40158C126BDB2441426D_13</vt:lpwstr>
  </property>
</Properties>
</file>