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1D7ED">
      <w:pPr>
        <w:pStyle w:val="3"/>
        <w:numPr>
          <w:ilvl w:val="0"/>
          <w:numId w:val="0"/>
        </w:numPr>
        <w:bidi w:val="0"/>
        <w:ind w:left="40" w:leftChars="0"/>
        <w:rPr>
          <w:rFonts w:ascii="Times New Roman" w:hAnsi="Times New Roman"/>
          <w:b/>
          <w:bCs/>
          <w:color w:val="auto"/>
          <w:highlight w:val="none"/>
        </w:rPr>
      </w:pPr>
      <w:bookmarkStart w:id="0" w:name="_Toc290626517"/>
      <w:bookmarkStart w:id="1" w:name="_Toc290626688"/>
    </w:p>
    <w:p w14:paraId="02E9830E">
      <w:pPr>
        <w:keepNext w:val="0"/>
        <w:keepLines w:val="0"/>
        <w:pageBreakBefore w:val="0"/>
        <w:widowControl/>
        <w:kinsoku/>
        <w:wordWrap/>
        <w:overflowPunct w:val="0"/>
        <w:topLinePunct w:val="0"/>
        <w:autoSpaceDE/>
        <w:autoSpaceDN/>
        <w:bidi w:val="0"/>
        <w:adjustRightInd/>
        <w:snapToGrid/>
        <w:spacing w:line="720" w:lineRule="exact"/>
        <w:ind w:firstLine="0" w:firstLineChars="0"/>
        <w:jc w:val="both"/>
        <w:textAlignment w:val="auto"/>
        <w:outlineLvl w:val="9"/>
        <w:rPr>
          <w:rFonts w:ascii="Times New Roman" w:hAnsi="Times New Roman" w:eastAsia="仿宋_GB2312" w:cs="Times New Roman"/>
          <w:color w:val="auto"/>
          <w:spacing w:val="0"/>
          <w:sz w:val="48"/>
          <w:szCs w:val="48"/>
          <w:highlight w:val="none"/>
        </w:rPr>
      </w:pPr>
    </w:p>
    <w:p w14:paraId="1B29E369">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bCs/>
          <w:color w:val="auto"/>
          <w:spacing w:val="0"/>
          <w:sz w:val="48"/>
          <w:szCs w:val="48"/>
          <w:highlight w:val="none"/>
        </w:rPr>
      </w:pPr>
      <w:bookmarkStart w:id="2" w:name="_Toc13645"/>
      <w:r>
        <w:rPr>
          <w:rFonts w:hint="eastAsia" w:eastAsia="黑体" w:cs="黑体"/>
          <w:b/>
          <w:bCs/>
          <w:color w:val="auto"/>
          <w:spacing w:val="0"/>
          <w:sz w:val="52"/>
          <w:szCs w:val="52"/>
          <w:highlight w:val="none"/>
          <w:lang w:eastAsia="zh-CN"/>
        </w:rPr>
        <w:t>广州市增城</w:t>
      </w:r>
      <w:r>
        <w:rPr>
          <w:rFonts w:hint="eastAsia" w:ascii="Times New Roman" w:hAnsi="Times New Roman" w:eastAsia="黑体" w:cs="黑体"/>
          <w:b/>
          <w:bCs/>
          <w:color w:val="auto"/>
          <w:spacing w:val="0"/>
          <w:sz w:val="52"/>
          <w:szCs w:val="52"/>
          <w:highlight w:val="none"/>
          <w:lang w:eastAsia="zh-CN"/>
        </w:rPr>
        <w:t>区建筑垃圾污染环境防治</w:t>
      </w:r>
      <w:r>
        <w:rPr>
          <w:rFonts w:hint="eastAsia" w:eastAsia="黑体" w:cs="黑体"/>
          <w:b/>
          <w:bCs/>
          <w:color w:val="auto"/>
          <w:spacing w:val="0"/>
          <w:sz w:val="52"/>
          <w:szCs w:val="52"/>
          <w:highlight w:val="none"/>
          <w:lang w:val="en-US" w:eastAsia="zh-CN"/>
        </w:rPr>
        <w:t xml:space="preserve"> </w:t>
      </w:r>
      <w:r>
        <w:rPr>
          <w:rFonts w:hint="eastAsia" w:ascii="Times New Roman" w:hAnsi="Times New Roman" w:eastAsia="黑体" w:cs="黑体"/>
          <w:b/>
          <w:bCs/>
          <w:color w:val="auto"/>
          <w:spacing w:val="0"/>
          <w:sz w:val="52"/>
          <w:szCs w:val="52"/>
          <w:highlight w:val="none"/>
          <w:lang w:eastAsia="zh-CN"/>
        </w:rPr>
        <w:t>工作规划（</w:t>
      </w:r>
      <w:r>
        <w:rPr>
          <w:rFonts w:hint="eastAsia" w:ascii="Times New Roman" w:hAnsi="Times New Roman" w:eastAsia="黑体" w:cs="黑体"/>
          <w:b/>
          <w:bCs/>
          <w:color w:val="auto"/>
          <w:spacing w:val="0"/>
          <w:sz w:val="52"/>
          <w:szCs w:val="52"/>
          <w:highlight w:val="none"/>
          <w:lang w:val="en-US" w:eastAsia="zh-CN"/>
        </w:rPr>
        <w:t>2024-20</w:t>
      </w:r>
      <w:r>
        <w:rPr>
          <w:rFonts w:hint="eastAsia" w:eastAsia="黑体" w:cs="黑体"/>
          <w:b/>
          <w:bCs/>
          <w:color w:val="auto"/>
          <w:spacing w:val="0"/>
          <w:sz w:val="52"/>
          <w:szCs w:val="52"/>
          <w:highlight w:val="none"/>
          <w:lang w:val="en-US" w:eastAsia="zh-CN"/>
        </w:rPr>
        <w:t>26</w:t>
      </w:r>
      <w:r>
        <w:rPr>
          <w:rFonts w:hint="eastAsia" w:ascii="Times New Roman" w:hAnsi="Times New Roman" w:eastAsia="黑体" w:cs="黑体"/>
          <w:b/>
          <w:bCs/>
          <w:color w:val="auto"/>
          <w:spacing w:val="0"/>
          <w:sz w:val="52"/>
          <w:szCs w:val="52"/>
          <w:highlight w:val="none"/>
          <w:lang w:val="en-US" w:eastAsia="zh-CN"/>
        </w:rPr>
        <w:t>年</w:t>
      </w:r>
      <w:r>
        <w:rPr>
          <w:rFonts w:hint="eastAsia" w:ascii="Times New Roman" w:hAnsi="Times New Roman" w:eastAsia="黑体" w:cs="黑体"/>
          <w:b/>
          <w:bCs/>
          <w:color w:val="auto"/>
          <w:spacing w:val="0"/>
          <w:sz w:val="52"/>
          <w:szCs w:val="52"/>
          <w:highlight w:val="none"/>
          <w:lang w:eastAsia="zh-CN"/>
        </w:rPr>
        <w:t>）</w:t>
      </w:r>
      <w:bookmarkEnd w:id="2"/>
    </w:p>
    <w:p w14:paraId="222A9415">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1C7F13C0">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color w:val="auto"/>
          <w:spacing w:val="0"/>
          <w:sz w:val="48"/>
          <w:szCs w:val="48"/>
          <w:highlight w:val="none"/>
        </w:rPr>
      </w:pPr>
    </w:p>
    <w:p w14:paraId="7E9472C2">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091A192C">
      <w:pPr>
        <w:pStyle w:val="23"/>
        <w:keepNext w:val="0"/>
        <w:keepLines w:val="0"/>
        <w:pageBreakBefore w:val="0"/>
        <w:widowControl/>
        <w:kinsoku/>
        <w:wordWrap/>
        <w:overflowPunct w:val="0"/>
        <w:topLinePunct w:val="0"/>
        <w:autoSpaceDE/>
        <w:autoSpaceDN/>
        <w:bidi w:val="0"/>
        <w:adjustRightInd/>
        <w:snapToGrid/>
        <w:spacing w:line="360" w:lineRule="auto"/>
        <w:jc w:val="center"/>
        <w:textAlignment w:val="auto"/>
        <w:outlineLvl w:val="9"/>
        <w:rPr>
          <w:rFonts w:ascii="Times New Roman" w:hAnsi="Times New Roman" w:eastAsia="仿宋_GB2312" w:cs="Times New Roman"/>
          <w:b/>
          <w:color w:val="auto"/>
          <w:spacing w:val="0"/>
          <w:highlight w:val="none"/>
        </w:rPr>
      </w:pPr>
    </w:p>
    <w:p w14:paraId="4A73E0AA">
      <w:pPr>
        <w:pStyle w:val="23"/>
        <w:keepNext w:val="0"/>
        <w:keepLines w:val="0"/>
        <w:pageBreakBefore w:val="0"/>
        <w:widowControl/>
        <w:kinsoku/>
        <w:wordWrap/>
        <w:overflowPunct w:val="0"/>
        <w:topLinePunct w:val="0"/>
        <w:autoSpaceDE/>
        <w:autoSpaceDN/>
        <w:bidi w:val="0"/>
        <w:adjustRightInd/>
        <w:snapToGrid/>
        <w:spacing w:line="360" w:lineRule="auto"/>
        <w:jc w:val="center"/>
        <w:textAlignment w:val="auto"/>
        <w:outlineLvl w:val="9"/>
        <w:rPr>
          <w:rFonts w:ascii="Times New Roman" w:hAnsi="Times New Roman" w:eastAsia="仿宋_GB2312" w:cs="Times New Roman"/>
          <w:b/>
          <w:color w:val="auto"/>
          <w:spacing w:val="0"/>
          <w:highlight w:val="none"/>
        </w:rPr>
      </w:pPr>
    </w:p>
    <w:p w14:paraId="4AAB9CEE">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sz w:val="48"/>
          <w:szCs w:val="48"/>
          <w:highlight w:val="none"/>
        </w:rPr>
      </w:pPr>
      <w:r>
        <w:rPr>
          <w:rFonts w:hint="eastAsia" w:ascii="Times New Roman" w:hAnsi="Times New Roman" w:eastAsia="仿宋_GB2312" w:cs="Times New Roman"/>
          <w:b/>
          <w:color w:val="auto"/>
          <w:spacing w:val="0"/>
          <w:sz w:val="48"/>
          <w:szCs w:val="48"/>
          <w:highlight w:val="none"/>
        </w:rPr>
        <w:t>（</w:t>
      </w:r>
      <w:r>
        <w:rPr>
          <w:rFonts w:hint="eastAsia" w:eastAsia="仿宋_GB2312" w:cs="Times New Roman"/>
          <w:b/>
          <w:color w:val="auto"/>
          <w:spacing w:val="0"/>
          <w:sz w:val="48"/>
          <w:szCs w:val="48"/>
          <w:highlight w:val="none"/>
          <w:lang w:val="en-US" w:eastAsia="zh-CN"/>
        </w:rPr>
        <w:t>公示稿</w:t>
      </w:r>
      <w:r>
        <w:rPr>
          <w:rFonts w:hint="eastAsia" w:ascii="Times New Roman" w:hAnsi="Times New Roman" w:eastAsia="仿宋_GB2312" w:cs="Times New Roman"/>
          <w:b/>
          <w:color w:val="auto"/>
          <w:spacing w:val="0"/>
          <w:sz w:val="48"/>
          <w:szCs w:val="48"/>
          <w:highlight w:val="none"/>
        </w:rPr>
        <w:t>）</w:t>
      </w:r>
    </w:p>
    <w:p w14:paraId="50CF60A3">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sz w:val="48"/>
          <w:szCs w:val="48"/>
          <w:highlight w:val="none"/>
        </w:rPr>
      </w:pPr>
    </w:p>
    <w:p w14:paraId="6452A6A9">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0E675185">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5F9B0B83">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5DA72DF6">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01A7CE35">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224C4658">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43DE639B">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ascii="Times New Roman" w:hAnsi="Times New Roman" w:eastAsia="仿宋_GB2312" w:cs="Times New Roman"/>
          <w:b/>
          <w:color w:val="auto"/>
          <w:spacing w:val="0"/>
          <w:highlight w:val="none"/>
        </w:rPr>
      </w:pPr>
    </w:p>
    <w:p w14:paraId="0F30B832">
      <w:pPr>
        <w:pStyle w:val="23"/>
        <w:keepNext w:val="0"/>
        <w:keepLines w:val="0"/>
        <w:pageBreakBefore w:val="0"/>
        <w:widowControl/>
        <w:kinsoku/>
        <w:wordWrap/>
        <w:overflowPunct w:val="0"/>
        <w:topLinePunct w:val="0"/>
        <w:autoSpaceDE/>
        <w:autoSpaceDN/>
        <w:bidi w:val="0"/>
        <w:adjustRightInd/>
        <w:snapToGrid/>
        <w:spacing w:line="360" w:lineRule="auto"/>
        <w:jc w:val="center"/>
        <w:textAlignment w:val="auto"/>
        <w:outlineLvl w:val="9"/>
        <w:rPr>
          <w:rFonts w:ascii="Times New Roman" w:hAnsi="Times New Roman" w:eastAsia="仿宋_GB2312"/>
          <w:color w:val="auto"/>
          <w:spacing w:val="0"/>
          <w:highlight w:val="none"/>
        </w:rPr>
      </w:pPr>
    </w:p>
    <w:p w14:paraId="76CEFB41">
      <w:pPr>
        <w:keepNext w:val="0"/>
        <w:keepLines w:val="0"/>
        <w:pageBreakBefore w:val="0"/>
        <w:widowControl/>
        <w:tabs>
          <w:tab w:val="left" w:pos="3525"/>
        </w:tabs>
        <w:kinsoku/>
        <w:wordWrap/>
        <w:overflowPunct w:val="0"/>
        <w:topLinePunct w:val="0"/>
        <w:autoSpaceDE/>
        <w:autoSpaceDN/>
        <w:bidi w:val="0"/>
        <w:adjustRightInd/>
        <w:snapToGrid/>
        <w:spacing w:line="360" w:lineRule="auto"/>
        <w:ind w:leftChars="400" w:firstLine="640"/>
        <w:jc w:val="left"/>
        <w:textAlignment w:val="auto"/>
        <w:outlineLvl w:val="9"/>
        <w:rPr>
          <w:rFonts w:hint="eastAsia" w:ascii="Times New Roman" w:hAnsi="Times New Roman" w:eastAsia="黑体" w:cs="黑体"/>
          <w:b/>
          <w:bCs/>
          <w:color w:val="auto"/>
          <w:spacing w:val="0"/>
          <w:sz w:val="32"/>
          <w:szCs w:val="52"/>
          <w:highlight w:val="none"/>
        </w:rPr>
      </w:pPr>
      <w:r>
        <w:rPr>
          <w:rFonts w:hint="eastAsia" w:ascii="Times New Roman" w:hAnsi="Times New Roman" w:eastAsia="黑体" w:cs="黑体"/>
          <w:b/>
          <w:bCs/>
          <w:color w:val="auto"/>
          <w:spacing w:val="0"/>
          <w:sz w:val="32"/>
          <w:szCs w:val="52"/>
          <w:highlight w:val="none"/>
        </w:rPr>
        <w:t>主持单位：</w:t>
      </w:r>
      <w:r>
        <w:rPr>
          <w:rFonts w:hint="eastAsia" w:ascii="Times New Roman" w:hAnsi="Times New Roman" w:eastAsia="黑体" w:cs="黑体"/>
          <w:b/>
          <w:bCs/>
          <w:color w:val="auto"/>
          <w:spacing w:val="0"/>
          <w:sz w:val="32"/>
          <w:szCs w:val="52"/>
          <w:highlight w:val="none"/>
          <w:lang w:eastAsia="zh-CN"/>
        </w:rPr>
        <w:t>广州市</w:t>
      </w:r>
      <w:r>
        <w:rPr>
          <w:rFonts w:hint="eastAsia" w:eastAsia="黑体" w:cs="黑体"/>
          <w:b/>
          <w:bCs/>
          <w:color w:val="auto"/>
          <w:spacing w:val="0"/>
          <w:sz w:val="32"/>
          <w:szCs w:val="52"/>
          <w:highlight w:val="none"/>
          <w:lang w:eastAsia="zh-CN"/>
        </w:rPr>
        <w:t>增城</w:t>
      </w:r>
      <w:r>
        <w:rPr>
          <w:rFonts w:hint="eastAsia" w:ascii="Times New Roman" w:hAnsi="Times New Roman" w:eastAsia="黑体" w:cs="黑体"/>
          <w:b/>
          <w:bCs/>
          <w:color w:val="auto"/>
          <w:spacing w:val="0"/>
          <w:sz w:val="32"/>
          <w:szCs w:val="52"/>
          <w:highlight w:val="none"/>
        </w:rPr>
        <w:t>区城市管理和综合执法局</w:t>
      </w:r>
    </w:p>
    <w:p w14:paraId="3EC39D02">
      <w:pPr>
        <w:keepNext w:val="0"/>
        <w:keepLines w:val="0"/>
        <w:pageBreakBefore w:val="0"/>
        <w:widowControl/>
        <w:tabs>
          <w:tab w:val="left" w:pos="3525"/>
        </w:tabs>
        <w:kinsoku/>
        <w:wordWrap/>
        <w:overflowPunct w:val="0"/>
        <w:topLinePunct w:val="0"/>
        <w:autoSpaceDE/>
        <w:autoSpaceDN/>
        <w:bidi w:val="0"/>
        <w:adjustRightInd/>
        <w:snapToGrid/>
        <w:spacing w:line="360" w:lineRule="auto"/>
        <w:ind w:leftChars="400" w:firstLine="640"/>
        <w:jc w:val="left"/>
        <w:textAlignment w:val="auto"/>
        <w:outlineLvl w:val="9"/>
        <w:rPr>
          <w:rFonts w:hint="eastAsia" w:ascii="Times New Roman" w:hAnsi="Times New Roman" w:eastAsia="黑体" w:cs="黑体"/>
          <w:b/>
          <w:bCs/>
          <w:color w:val="auto"/>
          <w:spacing w:val="0"/>
          <w:sz w:val="32"/>
          <w:szCs w:val="52"/>
          <w:highlight w:val="none"/>
        </w:rPr>
      </w:pPr>
      <w:bookmarkStart w:id="3" w:name="_Toc17069"/>
      <w:r>
        <w:rPr>
          <w:rFonts w:hint="eastAsia" w:ascii="Times New Roman" w:hAnsi="Times New Roman" w:eastAsia="黑体" w:cs="黑体"/>
          <w:b/>
          <w:bCs/>
          <w:color w:val="auto"/>
          <w:spacing w:val="0"/>
          <w:sz w:val="32"/>
          <w:szCs w:val="52"/>
          <w:highlight w:val="none"/>
        </w:rPr>
        <w:t>承编单位：广东省建科建筑设计院有限公司</w:t>
      </w:r>
      <w:bookmarkEnd w:id="3"/>
    </w:p>
    <w:p w14:paraId="4EFE4D88">
      <w:pPr>
        <w:keepNext w:val="0"/>
        <w:keepLines w:val="0"/>
        <w:pageBreakBefore w:val="0"/>
        <w:widowControl/>
        <w:kinsoku/>
        <w:wordWrap/>
        <w:overflowPunct w:val="0"/>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黑体"/>
          <w:b/>
          <w:bCs/>
          <w:color w:val="auto"/>
          <w:spacing w:val="0"/>
          <w:sz w:val="32"/>
          <w:szCs w:val="52"/>
          <w:highlight w:val="none"/>
        </w:rPr>
        <w:sectPr>
          <w:headerReference r:id="rId6" w:type="first"/>
          <w:footerReference r:id="rId8" w:type="first"/>
          <w:headerReference r:id="rId5" w:type="default"/>
          <w:footerReference r:id="rId7" w:type="default"/>
          <w:pgSz w:w="11905" w:h="16838"/>
          <w:pgMar w:top="1587" w:right="1474" w:bottom="1474" w:left="1474" w:header="851" w:footer="567" w:gutter="0"/>
          <w:pgBorders w:offsetFrom="page">
            <w:top w:val="none" w:sz="0" w:space="0"/>
            <w:left w:val="none" w:sz="0" w:space="0"/>
            <w:bottom w:val="none" w:sz="0" w:space="0"/>
            <w:right w:val="none" w:sz="0" w:space="0"/>
          </w:pgBorders>
          <w:pgNumType w:fmt="upperRoman" w:start="1"/>
          <w:cols w:space="0" w:num="1"/>
          <w:titlePg/>
          <w:rtlGutter w:val="0"/>
          <w:docGrid w:linePitch="312" w:charSpace="0"/>
        </w:sectPr>
      </w:pPr>
      <w:r>
        <w:rPr>
          <w:rFonts w:hint="eastAsia" w:ascii="Times New Roman" w:hAnsi="Times New Roman" w:eastAsia="黑体" w:cs="黑体"/>
          <w:b/>
          <w:bCs/>
          <w:color w:val="auto"/>
          <w:spacing w:val="0"/>
          <w:sz w:val="32"/>
          <w:szCs w:val="52"/>
          <w:highlight w:val="none"/>
        </w:rPr>
        <w:t>202</w:t>
      </w:r>
      <w:r>
        <w:rPr>
          <w:rFonts w:hint="eastAsia" w:eastAsia="黑体" w:cs="黑体"/>
          <w:b/>
          <w:bCs/>
          <w:color w:val="auto"/>
          <w:spacing w:val="0"/>
          <w:sz w:val="32"/>
          <w:szCs w:val="52"/>
          <w:highlight w:val="none"/>
          <w:lang w:val="en-US" w:eastAsia="zh-CN"/>
        </w:rPr>
        <w:t>5</w:t>
      </w:r>
      <w:r>
        <w:rPr>
          <w:rFonts w:hint="eastAsia" w:ascii="Times New Roman" w:hAnsi="Times New Roman" w:eastAsia="黑体" w:cs="黑体"/>
          <w:b/>
          <w:bCs/>
          <w:color w:val="auto"/>
          <w:spacing w:val="0"/>
          <w:sz w:val="32"/>
          <w:szCs w:val="52"/>
          <w:highlight w:val="none"/>
        </w:rPr>
        <w:t>年</w:t>
      </w:r>
      <w:r>
        <w:rPr>
          <w:rFonts w:hint="eastAsia" w:eastAsia="黑体" w:cs="黑体"/>
          <w:b/>
          <w:bCs/>
          <w:color w:val="auto"/>
          <w:spacing w:val="0"/>
          <w:sz w:val="32"/>
          <w:szCs w:val="52"/>
          <w:highlight w:val="none"/>
          <w:lang w:val="en-US" w:eastAsia="zh-CN"/>
        </w:rPr>
        <w:t>2</w:t>
      </w:r>
      <w:r>
        <w:rPr>
          <w:rFonts w:hint="eastAsia" w:ascii="Times New Roman" w:hAnsi="Times New Roman" w:eastAsia="黑体" w:cs="黑体"/>
          <w:b/>
          <w:bCs/>
          <w:color w:val="auto"/>
          <w:spacing w:val="0"/>
          <w:sz w:val="32"/>
          <w:szCs w:val="52"/>
          <w:highlight w:val="none"/>
        </w:rPr>
        <w:t>月</w:t>
      </w:r>
    </w:p>
    <w:p w14:paraId="56B1DBA0">
      <w:pPr>
        <w:tabs>
          <w:tab w:val="left" w:pos="5040"/>
        </w:tabs>
        <w:spacing w:line="273" w:lineRule="auto"/>
        <w:jc w:val="both"/>
        <w:rPr>
          <w:color w:val="auto"/>
        </w:rPr>
      </w:pPr>
    </w:p>
    <w:p w14:paraId="5A647810">
      <w:pPr>
        <w:spacing w:before="182" w:line="224" w:lineRule="auto"/>
        <w:rPr>
          <w:rFonts w:ascii="Times New Roman" w:hAnsi="Times New Roman" w:eastAsia="黑体" w:cs="黑体"/>
          <w:color w:val="auto"/>
          <w:spacing w:val="5"/>
          <w:sz w:val="60"/>
          <w:szCs w:val="60"/>
        </w:rPr>
      </w:pPr>
    </w:p>
    <w:p w14:paraId="11DDF304">
      <w:pPr>
        <w:spacing w:before="182" w:line="224" w:lineRule="auto"/>
        <w:jc w:val="center"/>
        <w:rPr>
          <w:rFonts w:eastAsia="黑体" w:cs="黑体"/>
          <w:color w:val="auto"/>
          <w:sz w:val="60"/>
          <w:szCs w:val="60"/>
        </w:rPr>
      </w:pPr>
      <w:r>
        <w:rPr>
          <w:rFonts w:ascii="Times New Roman" w:hAnsi="Times New Roman" w:eastAsia="黑体" w:cs="黑体"/>
          <w:color w:val="auto"/>
          <w:spacing w:val="5"/>
          <w:sz w:val="60"/>
          <w:szCs w:val="60"/>
        </w:rPr>
        <w:t>广东省建科建筑设计院有限公</w:t>
      </w:r>
      <w:r>
        <w:rPr>
          <w:rFonts w:ascii="Times New Roman" w:hAnsi="Times New Roman" w:eastAsia="黑体" w:cs="黑体"/>
          <w:color w:val="auto"/>
          <w:spacing w:val="4"/>
          <w:sz w:val="60"/>
          <w:szCs w:val="60"/>
        </w:rPr>
        <w:t>司</w:t>
      </w:r>
    </w:p>
    <w:p w14:paraId="424F25E3">
      <w:pPr>
        <w:spacing w:line="267" w:lineRule="auto"/>
        <w:rPr>
          <w:rFonts w:eastAsia="黑体" w:cs="黑体"/>
          <w:color w:val="auto"/>
          <w:spacing w:val="21"/>
          <w:sz w:val="28"/>
          <w:szCs w:val="28"/>
        </w:rPr>
      </w:pPr>
      <w:r>
        <w:rPr>
          <w:color w:val="auto"/>
          <w:sz w:val="22"/>
          <w:szCs w:val="22"/>
        </w:rPr>
        <mc:AlternateContent>
          <mc:Choice Requires="wps">
            <w:drawing>
              <wp:anchor distT="0" distB="0" distL="114300" distR="114300" simplePos="0" relativeHeight="251660288" behindDoc="0" locked="0" layoutInCell="0" allowOverlap="1">
                <wp:simplePos x="0" y="0"/>
                <wp:positionH relativeFrom="page">
                  <wp:posOffset>936625</wp:posOffset>
                </wp:positionH>
                <wp:positionV relativeFrom="page">
                  <wp:posOffset>2422525</wp:posOffset>
                </wp:positionV>
                <wp:extent cx="5662295" cy="94615"/>
                <wp:effectExtent l="0" t="0" r="0" b="0"/>
                <wp:wrapSquare wrapText="bothSides"/>
                <wp:docPr id="1028" name="自选图形 265"/>
                <wp:cNvGraphicFramePr/>
                <a:graphic xmlns:a="http://schemas.openxmlformats.org/drawingml/2006/main">
                  <a:graphicData uri="http://schemas.microsoft.com/office/word/2010/wordprocessingShape">
                    <wps:wsp>
                      <wps:cNvSpPr/>
                      <wps:spPr>
                        <a:xfrm flipV="1">
                          <a:off x="0" y="0"/>
                          <a:ext cx="5662295" cy="94614"/>
                        </a:xfrm>
                        <a:custGeom>
                          <a:avLst/>
                          <a:gdLst/>
                          <a:ahLst/>
                          <a:cxnLst/>
                          <a:rect l="l" t="t" r="r" b="b"/>
                          <a:pathLst>
                            <a:path w="9257" h="5">
                              <a:moveTo>
                                <a:pt x="2" y="2"/>
                              </a:moveTo>
                              <a:lnTo>
                                <a:pt x="9254" y="2"/>
                              </a:lnTo>
                            </a:path>
                          </a:pathLst>
                        </a:custGeom>
                        <a:ln w="12700" cap="flat" cmpd="sng">
                          <a:solidFill>
                            <a:srgbClr val="000000"/>
                          </a:solidFill>
                          <a:prstDash val="solid"/>
                          <a:round/>
                          <a:headEnd type="none" w="med" len="med"/>
                          <a:tailEnd type="none" w="med" len="med"/>
                        </a:ln>
                        <a:effectLst>
                          <a:outerShdw dist="12700" dir="5400000" rotWithShape="0">
                            <a:srgbClr val="000000">
                              <a:alpha val="37999"/>
                            </a:srgbClr>
                          </a:outerShdw>
                        </a:effectLst>
                      </wps:spPr>
                      <wps:txbx>
                        <w:txbxContent>
                          <w:p w14:paraId="18A6456F"/>
                          <w:p w14:paraId="2109C177"/>
                        </w:txbxContent>
                      </wps:txbx>
                      <wps:bodyPr wrap="square" upright="1"/>
                    </wps:wsp>
                  </a:graphicData>
                </a:graphic>
              </wp:anchor>
            </w:drawing>
          </mc:Choice>
          <mc:Fallback>
            <w:pict>
              <v:shape id="自选图形 265" o:spid="_x0000_s1026" o:spt="100" style="position:absolute;left:0pt;flip:y;margin-left:73.75pt;margin-top:190.75pt;height:7.45pt;width:445.85pt;mso-position-horizontal-relative:page;mso-position-vertical-relative:page;mso-wrap-distance-bottom:0pt;mso-wrap-distance-left:9pt;mso-wrap-distance-right:9pt;mso-wrap-distance-top:0pt;z-index:251660288;mso-width-relative:page;mso-height-relative:page;" filled="f" stroked="t" coordsize="9257,5" o:allowincell="f" o:gfxdata="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ST+ZE2wAAAAwBAAAPAAAAAAAAAAEAIAAAACIAAABkcnMvZG93bnJldi54bWxQSwEC&#10;FAAUAAAACACHTuJApcZxNpwCAABuBQAADgAAAAAAAAABACAAAAAqAQAAZHJzL2Uyb0RvYy54bWxQ&#10;SwUGAAAAAAYABgBZAQAAOAYAAAAA&#10;" path="m2,2l9254,2e">
                <v:path textboxrect="0,0,9257,5"/>
                <v:fill on="f" focussize="0,0"/>
                <v:stroke weight="1pt" color="#000000" joinstyle="round"/>
                <v:imagedata o:title=""/>
                <o:lock v:ext="edit" aspectratio="f"/>
                <v:shadow on="t" color="#000000" opacity="24903f" offset="0pt,1pt" origin="0f,32768f" matrix="65536f,0f,0f,65536f"/>
                <v:textbox>
                  <w:txbxContent>
                    <w:p w14:paraId="18A6456F"/>
                    <w:p w14:paraId="2109C177"/>
                  </w:txbxContent>
                </v:textbox>
                <w10:wrap type="square"/>
              </v:shape>
            </w:pict>
          </mc:Fallback>
        </mc:AlternateContent>
      </w:r>
    </w:p>
    <w:p w14:paraId="697036D2">
      <w:pPr>
        <w:tabs>
          <w:tab w:val="left" w:pos="602"/>
        </w:tabs>
        <w:spacing w:before="91" w:line="224" w:lineRule="auto"/>
        <w:rPr>
          <w:rFonts w:eastAsia="黑体" w:cs="黑体"/>
          <w:color w:val="auto"/>
          <w:spacing w:val="21"/>
          <w:sz w:val="28"/>
          <w:szCs w:val="28"/>
        </w:rPr>
      </w:pPr>
      <w:r>
        <w:rPr>
          <w:rFonts w:hint="eastAsia" w:ascii="Times New Roman" w:hAnsi="Times New Roman" w:eastAsia="黑体" w:cs="黑体"/>
          <w:color w:val="auto"/>
          <w:spacing w:val="21"/>
          <w:sz w:val="28"/>
          <w:szCs w:val="28"/>
        </w:rPr>
        <w:tab/>
      </w:r>
      <w:r>
        <w:rPr>
          <w:rFonts w:hint="eastAsia" w:ascii="Times New Roman" w:hAnsi="Times New Roman" w:eastAsia="黑体" w:cs="黑体"/>
          <w:color w:val="auto"/>
          <w:spacing w:val="21"/>
          <w:sz w:val="28"/>
          <w:szCs w:val="28"/>
        </w:rPr>
        <w:t xml:space="preserve">                          </w:t>
      </w:r>
    </w:p>
    <w:p w14:paraId="2E7FB263">
      <w:pPr>
        <w:kinsoku w:val="0"/>
        <w:autoSpaceDE w:val="0"/>
        <w:autoSpaceDN w:val="0"/>
        <w:adjustRightInd w:val="0"/>
        <w:snapToGrid w:val="0"/>
        <w:spacing w:before="91" w:line="224" w:lineRule="auto"/>
        <w:ind w:firstLine="966" w:firstLineChars="300"/>
        <w:textAlignment w:val="baseline"/>
        <w:rPr>
          <w:rFonts w:eastAsia="黑体" w:cs="黑体"/>
          <w:color w:val="auto"/>
          <w:spacing w:val="21"/>
          <w:sz w:val="28"/>
          <w:szCs w:val="28"/>
        </w:rPr>
      </w:pPr>
    </w:p>
    <w:p w14:paraId="67A0E5BE">
      <w:pPr>
        <w:kinsoku w:val="0"/>
        <w:autoSpaceDE w:val="0"/>
        <w:autoSpaceDN w:val="0"/>
        <w:adjustRightInd w:val="0"/>
        <w:snapToGrid w:val="0"/>
        <w:spacing w:before="91" w:line="224" w:lineRule="auto"/>
        <w:ind w:left="2267" w:leftChars="307" w:hanging="1622" w:hangingChars="504"/>
        <w:jc w:val="left"/>
        <w:textAlignment w:val="baseline"/>
        <w:rPr>
          <w:rFonts w:ascii="Times New Roman" w:hAnsi="Times New Roman" w:eastAsia="黑体" w:cs="黑体"/>
          <w:color w:val="auto"/>
          <w:spacing w:val="21"/>
          <w:sz w:val="28"/>
          <w:szCs w:val="28"/>
        </w:rPr>
      </w:pPr>
      <w:r>
        <w:rPr>
          <w:rFonts w:hint="eastAsia" w:ascii="Times New Roman" w:hAnsi="Times New Roman" w:eastAsia="黑体" w:cs="黑体"/>
          <w:color w:val="auto"/>
          <w:spacing w:val="21"/>
          <w:sz w:val="28"/>
          <w:szCs w:val="28"/>
        </w:rPr>
        <w:t>项目名称：广州市增城区建筑垃圾污染环境防治工作规划</w:t>
      </w:r>
    </w:p>
    <w:p w14:paraId="205A2791">
      <w:pPr>
        <w:kinsoku w:val="0"/>
        <w:autoSpaceDE w:val="0"/>
        <w:autoSpaceDN w:val="0"/>
        <w:adjustRightInd w:val="0"/>
        <w:snapToGrid w:val="0"/>
        <w:spacing w:before="91" w:line="224" w:lineRule="auto"/>
        <w:ind w:left="1695" w:leftChars="807" w:firstLine="322" w:firstLineChars="100"/>
        <w:jc w:val="left"/>
        <w:textAlignment w:val="baseline"/>
        <w:rPr>
          <w:rFonts w:ascii="Times New Roman" w:hAnsi="Times New Roman" w:eastAsia="黑体" w:cs="黑体"/>
          <w:color w:val="auto"/>
          <w:spacing w:val="21"/>
          <w:sz w:val="28"/>
          <w:szCs w:val="28"/>
        </w:rPr>
      </w:pPr>
      <w:r>
        <w:rPr>
          <w:rFonts w:hint="eastAsia" w:ascii="Times New Roman" w:hAnsi="Times New Roman" w:eastAsia="黑体" w:cs="黑体"/>
          <w:color w:val="auto"/>
          <w:spacing w:val="21"/>
          <w:sz w:val="28"/>
          <w:szCs w:val="28"/>
        </w:rPr>
        <w:t>（2024-2026年）</w:t>
      </w:r>
    </w:p>
    <w:p w14:paraId="416257AF">
      <w:pPr>
        <w:kinsoku w:val="0"/>
        <w:autoSpaceDE w:val="0"/>
        <w:autoSpaceDN w:val="0"/>
        <w:adjustRightInd w:val="0"/>
        <w:snapToGrid w:val="0"/>
        <w:spacing w:before="91" w:line="224" w:lineRule="auto"/>
        <w:ind w:firstLine="644" w:firstLineChars="200"/>
        <w:jc w:val="left"/>
        <w:textAlignment w:val="baseline"/>
        <w:rPr>
          <w:rFonts w:eastAsia="黑体" w:cs="黑体"/>
          <w:color w:val="auto"/>
          <w:sz w:val="28"/>
          <w:szCs w:val="28"/>
        </w:rPr>
      </w:pPr>
      <w:r>
        <w:rPr>
          <w:rFonts w:hint="eastAsia" w:ascii="Times New Roman" w:hAnsi="Times New Roman" w:eastAsia="黑体" w:cs="黑体"/>
          <w:color w:val="auto"/>
          <w:spacing w:val="21"/>
          <w:sz w:val="28"/>
          <w:szCs w:val="28"/>
        </w:rPr>
        <w:t>委托单位：广州市增城区城市管理和综合执法局</w:t>
      </w:r>
    </w:p>
    <w:p w14:paraId="2FDF1F03">
      <w:pPr>
        <w:kinsoku w:val="0"/>
        <w:autoSpaceDE w:val="0"/>
        <w:autoSpaceDN w:val="0"/>
        <w:adjustRightInd w:val="0"/>
        <w:snapToGrid w:val="0"/>
        <w:spacing w:before="91" w:line="224" w:lineRule="auto"/>
        <w:ind w:firstLine="644" w:firstLineChars="200"/>
        <w:jc w:val="left"/>
        <w:textAlignment w:val="baseline"/>
        <w:rPr>
          <w:rFonts w:eastAsia="黑体" w:cs="黑体"/>
          <w:color w:val="auto"/>
          <w:sz w:val="28"/>
          <w:szCs w:val="28"/>
        </w:rPr>
      </w:pPr>
      <w:r>
        <w:rPr>
          <w:rFonts w:hint="eastAsia" w:ascii="Times New Roman" w:hAnsi="Times New Roman" w:eastAsia="黑体" w:cs="黑体"/>
          <w:color w:val="auto"/>
          <w:spacing w:val="21"/>
          <w:sz w:val="28"/>
          <w:szCs w:val="28"/>
        </w:rPr>
        <w:t>承编单位：广东省建科建筑设计院有限公司</w:t>
      </w:r>
    </w:p>
    <w:p w14:paraId="0E592302">
      <w:pPr>
        <w:kinsoku w:val="0"/>
        <w:autoSpaceDE w:val="0"/>
        <w:autoSpaceDN w:val="0"/>
        <w:adjustRightInd w:val="0"/>
        <w:snapToGrid w:val="0"/>
        <w:spacing w:before="158" w:line="224" w:lineRule="auto"/>
        <w:ind w:firstLine="644" w:firstLineChars="200"/>
        <w:jc w:val="left"/>
        <w:textAlignment w:val="baseline"/>
        <w:rPr>
          <w:rFonts w:eastAsia="黑体" w:cs="黑体"/>
          <w:color w:val="auto"/>
          <w:sz w:val="28"/>
          <w:szCs w:val="28"/>
        </w:rPr>
      </w:pPr>
      <w:r>
        <w:rPr>
          <w:rFonts w:hint="eastAsia" w:ascii="Times New Roman" w:hAnsi="Times New Roman" w:eastAsia="黑体" w:cs="黑体"/>
          <w:color w:val="auto"/>
          <w:spacing w:val="21"/>
          <w:sz w:val="28"/>
          <w:szCs w:val="28"/>
        </w:rPr>
        <w:t>城乡规划编制资质证书等级：甲级</w:t>
      </w:r>
    </w:p>
    <w:p w14:paraId="54846B15">
      <w:pPr>
        <w:kinsoku w:val="0"/>
        <w:autoSpaceDE w:val="0"/>
        <w:autoSpaceDN w:val="0"/>
        <w:adjustRightInd w:val="0"/>
        <w:snapToGrid w:val="0"/>
        <w:spacing w:before="159" w:line="223" w:lineRule="auto"/>
        <w:ind w:firstLine="644" w:firstLineChars="200"/>
        <w:jc w:val="left"/>
        <w:textAlignment w:val="baseline"/>
        <w:rPr>
          <w:rFonts w:eastAsia="黑体" w:cs="黑体"/>
          <w:color w:val="auto"/>
          <w:spacing w:val="9"/>
          <w:sz w:val="28"/>
          <w:szCs w:val="28"/>
        </w:rPr>
      </w:pPr>
      <w:r>
        <w:rPr>
          <w:rFonts w:hint="eastAsia" w:ascii="Times New Roman" w:hAnsi="Times New Roman" w:eastAsia="黑体" w:cs="黑体"/>
          <w:color w:val="auto"/>
          <w:spacing w:val="21"/>
          <w:sz w:val="28"/>
          <w:szCs w:val="28"/>
        </w:rPr>
        <w:t>证书编号：</w:t>
      </w:r>
      <w:r>
        <w:rPr>
          <w:rFonts w:hint="eastAsia" w:ascii="Times New Roman" w:hAnsi="Times New Roman" w:eastAsia="黑体" w:cs="黑体"/>
          <w:color w:val="auto"/>
          <w:spacing w:val="9"/>
          <w:sz w:val="28"/>
          <w:szCs w:val="28"/>
        </w:rPr>
        <w:t>自资规甲字21440262</w:t>
      </w:r>
    </w:p>
    <w:p w14:paraId="54F060EF">
      <w:pPr>
        <w:kinsoku w:val="0"/>
        <w:autoSpaceDE w:val="0"/>
        <w:autoSpaceDN w:val="0"/>
        <w:adjustRightInd w:val="0"/>
        <w:snapToGrid w:val="0"/>
        <w:spacing w:before="159" w:line="223" w:lineRule="auto"/>
        <w:ind w:firstLine="644" w:firstLineChars="200"/>
        <w:jc w:val="left"/>
        <w:textAlignment w:val="baseline"/>
        <w:rPr>
          <w:rFonts w:eastAsia="黑体" w:cs="黑体"/>
          <w:color w:val="auto"/>
          <w:spacing w:val="21"/>
          <w:sz w:val="28"/>
          <w:szCs w:val="28"/>
        </w:rPr>
      </w:pPr>
      <w:r>
        <w:rPr>
          <w:rFonts w:hint="eastAsia" w:ascii="Times New Roman" w:hAnsi="Times New Roman" w:eastAsia="黑体" w:cs="黑体"/>
          <w:color w:val="auto"/>
          <w:spacing w:val="21"/>
          <w:sz w:val="28"/>
          <w:szCs w:val="28"/>
        </w:rPr>
        <w:t>法定代表人：郭俊杰</w:t>
      </w:r>
    </w:p>
    <w:p w14:paraId="4D0A427A">
      <w:pPr>
        <w:spacing w:line="251" w:lineRule="auto"/>
        <w:ind w:firstLine="560" w:firstLineChars="200"/>
        <w:jc w:val="left"/>
        <w:rPr>
          <w:rFonts w:eastAsia="黑体" w:cs="黑体"/>
          <w:color w:val="auto"/>
          <w:sz w:val="28"/>
          <w:szCs w:val="28"/>
        </w:rPr>
      </w:pPr>
    </w:p>
    <w:p w14:paraId="14EE242F">
      <w:pPr>
        <w:spacing w:line="253" w:lineRule="auto"/>
        <w:ind w:firstLine="560" w:firstLineChars="200"/>
        <w:jc w:val="both"/>
        <w:rPr>
          <w:rFonts w:eastAsia="黑体" w:cs="黑体"/>
          <w:color w:val="auto"/>
          <w:sz w:val="28"/>
          <w:szCs w:val="28"/>
        </w:rPr>
      </w:pPr>
      <w:r>
        <w:rPr>
          <w:rFonts w:hint="eastAsia" w:ascii="Times New Roman" w:hAnsi="Times New Roman" w:eastAsia="黑体" w:cs="黑体"/>
          <w:color w:val="auto"/>
          <w:sz w:val="28"/>
          <w:szCs w:val="28"/>
        </w:rPr>
        <w:t xml:space="preserve"> </w:t>
      </w:r>
    </w:p>
    <w:p w14:paraId="71CD8828">
      <w:pPr>
        <w:tabs>
          <w:tab w:val="left" w:pos="5040"/>
        </w:tabs>
        <w:kinsoku w:val="0"/>
        <w:autoSpaceDE w:val="0"/>
        <w:autoSpaceDN w:val="0"/>
        <w:adjustRightInd w:val="0"/>
        <w:snapToGrid w:val="0"/>
        <w:spacing w:before="159" w:line="240" w:lineRule="auto"/>
        <w:ind w:firstLine="644" w:firstLineChars="200"/>
        <w:jc w:val="both"/>
        <w:textAlignment w:val="baseline"/>
        <w:rPr>
          <w:rFonts w:eastAsia="黑体" w:cs="黑体"/>
          <w:color w:val="auto"/>
          <w:spacing w:val="21"/>
          <w:sz w:val="28"/>
          <w:szCs w:val="28"/>
        </w:rPr>
      </w:pPr>
      <w:r>
        <w:rPr>
          <w:rFonts w:hint="eastAsia" w:ascii="Times New Roman" w:hAnsi="Times New Roman" w:eastAsia="黑体" w:cs="黑体"/>
          <w:color w:val="auto"/>
          <w:spacing w:val="21"/>
          <w:sz w:val="28"/>
          <w:szCs w:val="28"/>
        </w:rPr>
        <w:t>审</w:t>
      </w:r>
      <w:r>
        <w:rPr>
          <w:rFonts w:eastAsia="黑体" w:cs="黑体"/>
          <w:color w:val="auto"/>
          <w:spacing w:val="21"/>
          <w:sz w:val="32"/>
          <w:szCs w:val="32"/>
        </w:rPr>
        <w:t xml:space="preserve"> </w:t>
      </w:r>
      <w:r>
        <w:rPr>
          <w:rFonts w:hint="eastAsia" w:ascii="Times New Roman" w:hAnsi="Times New Roman" w:eastAsia="黑体" w:cs="黑体"/>
          <w:color w:val="auto"/>
          <w:spacing w:val="21"/>
          <w:sz w:val="28"/>
          <w:szCs w:val="28"/>
        </w:rPr>
        <w:t xml:space="preserve"> </w:t>
      </w:r>
      <w:r>
        <w:rPr>
          <w:rFonts w:eastAsia="黑体" w:cs="黑体"/>
          <w:color w:val="auto"/>
          <w:spacing w:val="21"/>
          <w:sz w:val="32"/>
          <w:szCs w:val="32"/>
        </w:rPr>
        <w:t xml:space="preserve">  </w:t>
      </w:r>
      <w:r>
        <w:rPr>
          <w:rFonts w:hint="eastAsia" w:ascii="Times New Roman" w:hAnsi="Times New Roman" w:eastAsia="黑体" w:cs="黑体"/>
          <w:color w:val="auto"/>
          <w:spacing w:val="21"/>
          <w:sz w:val="28"/>
          <w:szCs w:val="28"/>
        </w:rPr>
        <w:t xml:space="preserve"> 定：周  华</w:t>
      </w:r>
    </w:p>
    <w:p w14:paraId="3260E910">
      <w:pPr>
        <w:tabs>
          <w:tab w:val="left" w:pos="5040"/>
        </w:tabs>
        <w:kinsoku w:val="0"/>
        <w:autoSpaceDE w:val="0"/>
        <w:autoSpaceDN w:val="0"/>
        <w:adjustRightInd w:val="0"/>
        <w:snapToGrid w:val="0"/>
        <w:spacing w:before="159" w:line="240" w:lineRule="auto"/>
        <w:ind w:firstLine="644" w:firstLineChars="200"/>
        <w:jc w:val="both"/>
        <w:textAlignment w:val="baseline"/>
        <w:rPr>
          <w:rFonts w:eastAsia="黑体" w:cs="黑体"/>
          <w:color w:val="auto"/>
          <w:spacing w:val="21"/>
          <w:sz w:val="28"/>
          <w:szCs w:val="28"/>
        </w:rPr>
      </w:pPr>
      <w:r>
        <w:rPr>
          <w:rFonts w:hint="eastAsia" w:ascii="Times New Roman" w:hAnsi="Times New Roman" w:eastAsia="黑体" w:cs="黑体"/>
          <w:color w:val="auto"/>
          <w:spacing w:val="21"/>
          <w:sz w:val="28"/>
          <w:szCs w:val="28"/>
        </w:rPr>
        <w:t>审</w:t>
      </w:r>
      <w:r>
        <w:rPr>
          <w:rFonts w:hint="eastAsia" w:ascii="Times New Roman" w:hAnsi="Times New Roman" w:eastAsia="黑体" w:cs="黑体"/>
          <w:color w:val="auto"/>
          <w:spacing w:val="21"/>
          <w:sz w:val="32"/>
          <w:szCs w:val="32"/>
        </w:rPr>
        <w:t xml:space="preserve"> </w:t>
      </w:r>
      <w:r>
        <w:rPr>
          <w:rFonts w:hint="eastAsia" w:ascii="Times New Roman" w:hAnsi="Times New Roman" w:eastAsia="黑体" w:cs="黑体"/>
          <w:color w:val="auto"/>
          <w:spacing w:val="21"/>
          <w:sz w:val="28"/>
          <w:szCs w:val="28"/>
        </w:rPr>
        <w:t xml:space="preserve"> </w:t>
      </w:r>
      <w:r>
        <w:rPr>
          <w:rFonts w:hint="eastAsia" w:ascii="Times New Roman" w:hAnsi="Times New Roman" w:eastAsia="黑体" w:cs="黑体"/>
          <w:color w:val="auto"/>
          <w:spacing w:val="21"/>
          <w:sz w:val="32"/>
          <w:szCs w:val="32"/>
        </w:rPr>
        <w:t xml:space="preserve">  </w:t>
      </w:r>
      <w:r>
        <w:rPr>
          <w:rFonts w:hint="eastAsia" w:ascii="Times New Roman" w:hAnsi="Times New Roman" w:eastAsia="黑体" w:cs="黑体"/>
          <w:color w:val="auto"/>
          <w:spacing w:val="21"/>
          <w:sz w:val="28"/>
          <w:szCs w:val="28"/>
        </w:rPr>
        <w:t xml:space="preserve"> 核：浦  哲</w:t>
      </w:r>
    </w:p>
    <w:p w14:paraId="71FAE4AF">
      <w:pPr>
        <w:tabs>
          <w:tab w:val="left" w:pos="5040"/>
        </w:tabs>
        <w:kinsoku w:val="0"/>
        <w:autoSpaceDE w:val="0"/>
        <w:autoSpaceDN w:val="0"/>
        <w:adjustRightInd w:val="0"/>
        <w:snapToGrid w:val="0"/>
        <w:spacing w:before="159" w:line="240" w:lineRule="auto"/>
        <w:ind w:firstLine="644" w:firstLineChars="200"/>
        <w:jc w:val="both"/>
        <w:textAlignment w:val="baseline"/>
        <w:rPr>
          <w:rFonts w:eastAsia="黑体" w:cs="黑体"/>
          <w:color w:val="auto"/>
          <w:spacing w:val="21"/>
          <w:sz w:val="28"/>
          <w:szCs w:val="28"/>
        </w:rPr>
      </w:pPr>
      <w:r>
        <w:rPr>
          <w:rFonts w:hint="eastAsia" w:ascii="Times New Roman" w:hAnsi="Times New Roman" w:eastAsia="黑体" w:cs="黑体"/>
          <w:color w:val="auto"/>
          <w:spacing w:val="21"/>
          <w:sz w:val="28"/>
          <w:szCs w:val="28"/>
        </w:rPr>
        <w:t>项目总负责：区逸恩</w:t>
      </w:r>
    </w:p>
    <w:p w14:paraId="1FF356A8">
      <w:pPr>
        <w:tabs>
          <w:tab w:val="left" w:pos="5040"/>
        </w:tabs>
        <w:kinsoku w:val="0"/>
        <w:autoSpaceDE w:val="0"/>
        <w:autoSpaceDN w:val="0"/>
        <w:adjustRightInd w:val="0"/>
        <w:snapToGrid w:val="0"/>
        <w:spacing w:before="159" w:line="240" w:lineRule="auto"/>
        <w:ind w:firstLine="644" w:firstLineChars="200"/>
        <w:jc w:val="both"/>
        <w:textAlignment w:val="baseline"/>
        <w:rPr>
          <w:rFonts w:hint="eastAsia" w:eastAsia="黑体" w:cs="黑体"/>
          <w:color w:val="auto"/>
          <w:spacing w:val="21"/>
          <w:sz w:val="28"/>
          <w:szCs w:val="28"/>
          <w:lang w:eastAsia="zh-CN"/>
        </w:rPr>
      </w:pPr>
      <w:r>
        <w:rPr>
          <w:rFonts w:hint="eastAsia" w:ascii="Times New Roman" w:hAnsi="Times New Roman" w:eastAsia="黑体" w:cs="黑体"/>
          <w:color w:val="auto"/>
          <w:spacing w:val="21"/>
          <w:sz w:val="28"/>
          <w:szCs w:val="28"/>
        </w:rPr>
        <w:t xml:space="preserve">专业负责人：杜铭毅   </w:t>
      </w:r>
      <w:r>
        <w:rPr>
          <w:rFonts w:hint="eastAsia" w:ascii="Times New Roman" w:hAnsi="Times New Roman" w:eastAsia="黑体" w:cs="黑体"/>
          <w:color w:val="auto"/>
          <w:spacing w:val="21"/>
          <w:sz w:val="28"/>
          <w:szCs w:val="28"/>
          <w:lang w:val="en-US" w:eastAsia="zh-CN"/>
        </w:rPr>
        <w:t xml:space="preserve"> </w:t>
      </w:r>
    </w:p>
    <w:p w14:paraId="2B3C90EA">
      <w:pPr>
        <w:tabs>
          <w:tab w:val="left" w:pos="5040"/>
        </w:tabs>
        <w:kinsoku w:val="0"/>
        <w:autoSpaceDE w:val="0"/>
        <w:autoSpaceDN w:val="0"/>
        <w:adjustRightInd w:val="0"/>
        <w:snapToGrid w:val="0"/>
        <w:spacing w:before="159" w:line="240" w:lineRule="auto"/>
        <w:ind w:firstLine="644" w:firstLineChars="200"/>
        <w:jc w:val="both"/>
        <w:textAlignment w:val="baseline"/>
        <w:rPr>
          <w:rFonts w:eastAsia="黑体" w:cs="黑体"/>
          <w:color w:val="auto"/>
          <w:spacing w:val="21"/>
          <w:sz w:val="28"/>
          <w:szCs w:val="28"/>
        </w:rPr>
      </w:pPr>
      <w:r>
        <w:rPr>
          <w:rFonts w:hint="eastAsia" w:ascii="Times New Roman" w:hAnsi="Times New Roman" w:eastAsia="黑体" w:cs="黑体"/>
          <w:color w:val="auto"/>
          <w:spacing w:val="21"/>
          <w:sz w:val="28"/>
          <w:szCs w:val="28"/>
        </w:rPr>
        <w:t>校</w:t>
      </w:r>
      <w:r>
        <w:rPr>
          <w:rFonts w:hint="eastAsia" w:ascii="Times New Roman" w:hAnsi="Times New Roman" w:eastAsia="黑体" w:cs="黑体"/>
          <w:color w:val="auto"/>
          <w:spacing w:val="21"/>
          <w:sz w:val="32"/>
          <w:szCs w:val="32"/>
        </w:rPr>
        <w:t xml:space="preserve"> </w:t>
      </w:r>
      <w:r>
        <w:rPr>
          <w:rFonts w:hint="eastAsia" w:ascii="Times New Roman" w:hAnsi="Times New Roman" w:eastAsia="黑体" w:cs="黑体"/>
          <w:color w:val="auto"/>
          <w:spacing w:val="21"/>
          <w:sz w:val="28"/>
          <w:szCs w:val="28"/>
        </w:rPr>
        <w:t xml:space="preserve"> </w:t>
      </w:r>
      <w:r>
        <w:rPr>
          <w:rFonts w:hint="eastAsia" w:ascii="Times New Roman" w:hAnsi="Times New Roman" w:eastAsia="黑体" w:cs="黑体"/>
          <w:color w:val="auto"/>
          <w:spacing w:val="21"/>
          <w:sz w:val="32"/>
          <w:szCs w:val="32"/>
        </w:rPr>
        <w:t xml:space="preserve">  </w:t>
      </w:r>
      <w:r>
        <w:rPr>
          <w:rFonts w:hint="eastAsia" w:ascii="Times New Roman" w:hAnsi="Times New Roman" w:eastAsia="黑体" w:cs="黑体"/>
          <w:color w:val="auto"/>
          <w:spacing w:val="21"/>
          <w:sz w:val="28"/>
          <w:szCs w:val="28"/>
        </w:rPr>
        <w:t xml:space="preserve"> 对：徐晓凤</w:t>
      </w:r>
    </w:p>
    <w:p w14:paraId="2DB6126A">
      <w:pPr>
        <w:tabs>
          <w:tab w:val="left" w:pos="5040"/>
        </w:tabs>
        <w:kinsoku w:val="0"/>
        <w:autoSpaceDE w:val="0"/>
        <w:autoSpaceDN w:val="0"/>
        <w:adjustRightInd w:val="0"/>
        <w:snapToGrid w:val="0"/>
        <w:spacing w:before="159" w:line="240" w:lineRule="auto"/>
        <w:ind w:firstLine="644" w:firstLineChars="200"/>
        <w:jc w:val="both"/>
        <w:textAlignment w:val="baseline"/>
        <w:rPr>
          <w:rFonts w:ascii="Times New Roman" w:hAnsi="Times New Roman" w:eastAsia="黑体" w:cs="黑体"/>
          <w:color w:val="auto"/>
          <w:spacing w:val="21"/>
          <w:sz w:val="28"/>
          <w:szCs w:val="28"/>
        </w:rPr>
      </w:pPr>
      <w:r>
        <w:rPr>
          <w:rFonts w:hint="eastAsia" w:ascii="Times New Roman" w:hAnsi="Times New Roman" w:eastAsia="黑体" w:cs="黑体"/>
          <w:color w:val="auto"/>
          <w:spacing w:val="21"/>
          <w:sz w:val="28"/>
          <w:szCs w:val="28"/>
        </w:rPr>
        <w:t>编</w:t>
      </w:r>
      <w:r>
        <w:rPr>
          <w:rFonts w:hint="eastAsia" w:ascii="Times New Roman" w:hAnsi="Times New Roman" w:eastAsia="黑体" w:cs="黑体"/>
          <w:color w:val="auto"/>
          <w:spacing w:val="21"/>
          <w:sz w:val="13"/>
          <w:szCs w:val="13"/>
        </w:rPr>
        <w:t xml:space="preserve"> </w:t>
      </w:r>
      <w:r>
        <w:rPr>
          <w:rFonts w:hint="eastAsia" w:ascii="Times New Roman" w:hAnsi="Times New Roman" w:eastAsia="黑体" w:cs="黑体"/>
          <w:color w:val="auto"/>
          <w:spacing w:val="21"/>
          <w:sz w:val="28"/>
          <w:szCs w:val="28"/>
        </w:rPr>
        <w:t>制</w:t>
      </w:r>
      <w:r>
        <w:rPr>
          <w:rFonts w:hint="eastAsia" w:ascii="Times New Roman" w:hAnsi="Times New Roman" w:eastAsia="黑体" w:cs="黑体"/>
          <w:color w:val="auto"/>
          <w:spacing w:val="21"/>
          <w:sz w:val="13"/>
          <w:szCs w:val="13"/>
        </w:rPr>
        <w:t xml:space="preserve"> </w:t>
      </w:r>
      <w:r>
        <w:rPr>
          <w:rFonts w:hint="eastAsia" w:ascii="Times New Roman" w:hAnsi="Times New Roman" w:eastAsia="黑体" w:cs="黑体"/>
          <w:color w:val="auto"/>
          <w:spacing w:val="21"/>
          <w:sz w:val="28"/>
          <w:szCs w:val="28"/>
        </w:rPr>
        <w:t>人</w:t>
      </w:r>
      <w:r>
        <w:rPr>
          <w:rFonts w:hint="eastAsia" w:ascii="Times New Roman" w:hAnsi="Times New Roman" w:eastAsia="黑体" w:cs="黑体"/>
          <w:color w:val="auto"/>
          <w:spacing w:val="21"/>
          <w:sz w:val="13"/>
          <w:szCs w:val="13"/>
        </w:rPr>
        <w:t xml:space="preserve"> </w:t>
      </w:r>
      <w:r>
        <w:rPr>
          <w:rFonts w:hint="eastAsia" w:ascii="Times New Roman" w:hAnsi="Times New Roman" w:eastAsia="黑体" w:cs="黑体"/>
          <w:color w:val="auto"/>
          <w:spacing w:val="21"/>
          <w:sz w:val="28"/>
          <w:szCs w:val="28"/>
        </w:rPr>
        <w:t xml:space="preserve">员：梁茵儿   </w:t>
      </w:r>
    </w:p>
    <w:p w14:paraId="1992FDFD">
      <w:pPr>
        <w:tabs>
          <w:tab w:val="left" w:pos="5040"/>
        </w:tabs>
        <w:kinsoku w:val="0"/>
        <w:autoSpaceDE w:val="0"/>
        <w:autoSpaceDN w:val="0"/>
        <w:adjustRightInd w:val="0"/>
        <w:snapToGrid w:val="0"/>
        <w:spacing w:before="159" w:line="240" w:lineRule="auto"/>
        <w:ind w:firstLine="2576" w:firstLineChars="800"/>
        <w:jc w:val="both"/>
        <w:textAlignment w:val="baseline"/>
        <w:rPr>
          <w:rFonts w:hint="eastAsia" w:ascii="Times New Roman" w:hAnsi="Times New Roman" w:eastAsia="黑体" w:cs="黑体"/>
          <w:color w:val="auto"/>
          <w:spacing w:val="21"/>
          <w:sz w:val="28"/>
          <w:szCs w:val="28"/>
        </w:rPr>
      </w:pPr>
      <w:r>
        <w:rPr>
          <w:rFonts w:hint="eastAsia" w:ascii="Times New Roman" w:hAnsi="Times New Roman" w:eastAsia="黑体" w:cs="黑体"/>
          <w:color w:val="auto"/>
          <w:spacing w:val="21"/>
          <w:sz w:val="28"/>
          <w:szCs w:val="28"/>
        </w:rPr>
        <w:t xml:space="preserve">刘  欢   </w:t>
      </w:r>
    </w:p>
    <w:p w14:paraId="259BE94A">
      <w:pPr>
        <w:tabs>
          <w:tab w:val="left" w:pos="8190"/>
        </w:tabs>
        <w:kinsoku w:val="0"/>
        <w:autoSpaceDE w:val="0"/>
        <w:autoSpaceDN w:val="0"/>
        <w:adjustRightInd w:val="0"/>
        <w:snapToGrid w:val="0"/>
        <w:spacing w:before="159" w:line="240" w:lineRule="exact"/>
        <w:jc w:val="center"/>
        <w:textAlignment w:val="baseline"/>
        <w:rPr>
          <w:rFonts w:hint="eastAsia" w:ascii="黑体" w:hAnsi="黑体" w:eastAsia="黑体" w:cstheme="minorBidi"/>
          <w:b/>
          <w:bCs/>
          <w:color w:val="auto"/>
          <w:spacing w:val="0"/>
          <w:sz w:val="32"/>
          <w:szCs w:val="32"/>
        </w:rPr>
      </w:pPr>
    </w:p>
    <w:p w14:paraId="54D100DE">
      <w:pPr>
        <w:tabs>
          <w:tab w:val="left" w:pos="8190"/>
        </w:tabs>
        <w:kinsoku w:val="0"/>
        <w:autoSpaceDE w:val="0"/>
        <w:autoSpaceDN w:val="0"/>
        <w:adjustRightInd w:val="0"/>
        <w:snapToGrid w:val="0"/>
        <w:spacing w:before="159" w:line="240" w:lineRule="exact"/>
        <w:jc w:val="center"/>
        <w:textAlignment w:val="baseline"/>
        <w:rPr>
          <w:rFonts w:hint="eastAsia" w:ascii="Times New Roman" w:hAnsi="Times New Roman" w:eastAsia="黑体" w:cs="黑体"/>
          <w:b w:val="0"/>
          <w:bCs w:val="0"/>
          <w:color w:val="auto"/>
          <w:spacing w:val="0"/>
          <w:sz w:val="32"/>
          <w:szCs w:val="52"/>
          <w:highlight w:val="none"/>
        </w:rPr>
        <w:sectPr>
          <w:headerReference r:id="rId9" w:type="first"/>
          <w:footerReference r:id="rId10" w:type="default"/>
          <w:pgSz w:w="11905" w:h="16838"/>
          <w:pgMar w:top="1587" w:right="1587" w:bottom="1474" w:left="1587" w:header="851" w:footer="567" w:gutter="0"/>
          <w:cols w:space="0" w:num="1"/>
          <w:titlePg/>
          <w:docGrid w:linePitch="381" w:charSpace="0"/>
        </w:sectPr>
      </w:pPr>
      <w:r>
        <w:rPr>
          <w:rFonts w:hint="eastAsia" w:ascii="Times New Roman" w:hAnsi="Times New Roman" w:eastAsia="黑体" w:cs="黑体"/>
          <w:b w:val="0"/>
          <w:bCs w:val="0"/>
          <w:color w:val="auto"/>
          <w:spacing w:val="0"/>
          <w:sz w:val="32"/>
          <w:szCs w:val="52"/>
          <w:highlight w:val="none"/>
        </w:rPr>
        <w:t>2025年2月</w:t>
      </w:r>
    </w:p>
    <w:p w14:paraId="15A41DCF">
      <w:pPr>
        <w:pStyle w:val="2"/>
        <w:rPr>
          <w:rFonts w:hint="eastAsia"/>
          <w:color w:val="auto"/>
        </w:rPr>
        <w:sectPr>
          <w:pgSz w:w="11905" w:h="16838"/>
          <w:pgMar w:top="1587" w:right="1587" w:bottom="1474" w:left="1587" w:header="851" w:footer="567" w:gutter="0"/>
          <w:cols w:space="0" w:num="1"/>
          <w:titlePg/>
          <w:docGrid w:linePitch="381" w:charSpace="0"/>
        </w:sectPr>
      </w:pPr>
      <w:r>
        <w:rPr>
          <w:rFonts w:hint="eastAsia" w:ascii="黑体" w:hAnsi="黑体" w:eastAsia="黑体" w:cs="黑体"/>
          <w:snapToGrid w:val="0"/>
          <w:color w:val="auto"/>
          <w:spacing w:val="21"/>
          <w:kern w:val="0"/>
          <w:sz w:val="28"/>
          <w:szCs w:val="28"/>
          <w:highlight w:val="none"/>
        </w:rPr>
        <w:drawing>
          <wp:anchor distT="0" distB="0" distL="114300" distR="114300" simplePos="0" relativeHeight="251661312" behindDoc="1" locked="0" layoutInCell="1" allowOverlap="1">
            <wp:simplePos x="0" y="0"/>
            <wp:positionH relativeFrom="column">
              <wp:posOffset>-277495</wp:posOffset>
            </wp:positionH>
            <wp:positionV relativeFrom="paragraph">
              <wp:posOffset>2138680</wp:posOffset>
            </wp:positionV>
            <wp:extent cx="5976620" cy="4458335"/>
            <wp:effectExtent l="0" t="0" r="5080" b="18415"/>
            <wp:wrapTight wrapText="bothSides">
              <wp:wrapPolygon>
                <wp:start x="0" y="0"/>
                <wp:lineTo x="0" y="21505"/>
                <wp:lineTo x="21550" y="21505"/>
                <wp:lineTo x="21550"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rcRect l="3849" t="2390" r="3659"/>
                    <a:stretch>
                      <a:fillRect/>
                    </a:stretch>
                  </pic:blipFill>
                  <pic:spPr>
                    <a:xfrm>
                      <a:off x="0" y="0"/>
                      <a:ext cx="5976620" cy="4458335"/>
                    </a:xfrm>
                    <a:prstGeom prst="rect">
                      <a:avLst/>
                    </a:prstGeom>
                  </pic:spPr>
                </pic:pic>
              </a:graphicData>
            </a:graphic>
          </wp:anchor>
        </w:drawing>
      </w:r>
    </w:p>
    <w:p w14:paraId="1DA22CD4">
      <w:pPr>
        <w:keepNext w:val="0"/>
        <w:keepLines w:val="0"/>
        <w:pageBreakBefore w:val="0"/>
        <w:widowControl/>
        <w:wordWrap/>
        <w:overflowPunct w:val="0"/>
        <w:topLinePunct w:val="0"/>
        <w:bidi w:val="0"/>
        <w:spacing w:before="0" w:after="0" w:line="240" w:lineRule="auto"/>
        <w:ind w:left="0" w:leftChars="0" w:right="0" w:rightChars="0" w:firstLine="0" w:firstLineChars="0"/>
        <w:jc w:val="both"/>
        <w:rPr>
          <w:rFonts w:ascii="仿宋_GB2312" w:hAnsi="仿宋_GB2312" w:eastAsia="仿宋_GB2312" w:cs="仿宋_GB2312"/>
          <w:color w:val="auto"/>
          <w:spacing w:val="0"/>
          <w:kern w:val="2"/>
          <w:sz w:val="21"/>
          <w:szCs w:val="21"/>
          <w:highlight w:val="none"/>
          <w:lang w:val="en-US" w:eastAsia="zh-CN" w:bidi="ar-SA"/>
        </w:rPr>
      </w:pPr>
    </w:p>
    <w:p w14:paraId="59325977">
      <w:pPr>
        <w:keepNext w:val="0"/>
        <w:keepLines w:val="0"/>
        <w:pageBreakBefore w:val="0"/>
        <w:widowControl/>
        <w:wordWrap/>
        <w:overflowPunct w:val="0"/>
        <w:topLinePunct w:val="0"/>
        <w:bidi w:val="0"/>
        <w:spacing w:before="0" w:after="0" w:line="240" w:lineRule="auto"/>
        <w:ind w:left="0" w:leftChars="0" w:right="0" w:rightChars="0" w:firstLine="0" w:firstLineChars="0"/>
        <w:jc w:val="both"/>
        <w:rPr>
          <w:rFonts w:ascii="仿宋_GB2312" w:hAnsi="仿宋_GB2312" w:eastAsia="仿宋_GB2312" w:cs="仿宋_GB2312"/>
          <w:color w:val="auto"/>
          <w:spacing w:val="0"/>
          <w:kern w:val="2"/>
          <w:sz w:val="21"/>
          <w:szCs w:val="21"/>
          <w:highlight w:val="none"/>
          <w:lang w:val="en-US" w:eastAsia="zh-CN" w:bidi="ar-SA"/>
        </w:rPr>
      </w:pPr>
    </w:p>
    <w:sdt>
      <w:sdtPr>
        <w:rPr>
          <w:rFonts w:ascii="仿宋_GB2312" w:hAnsi="仿宋_GB2312" w:eastAsia="仿宋_GB2312" w:cs="仿宋_GB2312"/>
          <w:color w:val="auto"/>
          <w:kern w:val="2"/>
          <w:sz w:val="21"/>
          <w:szCs w:val="21"/>
          <w:highlight w:val="none"/>
          <w:lang w:val="en-US" w:eastAsia="zh-CN" w:bidi="ar-SA"/>
        </w:rPr>
        <w:id w:val="147469902"/>
        <w15:color w:val="DBDBDB"/>
        <w:docPartObj>
          <w:docPartGallery w:val="Table of Contents"/>
          <w:docPartUnique/>
        </w:docPartObj>
      </w:sdtPr>
      <w:sdtEndPr>
        <w:rPr>
          <w:rFonts w:ascii="仿宋_GB2312" w:hAnsi="仿宋_GB2312" w:eastAsia="仿宋_GB2312" w:cs="仿宋_GB2312"/>
          <w:b/>
          <w:color w:val="auto"/>
          <w:kern w:val="2"/>
          <w:sz w:val="21"/>
          <w:szCs w:val="21"/>
          <w:highlight w:val="none"/>
          <w:lang w:val="en-US" w:eastAsia="zh-CN" w:bidi="ar-SA"/>
        </w:rPr>
      </w:sdtEndPr>
      <w:sdtContent>
        <w:p w14:paraId="7CD59838">
          <w:pP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b/>
              <w:bCs/>
              <w:color w:val="auto"/>
              <w:spacing w:val="0"/>
              <w:sz w:val="36"/>
              <w:szCs w:val="36"/>
              <w:highlight w:val="none"/>
            </w:rPr>
          </w:pPr>
          <w:r>
            <w:rPr>
              <w:rFonts w:hint="eastAsia" w:ascii="方正仿宋_GB2312" w:hAnsi="方正仿宋_GB2312" w:eastAsia="方正仿宋_GB2312" w:cs="方正仿宋_GB2312"/>
              <w:b/>
              <w:bCs/>
              <w:color w:val="auto"/>
              <w:spacing w:val="0"/>
              <w:sz w:val="36"/>
              <w:szCs w:val="36"/>
              <w:highlight w:val="none"/>
            </w:rPr>
            <w:t>目</w:t>
          </w:r>
          <w:r>
            <w:rPr>
              <w:rFonts w:hint="eastAsia" w:ascii="方正仿宋_GB2312" w:hAnsi="方正仿宋_GB2312" w:eastAsia="方正仿宋_GB2312" w:cs="方正仿宋_GB2312"/>
              <w:b/>
              <w:bCs/>
              <w:color w:val="auto"/>
              <w:spacing w:val="0"/>
              <w:sz w:val="36"/>
              <w:szCs w:val="36"/>
              <w:highlight w:val="none"/>
              <w:lang w:val="en-US" w:eastAsia="zh-CN"/>
            </w:rPr>
            <w:t xml:space="preserve"> </w:t>
          </w:r>
          <w:r>
            <w:rPr>
              <w:rFonts w:hint="eastAsia" w:ascii="方正仿宋_GB2312" w:hAnsi="方正仿宋_GB2312" w:eastAsia="方正仿宋_GB2312" w:cs="方正仿宋_GB2312"/>
              <w:b/>
              <w:bCs/>
              <w:color w:val="auto"/>
              <w:spacing w:val="0"/>
              <w:sz w:val="36"/>
              <w:szCs w:val="36"/>
              <w:highlight w:val="none"/>
            </w:rPr>
            <w:t>录</w:t>
          </w:r>
        </w:p>
        <w:p w14:paraId="08F15795">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TOC \o "1-2" \h \u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_Toc22883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一、 </w:t>
          </w:r>
          <w:r>
            <w:rPr>
              <w:rFonts w:hint="eastAsia" w:ascii="仿宋_GB2312" w:hAnsi="仿宋_GB2312" w:eastAsia="仿宋_GB2312"/>
              <w:b/>
              <w:bCs/>
              <w:color w:val="auto"/>
              <w:spacing w:val="0"/>
              <w:sz w:val="32"/>
              <w:highlight w:val="none"/>
              <w:lang w:val="en-US" w:eastAsia="zh-CN"/>
            </w:rPr>
            <w:t>规划总则</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_Toc22883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1</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433D47C3">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_Toc20334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eastAsia" w:ascii="仿宋_GB2312" w:hAnsi="仿宋_GB2312" w:eastAsia="仿宋_GB2312" w:cs="楷体_GB2312"/>
              <w:bCs w:val="0"/>
              <w:color w:val="auto"/>
              <w:spacing w:val="0"/>
              <w:kern w:val="2"/>
              <w:sz w:val="32"/>
              <w:szCs w:val="32"/>
              <w:highlight w:val="none"/>
              <w:lang w:val="en-US" w:eastAsia="zh-CN" w:bidi="ar-SA"/>
            </w:rPr>
            <w:t>规划背景</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_Toc20334 \h </w:instrText>
          </w:r>
          <w:r>
            <w:rPr>
              <w:rFonts w:ascii="仿宋_GB2312" w:hAnsi="仿宋_GB2312" w:eastAsia="仿宋_GB2312"/>
              <w:color w:val="auto"/>
              <w:sz w:val="32"/>
            </w:rPr>
            <w:fldChar w:fldCharType="separate"/>
          </w:r>
          <w:r>
            <w:rPr>
              <w:rFonts w:ascii="仿宋_GB2312" w:hAnsi="仿宋_GB2312" w:eastAsia="仿宋_GB2312"/>
              <w:color w:val="auto"/>
              <w:sz w:val="32"/>
            </w:rPr>
            <w:t>1</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416CDA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_Toc24117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bCs w:val="0"/>
              <w:color w:val="auto"/>
              <w:spacing w:val="0"/>
              <w:sz w:val="32"/>
              <w:szCs w:val="32"/>
              <w:lang w:val="en-US" w:eastAsia="zh-CN"/>
            </w:rPr>
            <w:t xml:space="preserve">（二） </w:t>
          </w:r>
          <w:r>
            <w:rPr>
              <w:rFonts w:hint="eastAsia" w:ascii="仿宋_GB2312" w:hAnsi="仿宋_GB2312" w:eastAsia="仿宋_GB2312"/>
              <w:bCs w:val="0"/>
              <w:color w:val="auto"/>
              <w:spacing w:val="0"/>
              <w:sz w:val="32"/>
              <w:highlight w:val="none"/>
              <w:lang w:val="en-US" w:eastAsia="zh-CN"/>
            </w:rPr>
            <w:t>规划依据</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_Toc24117 \h </w:instrText>
          </w:r>
          <w:r>
            <w:rPr>
              <w:rFonts w:ascii="仿宋_GB2312" w:hAnsi="仿宋_GB2312" w:eastAsia="仿宋_GB2312"/>
              <w:color w:val="auto"/>
              <w:sz w:val="32"/>
            </w:rPr>
            <w:fldChar w:fldCharType="separate"/>
          </w:r>
          <w:r>
            <w:rPr>
              <w:rFonts w:ascii="仿宋_GB2312" w:hAnsi="仿宋_GB2312" w:eastAsia="仿宋_GB2312"/>
              <w:color w:val="auto"/>
              <w:sz w:val="32"/>
            </w:rPr>
            <w:t>1</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67FE1F1">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_Toc18519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规划范围</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_Toc18519 \h </w:instrText>
          </w:r>
          <w:r>
            <w:rPr>
              <w:rFonts w:ascii="仿宋_GB2312" w:hAnsi="仿宋_GB2312" w:eastAsia="仿宋_GB2312"/>
              <w:color w:val="auto"/>
              <w:sz w:val="32"/>
            </w:rPr>
            <w:fldChar w:fldCharType="separate"/>
          </w:r>
          <w:r>
            <w:rPr>
              <w:rFonts w:ascii="仿宋_GB2312" w:hAnsi="仿宋_GB2312" w:eastAsia="仿宋_GB2312"/>
              <w:color w:val="auto"/>
              <w:sz w:val="32"/>
            </w:rPr>
            <w:t>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91B81C9">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_Toc19200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eastAsia" w:ascii="仿宋_GB2312" w:hAnsi="仿宋_GB2312" w:eastAsia="仿宋_GB2312" w:cs="楷体_GB2312"/>
              <w:bCs w:val="0"/>
              <w:color w:val="auto"/>
              <w:spacing w:val="0"/>
              <w:kern w:val="2"/>
              <w:sz w:val="32"/>
              <w:szCs w:val="32"/>
              <w:highlight w:val="none"/>
              <w:lang w:val="en-US" w:eastAsia="zh-CN" w:bidi="ar-SA"/>
            </w:rPr>
            <w:t>规划期限</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_Toc19200 \h </w:instrText>
          </w:r>
          <w:r>
            <w:rPr>
              <w:rFonts w:ascii="仿宋_GB2312" w:hAnsi="仿宋_GB2312" w:eastAsia="仿宋_GB2312"/>
              <w:color w:val="auto"/>
              <w:sz w:val="32"/>
            </w:rPr>
            <w:fldChar w:fldCharType="separate"/>
          </w:r>
          <w:r>
            <w:rPr>
              <w:rFonts w:ascii="仿宋_GB2312" w:hAnsi="仿宋_GB2312" w:eastAsia="仿宋_GB2312"/>
              <w:color w:val="auto"/>
              <w:sz w:val="32"/>
            </w:rPr>
            <w:t>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523941E">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_Toc12941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eastAsia" w:ascii="仿宋_GB2312" w:hAnsi="仿宋_GB2312" w:eastAsia="仿宋_GB2312" w:cs="楷体_GB2312"/>
              <w:bCs w:val="0"/>
              <w:color w:val="auto"/>
              <w:spacing w:val="0"/>
              <w:kern w:val="2"/>
              <w:sz w:val="32"/>
              <w:szCs w:val="32"/>
              <w:highlight w:val="none"/>
              <w:lang w:val="en-US" w:eastAsia="zh-CN" w:bidi="ar-SA"/>
            </w:rPr>
            <w:t>建筑垃圾的定义</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_Toc12941 \h </w:instrText>
          </w:r>
          <w:r>
            <w:rPr>
              <w:rFonts w:ascii="仿宋_GB2312" w:hAnsi="仿宋_GB2312" w:eastAsia="仿宋_GB2312"/>
              <w:color w:val="auto"/>
              <w:sz w:val="32"/>
            </w:rPr>
            <w:fldChar w:fldCharType="separate"/>
          </w:r>
          <w:r>
            <w:rPr>
              <w:rFonts w:ascii="仿宋_GB2312" w:hAnsi="仿宋_GB2312" w:eastAsia="仿宋_GB2312"/>
              <w:color w:val="auto"/>
              <w:sz w:val="32"/>
            </w:rPr>
            <w:t>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4EE53CB">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_Toc21819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二、 </w:t>
          </w:r>
          <w:r>
            <w:rPr>
              <w:rFonts w:hint="eastAsia" w:ascii="仿宋_GB2312" w:hAnsi="仿宋_GB2312" w:eastAsia="仿宋_GB2312"/>
              <w:b/>
              <w:bCs/>
              <w:color w:val="auto"/>
              <w:spacing w:val="0"/>
              <w:sz w:val="32"/>
              <w:highlight w:val="none"/>
              <w:lang w:val="en-US" w:eastAsia="zh-CN"/>
            </w:rPr>
            <w:t>建筑垃圾产生处理现状及趋势分析</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_Toc21819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5</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6FC179CF">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_Toc10596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bCs w:val="0"/>
              <w:color w:val="auto"/>
              <w:spacing w:val="0"/>
              <w:sz w:val="32"/>
              <w:szCs w:val="32"/>
              <w:lang w:val="en-US" w:eastAsia="zh-CN"/>
            </w:rPr>
            <w:t xml:space="preserve">（一） </w:t>
          </w:r>
          <w:r>
            <w:rPr>
              <w:rFonts w:hint="eastAsia" w:ascii="仿宋_GB2312" w:hAnsi="仿宋_GB2312" w:eastAsia="仿宋_GB2312"/>
              <w:bCs w:val="0"/>
              <w:color w:val="auto"/>
              <w:spacing w:val="0"/>
              <w:sz w:val="32"/>
              <w:highlight w:val="none"/>
              <w:lang w:val="en-US" w:eastAsia="zh-CN"/>
            </w:rPr>
            <w:t>现状情况</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_Toc10596 \h </w:instrText>
          </w:r>
          <w:r>
            <w:rPr>
              <w:rFonts w:ascii="仿宋_GB2312" w:hAnsi="仿宋_GB2312" w:eastAsia="仿宋_GB2312"/>
              <w:color w:val="auto"/>
              <w:sz w:val="32"/>
            </w:rPr>
            <w:fldChar w:fldCharType="separate"/>
          </w:r>
          <w:r>
            <w:rPr>
              <w:rFonts w:ascii="仿宋_GB2312" w:hAnsi="仿宋_GB2312" w:eastAsia="仿宋_GB2312"/>
              <w:color w:val="auto"/>
              <w:sz w:val="32"/>
            </w:rPr>
            <w:t>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7B631F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_Toc24510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eastAsia" w:ascii="仿宋_GB2312" w:hAnsi="仿宋_GB2312" w:eastAsia="仿宋_GB2312" w:cs="楷体_GB2312"/>
              <w:bCs w:val="0"/>
              <w:color w:val="auto"/>
              <w:spacing w:val="0"/>
              <w:kern w:val="2"/>
              <w:sz w:val="32"/>
              <w:szCs w:val="32"/>
              <w:highlight w:val="none"/>
              <w:lang w:val="en-US" w:eastAsia="zh-CN" w:bidi="ar-SA"/>
            </w:rPr>
            <w:t>建筑垃圾产生量预测</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_Toc24510 \h </w:instrText>
          </w:r>
          <w:r>
            <w:rPr>
              <w:rFonts w:ascii="仿宋_GB2312" w:hAnsi="仿宋_GB2312" w:eastAsia="仿宋_GB2312"/>
              <w:color w:val="auto"/>
              <w:sz w:val="32"/>
            </w:rPr>
            <w:fldChar w:fldCharType="separate"/>
          </w:r>
          <w:r>
            <w:rPr>
              <w:rFonts w:ascii="仿宋_GB2312" w:hAnsi="仿宋_GB2312" w:eastAsia="仿宋_GB2312"/>
              <w:color w:val="auto"/>
              <w:sz w:val="32"/>
            </w:rPr>
            <w:t>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1DC0C284">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_Toc11740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主要存在问题</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_Toc11740 \h </w:instrText>
          </w:r>
          <w:r>
            <w:rPr>
              <w:rFonts w:ascii="仿宋_GB2312" w:hAnsi="仿宋_GB2312" w:eastAsia="仿宋_GB2312"/>
              <w:color w:val="auto"/>
              <w:sz w:val="32"/>
            </w:rPr>
            <w:fldChar w:fldCharType="separate"/>
          </w:r>
          <w:r>
            <w:rPr>
              <w:rFonts w:ascii="仿宋_GB2312" w:hAnsi="仿宋_GB2312" w:eastAsia="仿宋_GB2312"/>
              <w:color w:val="auto"/>
              <w:sz w:val="32"/>
            </w:rPr>
            <w:t>9</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69564080">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_Toc4846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三、 </w:t>
          </w:r>
          <w:r>
            <w:rPr>
              <w:rFonts w:hint="eastAsia" w:ascii="仿宋_GB2312" w:hAnsi="仿宋_GB2312" w:eastAsia="仿宋_GB2312"/>
              <w:b/>
              <w:bCs/>
              <w:color w:val="auto"/>
              <w:spacing w:val="0"/>
              <w:sz w:val="32"/>
              <w:highlight w:val="none"/>
              <w:lang w:val="en-US" w:eastAsia="zh-CN"/>
            </w:rPr>
            <w:t>总体思路</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_Toc4846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9</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3C40EE56">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_Toc19620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eastAsia" w:ascii="仿宋_GB2312" w:hAnsi="仿宋_GB2312" w:eastAsia="仿宋_GB2312" w:cs="楷体_GB2312"/>
              <w:bCs w:val="0"/>
              <w:color w:val="auto"/>
              <w:spacing w:val="0"/>
              <w:kern w:val="2"/>
              <w:sz w:val="32"/>
              <w:szCs w:val="32"/>
              <w:highlight w:val="none"/>
              <w:lang w:val="en-US" w:eastAsia="zh-CN" w:bidi="ar-SA"/>
            </w:rPr>
            <w:t>指导思想</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_Toc19620 \h </w:instrText>
          </w:r>
          <w:r>
            <w:rPr>
              <w:rFonts w:ascii="仿宋_GB2312" w:hAnsi="仿宋_GB2312" w:eastAsia="仿宋_GB2312"/>
              <w:color w:val="auto"/>
              <w:sz w:val="32"/>
            </w:rPr>
            <w:fldChar w:fldCharType="separate"/>
          </w:r>
          <w:r>
            <w:rPr>
              <w:rFonts w:ascii="仿宋_GB2312" w:hAnsi="仿宋_GB2312" w:eastAsia="仿宋_GB2312"/>
              <w:color w:val="auto"/>
              <w:sz w:val="32"/>
            </w:rPr>
            <w:t>12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78648CA">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_Toc7984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eastAsia" w:ascii="仿宋_GB2312" w:hAnsi="仿宋_GB2312" w:eastAsia="仿宋_GB2312" w:cs="楷体_GB2312"/>
              <w:bCs w:val="0"/>
              <w:color w:val="auto"/>
              <w:spacing w:val="0"/>
              <w:kern w:val="2"/>
              <w:sz w:val="32"/>
              <w:szCs w:val="32"/>
              <w:highlight w:val="none"/>
              <w:lang w:val="en-US" w:eastAsia="zh-CN" w:bidi="ar-SA"/>
            </w:rPr>
            <w:t>思路与原则</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_Toc7984 \h </w:instrText>
          </w:r>
          <w:r>
            <w:rPr>
              <w:rFonts w:ascii="仿宋_GB2312" w:hAnsi="仿宋_GB2312" w:eastAsia="仿宋_GB2312"/>
              <w:color w:val="auto"/>
              <w:sz w:val="32"/>
            </w:rPr>
            <w:fldChar w:fldCharType="separate"/>
          </w:r>
          <w:r>
            <w:rPr>
              <w:rFonts w:ascii="仿宋_GB2312" w:hAnsi="仿宋_GB2312" w:eastAsia="仿宋_GB2312"/>
              <w:color w:val="auto"/>
              <w:sz w:val="32"/>
            </w:rPr>
            <w:t>12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A9007B5">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_Toc14645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规划目标</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_Toc14645 \h </w:instrText>
          </w:r>
          <w:r>
            <w:rPr>
              <w:rFonts w:ascii="仿宋_GB2312" w:hAnsi="仿宋_GB2312" w:eastAsia="仿宋_GB2312"/>
              <w:color w:val="auto"/>
              <w:sz w:val="32"/>
            </w:rPr>
            <w:fldChar w:fldCharType="separate"/>
          </w:r>
          <w:r>
            <w:rPr>
              <w:rFonts w:ascii="仿宋_GB2312" w:hAnsi="仿宋_GB2312" w:eastAsia="仿宋_GB2312"/>
              <w:color w:val="auto"/>
              <w:sz w:val="32"/>
            </w:rPr>
            <w:t>13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1B92E711">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_Toc17430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四、 </w:t>
          </w:r>
          <w:r>
            <w:rPr>
              <w:rFonts w:hint="eastAsia" w:ascii="仿宋_GB2312" w:hAnsi="仿宋_GB2312" w:eastAsia="仿宋_GB2312" w:cs="黑体"/>
              <w:b/>
              <w:bCs/>
              <w:color w:val="auto"/>
              <w:spacing w:val="0"/>
              <w:sz w:val="32"/>
              <w:szCs w:val="32"/>
              <w:highlight w:val="none"/>
              <w:lang w:val="en-US" w:eastAsia="zh-CN"/>
            </w:rPr>
            <w:t>全流程污染防治监督管理规划</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_Toc17430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19</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5FF3A79A">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_Toc11988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eastAsia" w:ascii="仿宋_GB2312" w:hAnsi="仿宋_GB2312" w:eastAsia="仿宋_GB2312" w:cs="楷体_GB2312"/>
              <w:bCs w:val="0"/>
              <w:color w:val="auto"/>
              <w:spacing w:val="0"/>
              <w:kern w:val="2"/>
              <w:sz w:val="32"/>
              <w:szCs w:val="32"/>
              <w:highlight w:val="none"/>
              <w:lang w:val="en-US" w:eastAsia="zh-CN" w:bidi="ar-SA"/>
            </w:rPr>
            <w:t>管理制度机制建设</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_Toc11988 \h </w:instrText>
          </w:r>
          <w:r>
            <w:rPr>
              <w:rFonts w:ascii="仿宋_GB2312" w:hAnsi="仿宋_GB2312" w:eastAsia="仿宋_GB2312"/>
              <w:color w:val="auto"/>
              <w:sz w:val="32"/>
            </w:rPr>
            <w:fldChar w:fldCharType="separate"/>
          </w:r>
          <w:r>
            <w:rPr>
              <w:rFonts w:ascii="仿宋_GB2312" w:hAnsi="仿宋_GB2312" w:eastAsia="仿宋_GB2312"/>
              <w:color w:val="auto"/>
              <w:sz w:val="32"/>
            </w:rPr>
            <w:t>19</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686D8316">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_Toc18920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eastAsia" w:ascii="仿宋_GB2312" w:hAnsi="仿宋_GB2312" w:eastAsia="仿宋_GB2312" w:cs="楷体_GB2312"/>
              <w:bCs w:val="0"/>
              <w:color w:val="auto"/>
              <w:spacing w:val="0"/>
              <w:kern w:val="2"/>
              <w:sz w:val="32"/>
              <w:szCs w:val="32"/>
              <w:highlight w:val="none"/>
              <w:lang w:val="en-US" w:eastAsia="zh-CN" w:bidi="ar-SA"/>
            </w:rPr>
            <w:t>部门职责分工</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_Toc18920 \h </w:instrText>
          </w:r>
          <w:r>
            <w:rPr>
              <w:rFonts w:ascii="仿宋_GB2312" w:hAnsi="仿宋_GB2312" w:eastAsia="仿宋_GB2312"/>
              <w:color w:val="auto"/>
              <w:sz w:val="32"/>
            </w:rPr>
            <w:fldChar w:fldCharType="separate"/>
          </w:r>
          <w:r>
            <w:rPr>
              <w:rFonts w:ascii="仿宋_GB2312" w:hAnsi="仿宋_GB2312" w:eastAsia="仿宋_GB2312"/>
              <w:color w:val="auto"/>
              <w:sz w:val="32"/>
            </w:rPr>
            <w:t>19</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1163EC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_Toc11891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排放核准及污染防治措施要求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_Toc11891 \h </w:instrText>
          </w:r>
          <w:r>
            <w:rPr>
              <w:rFonts w:ascii="仿宋_GB2312" w:hAnsi="仿宋_GB2312" w:eastAsia="仿宋_GB2312"/>
              <w:color w:val="auto"/>
              <w:sz w:val="32"/>
            </w:rPr>
            <w:fldChar w:fldCharType="separate"/>
          </w:r>
          <w:r>
            <w:rPr>
              <w:rFonts w:ascii="仿宋_GB2312" w:hAnsi="仿宋_GB2312" w:eastAsia="仿宋_GB2312"/>
              <w:color w:val="auto"/>
              <w:sz w:val="32"/>
            </w:rPr>
            <w:t>22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1E5963B">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_Toc18544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eastAsia" w:ascii="仿宋_GB2312" w:hAnsi="仿宋_GB2312" w:eastAsia="仿宋_GB2312" w:cs="楷体_GB2312"/>
              <w:bCs w:val="0"/>
              <w:color w:val="auto"/>
              <w:spacing w:val="0"/>
              <w:kern w:val="2"/>
              <w:sz w:val="32"/>
              <w:szCs w:val="32"/>
              <w:highlight w:val="none"/>
              <w:lang w:val="en-US" w:eastAsia="zh-CN" w:bidi="ar-SA"/>
            </w:rPr>
            <w:t>陆路运输核准及污染防治措施要求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_Toc18544 \h </w:instrText>
          </w:r>
          <w:r>
            <w:rPr>
              <w:rFonts w:ascii="仿宋_GB2312" w:hAnsi="仿宋_GB2312" w:eastAsia="仿宋_GB2312"/>
              <w:color w:val="auto"/>
              <w:sz w:val="32"/>
            </w:rPr>
            <w:fldChar w:fldCharType="separate"/>
          </w:r>
          <w:r>
            <w:rPr>
              <w:rFonts w:ascii="仿宋_GB2312" w:hAnsi="仿宋_GB2312" w:eastAsia="仿宋_GB2312"/>
              <w:color w:val="auto"/>
              <w:sz w:val="32"/>
            </w:rPr>
            <w:t>24</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35C21A1">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_Toc10442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eastAsia" w:ascii="仿宋_GB2312" w:hAnsi="仿宋_GB2312" w:eastAsia="仿宋_GB2312" w:cs="楷体_GB2312"/>
              <w:bCs w:val="0"/>
              <w:color w:val="auto"/>
              <w:spacing w:val="0"/>
              <w:kern w:val="2"/>
              <w:sz w:val="32"/>
              <w:szCs w:val="32"/>
              <w:highlight w:val="none"/>
              <w:lang w:val="en-US" w:eastAsia="zh-CN" w:bidi="ar-SA"/>
            </w:rPr>
            <w:t>水路运输核准及污染防治措施要求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_Toc10442 \h </w:instrText>
          </w:r>
          <w:r>
            <w:rPr>
              <w:rFonts w:ascii="仿宋_GB2312" w:hAnsi="仿宋_GB2312" w:eastAsia="仿宋_GB2312"/>
              <w:color w:val="auto"/>
              <w:sz w:val="32"/>
            </w:rPr>
            <w:fldChar w:fldCharType="separate"/>
          </w:r>
          <w:r>
            <w:rPr>
              <w:rFonts w:ascii="仿宋_GB2312" w:hAnsi="仿宋_GB2312" w:eastAsia="仿宋_GB2312"/>
              <w:color w:val="auto"/>
              <w:sz w:val="32"/>
            </w:rPr>
            <w:t>25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C0B6F99">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_Toc11577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（六） </w:t>
          </w:r>
          <w:r>
            <w:rPr>
              <w:rFonts w:hint="eastAsia" w:ascii="仿宋_GB2312" w:hAnsi="仿宋_GB2312" w:eastAsia="仿宋_GB2312" w:cs="楷体_GB2312"/>
              <w:bCs w:val="0"/>
              <w:color w:val="auto"/>
              <w:spacing w:val="0"/>
              <w:kern w:val="2"/>
              <w:sz w:val="32"/>
              <w:szCs w:val="32"/>
              <w:highlight w:val="none"/>
              <w:lang w:val="en-US" w:eastAsia="zh-CN" w:bidi="ar-SA"/>
            </w:rPr>
            <w:t>综合利用和消纳核准及污染防治措施要求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_Toc11577 \h </w:instrText>
          </w:r>
          <w:r>
            <w:rPr>
              <w:rFonts w:ascii="仿宋_GB2312" w:hAnsi="仿宋_GB2312" w:eastAsia="仿宋_GB2312"/>
              <w:color w:val="auto"/>
              <w:sz w:val="32"/>
            </w:rPr>
            <w:fldChar w:fldCharType="separate"/>
          </w:r>
          <w:r>
            <w:rPr>
              <w:rFonts w:ascii="仿宋_GB2312" w:hAnsi="仿宋_GB2312" w:eastAsia="仿宋_GB2312"/>
              <w:color w:val="auto"/>
              <w:sz w:val="32"/>
            </w:rPr>
            <w:t>26</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BDC2584">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_Toc24103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（七） </w:t>
          </w:r>
          <w:r>
            <w:rPr>
              <w:rFonts w:hint="eastAsia" w:ascii="仿宋_GB2312" w:hAnsi="仿宋_GB2312" w:eastAsia="仿宋_GB2312" w:cs="楷体_GB2312"/>
              <w:bCs w:val="0"/>
              <w:color w:val="auto"/>
              <w:spacing w:val="0"/>
              <w:kern w:val="2"/>
              <w:sz w:val="32"/>
              <w:szCs w:val="32"/>
              <w:highlight w:val="none"/>
              <w:lang w:val="en-US" w:eastAsia="zh-CN" w:bidi="ar-SA"/>
            </w:rPr>
            <w:t>联单管理要求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_Toc24103 \h </w:instrText>
          </w:r>
          <w:r>
            <w:rPr>
              <w:rFonts w:ascii="仿宋_GB2312" w:hAnsi="仿宋_GB2312" w:eastAsia="仿宋_GB2312"/>
              <w:color w:val="auto"/>
              <w:sz w:val="32"/>
            </w:rPr>
            <w:fldChar w:fldCharType="separate"/>
          </w:r>
          <w:r>
            <w:rPr>
              <w:rFonts w:ascii="仿宋_GB2312" w:hAnsi="仿宋_GB2312" w:eastAsia="仿宋_GB2312"/>
              <w:color w:val="auto"/>
              <w:sz w:val="32"/>
            </w:rPr>
            <w:t>29</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1883210">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_Toc17561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（八） </w:t>
          </w:r>
          <w:r>
            <w:rPr>
              <w:rFonts w:hint="eastAsia" w:ascii="仿宋_GB2312" w:hAnsi="仿宋_GB2312" w:eastAsia="仿宋_GB2312" w:cs="楷体_GB2312"/>
              <w:bCs w:val="0"/>
              <w:color w:val="auto"/>
              <w:spacing w:val="0"/>
              <w:kern w:val="2"/>
              <w:sz w:val="32"/>
              <w:szCs w:val="32"/>
              <w:highlight w:val="none"/>
              <w:lang w:val="en-US" w:eastAsia="zh-CN" w:bidi="ar-SA"/>
            </w:rPr>
            <w:t>安全风险防控工作要求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_Toc17561 \h </w:instrText>
          </w:r>
          <w:r>
            <w:rPr>
              <w:rFonts w:ascii="仿宋_GB2312" w:hAnsi="仿宋_GB2312" w:eastAsia="仿宋_GB2312"/>
              <w:color w:val="auto"/>
              <w:sz w:val="32"/>
            </w:rPr>
            <w:fldChar w:fldCharType="separate"/>
          </w:r>
          <w:r>
            <w:rPr>
              <w:rFonts w:ascii="仿宋_GB2312" w:hAnsi="仿宋_GB2312" w:eastAsia="仿宋_GB2312"/>
              <w:color w:val="auto"/>
              <w:sz w:val="32"/>
            </w:rPr>
            <w:t>29</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8399187">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_Toc18880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（九） </w:t>
          </w:r>
          <w:r>
            <w:rPr>
              <w:rFonts w:hint="eastAsia" w:ascii="仿宋_GB2312" w:hAnsi="仿宋_GB2312" w:eastAsia="仿宋_GB2312" w:cs="楷体_GB2312"/>
              <w:bCs w:val="0"/>
              <w:color w:val="auto"/>
              <w:spacing w:val="0"/>
              <w:kern w:val="2"/>
              <w:sz w:val="32"/>
              <w:szCs w:val="32"/>
              <w:highlight w:val="none"/>
              <w:lang w:val="en-US" w:eastAsia="zh-CN" w:bidi="ar-SA"/>
            </w:rPr>
            <w:t>设施环境影响评价及环境监测工作要求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_Toc18880 \h </w:instrText>
          </w:r>
          <w:r>
            <w:rPr>
              <w:rFonts w:ascii="仿宋_GB2312" w:hAnsi="仿宋_GB2312" w:eastAsia="仿宋_GB2312"/>
              <w:color w:val="auto"/>
              <w:sz w:val="32"/>
            </w:rPr>
            <w:fldChar w:fldCharType="separate"/>
          </w:r>
          <w:r>
            <w:rPr>
              <w:rFonts w:ascii="仿宋_GB2312" w:hAnsi="仿宋_GB2312" w:eastAsia="仿宋_GB2312"/>
              <w:color w:val="auto"/>
              <w:sz w:val="32"/>
            </w:rPr>
            <w:t>31</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5A7BC00D">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_Toc25666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五、 </w:t>
          </w:r>
          <w:r>
            <w:rPr>
              <w:rFonts w:hint="eastAsia" w:ascii="仿宋_GB2312" w:hAnsi="仿宋_GB2312" w:eastAsia="仿宋_GB2312" w:cs="黑体"/>
              <w:b/>
              <w:bCs/>
              <w:color w:val="auto"/>
              <w:spacing w:val="0"/>
              <w:sz w:val="32"/>
              <w:szCs w:val="32"/>
              <w:highlight w:val="none"/>
              <w:lang w:val="en-US" w:eastAsia="zh-CN"/>
            </w:rPr>
            <w:t>源头排放污染防治策略</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_Toc25666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33</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25B0FC84">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_Toc23693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eastAsia" w:ascii="仿宋_GB2312" w:hAnsi="仿宋_GB2312" w:eastAsia="仿宋_GB2312" w:cs="楷体_GB2312"/>
              <w:bCs w:val="0"/>
              <w:color w:val="auto"/>
              <w:spacing w:val="0"/>
              <w:kern w:val="2"/>
              <w:sz w:val="32"/>
              <w:szCs w:val="32"/>
              <w:highlight w:val="none"/>
              <w:lang w:val="en-US" w:eastAsia="zh-CN" w:bidi="ar-SA"/>
            </w:rPr>
            <w:t>源头减量目标</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_Toc23693 \h </w:instrText>
          </w:r>
          <w:r>
            <w:rPr>
              <w:rFonts w:ascii="仿宋_GB2312" w:hAnsi="仿宋_GB2312" w:eastAsia="仿宋_GB2312"/>
              <w:color w:val="auto"/>
              <w:sz w:val="32"/>
            </w:rPr>
            <w:fldChar w:fldCharType="separate"/>
          </w:r>
          <w:r>
            <w:rPr>
              <w:rFonts w:ascii="仿宋_GB2312" w:hAnsi="仿宋_GB2312" w:eastAsia="仿宋_GB2312"/>
              <w:color w:val="auto"/>
              <w:sz w:val="32"/>
            </w:rPr>
            <w:t>33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A9E1219">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_Toc2862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eastAsia" w:ascii="仿宋_GB2312" w:hAnsi="仿宋_GB2312" w:eastAsia="仿宋_GB2312" w:cs="楷体_GB2312"/>
              <w:bCs w:val="0"/>
              <w:color w:val="auto"/>
              <w:spacing w:val="0"/>
              <w:kern w:val="2"/>
              <w:sz w:val="32"/>
              <w:szCs w:val="32"/>
              <w:highlight w:val="none"/>
              <w:lang w:val="en-US" w:eastAsia="zh-CN" w:bidi="ar-SA"/>
            </w:rPr>
            <w:t>落实源头减量主体责任</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_Toc2862 \h </w:instrText>
          </w:r>
          <w:r>
            <w:rPr>
              <w:rFonts w:ascii="仿宋_GB2312" w:hAnsi="仿宋_GB2312" w:eastAsia="仿宋_GB2312"/>
              <w:color w:val="auto"/>
              <w:sz w:val="32"/>
            </w:rPr>
            <w:fldChar w:fldCharType="separate"/>
          </w:r>
          <w:r>
            <w:rPr>
              <w:rFonts w:ascii="仿宋_GB2312" w:hAnsi="仿宋_GB2312" w:eastAsia="仿宋_GB2312"/>
              <w:color w:val="auto"/>
              <w:sz w:val="32"/>
            </w:rPr>
            <w:t>33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10EBFAB">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_Toc11248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default" w:ascii="仿宋_GB2312" w:hAnsi="仿宋_GB2312" w:eastAsia="仿宋_GB2312" w:cs="楷体_GB2312"/>
              <w:bCs w:val="0"/>
              <w:color w:val="auto"/>
              <w:spacing w:val="0"/>
              <w:kern w:val="2"/>
              <w:sz w:val="32"/>
              <w:szCs w:val="32"/>
              <w:highlight w:val="none"/>
              <w:lang w:val="en-US" w:eastAsia="zh-CN" w:bidi="ar-SA"/>
            </w:rPr>
            <w:t>推进</w:t>
          </w:r>
          <w:r>
            <w:rPr>
              <w:rFonts w:hint="eastAsia" w:ascii="仿宋_GB2312" w:hAnsi="仿宋_GB2312" w:eastAsia="仿宋_GB2312" w:cs="楷体_GB2312"/>
              <w:bCs w:val="0"/>
              <w:color w:val="auto"/>
              <w:spacing w:val="0"/>
              <w:kern w:val="2"/>
              <w:sz w:val="32"/>
              <w:szCs w:val="32"/>
              <w:highlight w:val="none"/>
              <w:lang w:val="en-US" w:eastAsia="zh-CN" w:bidi="ar-SA"/>
            </w:rPr>
            <w:t>建筑</w:t>
          </w:r>
          <w:r>
            <w:rPr>
              <w:rFonts w:hint="default" w:ascii="仿宋_GB2312" w:hAnsi="仿宋_GB2312" w:eastAsia="仿宋_GB2312" w:cs="楷体_GB2312"/>
              <w:bCs w:val="0"/>
              <w:color w:val="auto"/>
              <w:spacing w:val="0"/>
              <w:kern w:val="2"/>
              <w:sz w:val="32"/>
              <w:szCs w:val="32"/>
              <w:highlight w:val="none"/>
              <w:lang w:val="en-US" w:eastAsia="zh-CN" w:bidi="ar-SA"/>
            </w:rPr>
            <w:t>垃圾</w:t>
          </w:r>
          <w:r>
            <w:rPr>
              <w:rFonts w:hint="eastAsia" w:ascii="仿宋_GB2312" w:hAnsi="仿宋_GB2312" w:eastAsia="仿宋_GB2312" w:cs="楷体_GB2312"/>
              <w:bCs w:val="0"/>
              <w:color w:val="auto"/>
              <w:spacing w:val="0"/>
              <w:kern w:val="2"/>
              <w:sz w:val="32"/>
              <w:szCs w:val="32"/>
              <w:highlight w:val="none"/>
              <w:lang w:val="en-US" w:eastAsia="zh-CN" w:bidi="ar-SA"/>
            </w:rPr>
            <w:t>源头</w:t>
          </w:r>
          <w:r>
            <w:rPr>
              <w:rFonts w:hint="default" w:ascii="仿宋_GB2312" w:hAnsi="仿宋_GB2312" w:eastAsia="仿宋_GB2312" w:cs="楷体_GB2312"/>
              <w:bCs w:val="0"/>
              <w:color w:val="auto"/>
              <w:spacing w:val="0"/>
              <w:kern w:val="2"/>
              <w:sz w:val="32"/>
              <w:szCs w:val="32"/>
              <w:highlight w:val="none"/>
              <w:lang w:val="en-US" w:eastAsia="zh-CN" w:bidi="ar-SA"/>
            </w:rPr>
            <w:t>分类</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_Toc11248 \h </w:instrText>
          </w:r>
          <w:r>
            <w:rPr>
              <w:rFonts w:ascii="仿宋_GB2312" w:hAnsi="仿宋_GB2312" w:eastAsia="仿宋_GB2312"/>
              <w:color w:val="auto"/>
              <w:sz w:val="32"/>
            </w:rPr>
            <w:fldChar w:fldCharType="separate"/>
          </w:r>
          <w:r>
            <w:rPr>
              <w:rFonts w:ascii="仿宋_GB2312" w:hAnsi="仿宋_GB2312" w:eastAsia="仿宋_GB2312"/>
              <w:color w:val="auto"/>
              <w:sz w:val="32"/>
            </w:rPr>
            <w:t>34</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5591DB71">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_Toc10791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default" w:ascii="仿宋_GB2312" w:hAnsi="仿宋_GB2312" w:eastAsia="仿宋_GB2312" w:cs="楷体_GB2312"/>
              <w:bCs w:val="0"/>
              <w:color w:val="auto"/>
              <w:spacing w:val="0"/>
              <w:kern w:val="2"/>
              <w:sz w:val="32"/>
              <w:szCs w:val="32"/>
              <w:highlight w:val="none"/>
              <w:lang w:val="en-US" w:eastAsia="zh-CN" w:bidi="ar-SA"/>
            </w:rPr>
            <w:t>开展绿色策划</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_Toc10791 \h </w:instrText>
          </w:r>
          <w:r>
            <w:rPr>
              <w:rFonts w:ascii="仿宋_GB2312" w:hAnsi="仿宋_GB2312" w:eastAsia="仿宋_GB2312"/>
              <w:color w:val="auto"/>
              <w:sz w:val="32"/>
            </w:rPr>
            <w:fldChar w:fldCharType="separate"/>
          </w:r>
          <w:r>
            <w:rPr>
              <w:rFonts w:ascii="仿宋_GB2312" w:hAnsi="仿宋_GB2312" w:eastAsia="仿宋_GB2312"/>
              <w:color w:val="auto"/>
              <w:sz w:val="32"/>
            </w:rPr>
            <w:t>38</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19564533">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_Toc6846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default" w:ascii="仿宋_GB2312" w:hAnsi="仿宋_GB2312" w:eastAsia="仿宋_GB2312" w:cs="楷体_GB2312"/>
              <w:bCs w:val="0"/>
              <w:color w:val="auto"/>
              <w:spacing w:val="0"/>
              <w:kern w:val="2"/>
              <w:sz w:val="32"/>
              <w:szCs w:val="32"/>
              <w:highlight w:val="none"/>
              <w:lang w:val="en-US" w:eastAsia="zh-CN" w:bidi="ar-SA"/>
            </w:rPr>
            <w:t>实施绿色设计</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_Toc6846 \h </w:instrText>
          </w:r>
          <w:r>
            <w:rPr>
              <w:rFonts w:ascii="仿宋_GB2312" w:hAnsi="仿宋_GB2312" w:eastAsia="仿宋_GB2312"/>
              <w:color w:val="auto"/>
              <w:sz w:val="32"/>
            </w:rPr>
            <w:fldChar w:fldCharType="separate"/>
          </w:r>
          <w:r>
            <w:rPr>
              <w:rFonts w:ascii="仿宋_GB2312" w:hAnsi="仿宋_GB2312" w:eastAsia="仿宋_GB2312"/>
              <w:color w:val="auto"/>
              <w:sz w:val="32"/>
            </w:rPr>
            <w:t>40</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5DFC283C">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_Toc8498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（六） </w:t>
          </w:r>
          <w:r>
            <w:rPr>
              <w:rFonts w:hint="eastAsia" w:ascii="仿宋_GB2312" w:hAnsi="仿宋_GB2312" w:eastAsia="仿宋_GB2312" w:cs="楷体_GB2312"/>
              <w:bCs w:val="0"/>
              <w:color w:val="auto"/>
              <w:spacing w:val="0"/>
              <w:kern w:val="2"/>
              <w:sz w:val="32"/>
              <w:szCs w:val="32"/>
              <w:highlight w:val="none"/>
              <w:lang w:val="en-US" w:eastAsia="zh-CN" w:bidi="ar-SA"/>
            </w:rPr>
            <w:t>推广绿色施工</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_Toc8498 \h </w:instrText>
          </w:r>
          <w:r>
            <w:rPr>
              <w:rFonts w:ascii="仿宋_GB2312" w:hAnsi="仿宋_GB2312" w:eastAsia="仿宋_GB2312"/>
              <w:color w:val="auto"/>
              <w:sz w:val="32"/>
            </w:rPr>
            <w:fldChar w:fldCharType="separate"/>
          </w:r>
          <w:r>
            <w:rPr>
              <w:rFonts w:ascii="仿宋_GB2312" w:hAnsi="仿宋_GB2312" w:eastAsia="仿宋_GB2312"/>
              <w:color w:val="auto"/>
              <w:sz w:val="32"/>
            </w:rPr>
            <w:t>41</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54AC38DC">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_Toc30561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（七） </w:t>
          </w:r>
          <w:r>
            <w:rPr>
              <w:rFonts w:hint="eastAsia" w:ascii="仿宋_GB2312" w:hAnsi="仿宋_GB2312" w:eastAsia="仿宋_GB2312" w:cs="楷体_GB2312"/>
              <w:bCs w:val="0"/>
              <w:color w:val="auto"/>
              <w:spacing w:val="0"/>
              <w:kern w:val="2"/>
              <w:sz w:val="32"/>
              <w:szCs w:val="32"/>
              <w:highlight w:val="none"/>
              <w:lang w:val="en-US" w:eastAsia="zh-CN" w:bidi="ar-SA"/>
            </w:rPr>
            <w:t>推动施工现场就地资源化利用</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_Toc30561 \h </w:instrText>
          </w:r>
          <w:r>
            <w:rPr>
              <w:rFonts w:ascii="仿宋_GB2312" w:hAnsi="仿宋_GB2312" w:eastAsia="仿宋_GB2312"/>
              <w:color w:val="auto"/>
              <w:sz w:val="32"/>
            </w:rPr>
            <w:fldChar w:fldCharType="separate"/>
          </w:r>
          <w:r>
            <w:rPr>
              <w:rFonts w:ascii="仿宋_GB2312" w:hAnsi="仿宋_GB2312" w:eastAsia="仿宋_GB2312"/>
              <w:color w:val="auto"/>
              <w:sz w:val="32"/>
            </w:rPr>
            <w:t>42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874A10D">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_Toc8610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（八） </w:t>
          </w:r>
          <w:r>
            <w:rPr>
              <w:rFonts w:hint="eastAsia" w:ascii="仿宋_GB2312" w:hAnsi="仿宋_GB2312" w:eastAsia="仿宋_GB2312" w:cs="楷体_GB2312"/>
              <w:bCs w:val="0"/>
              <w:color w:val="auto"/>
              <w:spacing w:val="0"/>
              <w:kern w:val="2"/>
              <w:sz w:val="32"/>
              <w:szCs w:val="32"/>
              <w:highlight w:val="none"/>
              <w:lang w:val="en-US" w:eastAsia="zh-CN" w:bidi="ar-SA"/>
            </w:rPr>
            <w:t>重点区域源头管控要点</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_Toc8610 \h </w:instrText>
          </w:r>
          <w:r>
            <w:rPr>
              <w:rFonts w:ascii="仿宋_GB2312" w:hAnsi="仿宋_GB2312" w:eastAsia="仿宋_GB2312"/>
              <w:color w:val="auto"/>
              <w:sz w:val="32"/>
            </w:rPr>
            <w:fldChar w:fldCharType="separate"/>
          </w:r>
          <w:r>
            <w:rPr>
              <w:rFonts w:ascii="仿宋_GB2312" w:hAnsi="仿宋_GB2312" w:eastAsia="仿宋_GB2312"/>
              <w:color w:val="auto"/>
              <w:sz w:val="32"/>
            </w:rPr>
            <w:t>43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1386FCF2">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_Toc8230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六、 </w:t>
          </w:r>
          <w:r>
            <w:rPr>
              <w:rFonts w:hint="eastAsia" w:ascii="仿宋_GB2312" w:hAnsi="仿宋_GB2312" w:eastAsia="仿宋_GB2312" w:cs="黑体"/>
              <w:b/>
              <w:bCs/>
              <w:color w:val="auto"/>
              <w:spacing w:val="0"/>
              <w:sz w:val="32"/>
              <w:szCs w:val="32"/>
              <w:highlight w:val="none"/>
              <w:lang w:val="en-US" w:eastAsia="zh-CN"/>
            </w:rPr>
            <w:t>收运环节污染防治策略</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_Toc8230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45</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32B187B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_Toc25008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eastAsia" w:ascii="仿宋_GB2312" w:hAnsi="仿宋_GB2312" w:eastAsia="仿宋_GB2312" w:cs="楷体_GB2312"/>
              <w:bCs w:val="0"/>
              <w:color w:val="auto"/>
              <w:spacing w:val="0"/>
              <w:kern w:val="2"/>
              <w:sz w:val="32"/>
              <w:szCs w:val="32"/>
              <w:highlight w:val="none"/>
              <w:lang w:val="en-US" w:eastAsia="zh-CN" w:bidi="ar-SA"/>
            </w:rPr>
            <w:t>分类收运措施</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_Toc25008 \h </w:instrText>
          </w:r>
          <w:r>
            <w:rPr>
              <w:rFonts w:ascii="仿宋_GB2312" w:hAnsi="仿宋_GB2312" w:eastAsia="仿宋_GB2312"/>
              <w:color w:val="auto"/>
              <w:sz w:val="32"/>
            </w:rPr>
            <w:fldChar w:fldCharType="separate"/>
          </w:r>
          <w:r>
            <w:rPr>
              <w:rFonts w:ascii="仿宋_GB2312" w:hAnsi="仿宋_GB2312" w:eastAsia="仿宋_GB2312"/>
              <w:color w:val="auto"/>
              <w:sz w:val="32"/>
            </w:rPr>
            <w:t>45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FB6836A">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_Toc1792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default" w:ascii="仿宋_GB2312" w:hAnsi="仿宋_GB2312" w:eastAsia="仿宋_GB2312" w:cs="楷体_GB2312"/>
              <w:bCs w:val="0"/>
              <w:color w:val="auto"/>
              <w:spacing w:val="0"/>
              <w:kern w:val="2"/>
              <w:sz w:val="32"/>
              <w:szCs w:val="32"/>
              <w:highlight w:val="none"/>
              <w:lang w:val="en-US" w:eastAsia="zh-CN" w:bidi="ar-SA"/>
            </w:rPr>
            <w:t>收运方案</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_Toc1792 \h </w:instrText>
          </w:r>
          <w:r>
            <w:rPr>
              <w:rFonts w:ascii="仿宋_GB2312" w:hAnsi="仿宋_GB2312" w:eastAsia="仿宋_GB2312"/>
              <w:color w:val="auto"/>
              <w:sz w:val="32"/>
            </w:rPr>
            <w:fldChar w:fldCharType="separate"/>
          </w:r>
          <w:r>
            <w:rPr>
              <w:rFonts w:ascii="仿宋_GB2312" w:hAnsi="仿宋_GB2312" w:eastAsia="仿宋_GB2312"/>
              <w:color w:val="auto"/>
              <w:sz w:val="32"/>
            </w:rPr>
            <w:t>47</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95EB7E5">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_Toc13755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运输车辆要求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_Toc13755 \h </w:instrText>
          </w:r>
          <w:r>
            <w:rPr>
              <w:rFonts w:ascii="仿宋_GB2312" w:hAnsi="仿宋_GB2312" w:eastAsia="仿宋_GB2312"/>
              <w:color w:val="auto"/>
              <w:sz w:val="32"/>
            </w:rPr>
            <w:fldChar w:fldCharType="separate"/>
          </w:r>
          <w:r>
            <w:rPr>
              <w:rFonts w:ascii="仿宋_GB2312" w:hAnsi="仿宋_GB2312" w:eastAsia="仿宋_GB2312"/>
              <w:color w:val="auto"/>
              <w:sz w:val="32"/>
            </w:rPr>
            <w:t>48</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6528042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_Toc30777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eastAsia" w:ascii="仿宋_GB2312" w:hAnsi="仿宋_GB2312" w:eastAsia="仿宋_GB2312" w:cs="楷体_GB2312"/>
              <w:bCs w:val="0"/>
              <w:color w:val="auto"/>
              <w:spacing w:val="0"/>
              <w:kern w:val="2"/>
              <w:sz w:val="32"/>
              <w:szCs w:val="32"/>
              <w:highlight w:val="none"/>
              <w:lang w:val="en-US" w:eastAsia="zh-CN" w:bidi="ar-SA"/>
            </w:rPr>
            <w:t>中转设施选址与建设要求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_Toc30777 \h </w:instrText>
          </w:r>
          <w:r>
            <w:rPr>
              <w:rFonts w:ascii="仿宋_GB2312" w:hAnsi="仿宋_GB2312" w:eastAsia="仿宋_GB2312"/>
              <w:color w:val="auto"/>
              <w:sz w:val="32"/>
            </w:rPr>
            <w:fldChar w:fldCharType="separate"/>
          </w:r>
          <w:r>
            <w:rPr>
              <w:rFonts w:ascii="仿宋_GB2312" w:hAnsi="仿宋_GB2312" w:eastAsia="仿宋_GB2312"/>
              <w:color w:val="auto"/>
              <w:sz w:val="32"/>
            </w:rPr>
            <w:t>48</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653617CE">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_Toc1185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default" w:ascii="仿宋_GB2312" w:hAnsi="仿宋_GB2312" w:eastAsia="仿宋_GB2312" w:cs="仿宋_GB2312"/>
              <w:bCs/>
              <w:i w:val="0"/>
              <w:iCs w:val="0"/>
              <w:color w:val="auto"/>
              <w:spacing w:val="0"/>
              <w:kern w:val="2"/>
              <w:sz w:val="32"/>
              <w:szCs w:val="32"/>
              <w:highlight w:val="none"/>
              <w:vertAlign w:val="baseline"/>
              <w:lang w:val="en-US" w:eastAsia="zh-CN" w:bidi="ar-SA"/>
            </w:rPr>
            <w:t>居民装修垃圾收集点</w:t>
          </w:r>
          <w:r>
            <w:rPr>
              <w:rFonts w:hint="eastAsia" w:ascii="仿宋_GB2312" w:hAnsi="仿宋_GB2312" w:eastAsia="仿宋_GB2312" w:cs="仿宋_GB2312"/>
              <w:bCs/>
              <w:i w:val="0"/>
              <w:iCs w:val="0"/>
              <w:color w:val="auto"/>
              <w:spacing w:val="0"/>
              <w:kern w:val="2"/>
              <w:sz w:val="32"/>
              <w:szCs w:val="32"/>
              <w:highlight w:val="none"/>
              <w:vertAlign w:val="baseline"/>
              <w:lang w:val="en-US" w:eastAsia="zh-CN" w:bidi="ar-SA"/>
            </w:rPr>
            <w:t>建设规划</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_Toc1185 \h </w:instrText>
          </w:r>
          <w:r>
            <w:rPr>
              <w:rFonts w:ascii="仿宋_GB2312" w:hAnsi="仿宋_GB2312" w:eastAsia="仿宋_GB2312"/>
              <w:color w:val="auto"/>
              <w:sz w:val="32"/>
            </w:rPr>
            <w:fldChar w:fldCharType="separate"/>
          </w:r>
          <w:r>
            <w:rPr>
              <w:rFonts w:ascii="仿宋_GB2312" w:hAnsi="仿宋_GB2312" w:eastAsia="仿宋_GB2312"/>
              <w:color w:val="auto"/>
              <w:sz w:val="32"/>
            </w:rPr>
            <w:t>49</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6DBF0E83">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_Toc25586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（六） </w:t>
          </w:r>
          <w:r>
            <w:rPr>
              <w:rFonts w:hint="eastAsia" w:ascii="仿宋_GB2312" w:hAnsi="仿宋_GB2312" w:eastAsia="仿宋_GB2312" w:cs="楷体_GB2312"/>
              <w:bCs w:val="0"/>
              <w:color w:val="auto"/>
              <w:spacing w:val="0"/>
              <w:kern w:val="2"/>
              <w:sz w:val="32"/>
              <w:szCs w:val="32"/>
              <w:highlight w:val="none"/>
              <w:lang w:val="en-US" w:eastAsia="zh-CN" w:bidi="ar-SA"/>
            </w:rPr>
            <w:t>中转设施运营与监督管理要求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_Toc25586 \h </w:instrText>
          </w:r>
          <w:r>
            <w:rPr>
              <w:rFonts w:ascii="仿宋_GB2312" w:hAnsi="仿宋_GB2312" w:eastAsia="仿宋_GB2312"/>
              <w:color w:val="auto"/>
              <w:sz w:val="32"/>
            </w:rPr>
            <w:fldChar w:fldCharType="separate"/>
          </w:r>
          <w:r>
            <w:rPr>
              <w:rFonts w:ascii="仿宋_GB2312" w:hAnsi="仿宋_GB2312" w:eastAsia="仿宋_GB2312"/>
              <w:color w:val="auto"/>
              <w:sz w:val="32"/>
            </w:rPr>
            <w:t>51</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66EAED4A">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_Toc30675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七、 </w:t>
          </w:r>
          <w:r>
            <w:rPr>
              <w:rFonts w:hint="eastAsia" w:ascii="仿宋_GB2312" w:hAnsi="仿宋_GB2312" w:eastAsia="仿宋_GB2312" w:cs="黑体"/>
              <w:b/>
              <w:bCs/>
              <w:color w:val="auto"/>
              <w:spacing w:val="0"/>
              <w:sz w:val="32"/>
              <w:szCs w:val="32"/>
              <w:highlight w:val="none"/>
              <w:lang w:val="en-US" w:eastAsia="zh-CN"/>
            </w:rPr>
            <w:t>建筑垃圾综合利用策略</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_Toc30675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52</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2660F45E">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_Toc10338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default" w:ascii="仿宋_GB2312" w:hAnsi="仿宋_GB2312" w:eastAsia="仿宋_GB2312" w:cs="楷体_GB2312"/>
              <w:bCs w:val="0"/>
              <w:color w:val="auto"/>
              <w:spacing w:val="0"/>
              <w:kern w:val="2"/>
              <w:sz w:val="32"/>
              <w:szCs w:val="32"/>
              <w:highlight w:val="none"/>
              <w:lang w:val="en-US" w:eastAsia="zh-CN" w:bidi="ar-SA"/>
            </w:rPr>
            <w:t>建筑垃圾</w:t>
          </w:r>
          <w:r>
            <w:rPr>
              <w:rFonts w:hint="eastAsia" w:ascii="仿宋_GB2312" w:hAnsi="仿宋_GB2312" w:eastAsia="仿宋_GB2312" w:cs="楷体_GB2312"/>
              <w:bCs w:val="0"/>
              <w:color w:val="auto"/>
              <w:spacing w:val="0"/>
              <w:kern w:val="2"/>
              <w:sz w:val="32"/>
              <w:szCs w:val="32"/>
              <w:highlight w:val="none"/>
              <w:lang w:val="en-US" w:eastAsia="zh-CN" w:bidi="ar-SA"/>
            </w:rPr>
            <w:t>直接利用方式与路径</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_Toc10338 \h </w:instrText>
          </w:r>
          <w:r>
            <w:rPr>
              <w:rFonts w:ascii="仿宋_GB2312" w:hAnsi="仿宋_GB2312" w:eastAsia="仿宋_GB2312"/>
              <w:color w:val="auto"/>
              <w:sz w:val="32"/>
            </w:rPr>
            <w:fldChar w:fldCharType="separate"/>
          </w:r>
          <w:r>
            <w:rPr>
              <w:rFonts w:ascii="仿宋_GB2312" w:hAnsi="仿宋_GB2312" w:eastAsia="仿宋_GB2312"/>
              <w:color w:val="auto"/>
              <w:sz w:val="32"/>
            </w:rPr>
            <w:t>52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400C5BB">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_Toc3343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default" w:ascii="仿宋_GB2312" w:hAnsi="仿宋_GB2312" w:eastAsia="仿宋_GB2312" w:cs="楷体_GB2312"/>
              <w:bCs w:val="0"/>
              <w:color w:val="auto"/>
              <w:spacing w:val="0"/>
              <w:kern w:val="2"/>
              <w:sz w:val="32"/>
              <w:szCs w:val="32"/>
              <w:highlight w:val="none"/>
              <w:lang w:val="en-US" w:eastAsia="zh-CN" w:bidi="ar-SA"/>
            </w:rPr>
            <w:t>建筑垃圾</w:t>
          </w:r>
          <w:r>
            <w:rPr>
              <w:rFonts w:hint="eastAsia" w:ascii="仿宋_GB2312" w:hAnsi="仿宋_GB2312" w:eastAsia="仿宋_GB2312" w:cs="楷体_GB2312"/>
              <w:bCs w:val="0"/>
              <w:color w:val="auto"/>
              <w:spacing w:val="0"/>
              <w:kern w:val="2"/>
              <w:sz w:val="32"/>
              <w:szCs w:val="32"/>
              <w:highlight w:val="none"/>
              <w:lang w:val="en-US" w:eastAsia="zh-CN" w:bidi="ar-SA"/>
            </w:rPr>
            <w:t>资源化利用方式与路径</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_Toc3343 \h </w:instrText>
          </w:r>
          <w:r>
            <w:rPr>
              <w:rFonts w:ascii="仿宋_GB2312" w:hAnsi="仿宋_GB2312" w:eastAsia="仿宋_GB2312"/>
              <w:color w:val="auto"/>
              <w:sz w:val="32"/>
            </w:rPr>
            <w:fldChar w:fldCharType="separate"/>
          </w:r>
          <w:r>
            <w:rPr>
              <w:rFonts w:ascii="仿宋_GB2312" w:hAnsi="仿宋_GB2312" w:eastAsia="仿宋_GB2312"/>
              <w:color w:val="auto"/>
              <w:sz w:val="32"/>
            </w:rPr>
            <w:t>52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280C8B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_Toc2857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资源化利用项目选址与建设要求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_Toc2857 \h </w:instrText>
          </w:r>
          <w:r>
            <w:rPr>
              <w:rFonts w:ascii="仿宋_GB2312" w:hAnsi="仿宋_GB2312" w:eastAsia="仿宋_GB2312"/>
              <w:color w:val="auto"/>
              <w:sz w:val="32"/>
            </w:rPr>
            <w:fldChar w:fldCharType="separate"/>
          </w:r>
          <w:r>
            <w:rPr>
              <w:rFonts w:ascii="仿宋_GB2312" w:hAnsi="仿宋_GB2312" w:eastAsia="仿宋_GB2312"/>
              <w:color w:val="auto"/>
              <w:sz w:val="32"/>
            </w:rPr>
            <w:t>53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19F8E67">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_Toc7911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eastAsia" w:ascii="仿宋_GB2312" w:hAnsi="仿宋_GB2312" w:eastAsia="仿宋_GB2312" w:cs="仿宋_GB2312"/>
              <w:bCs/>
              <w:i w:val="0"/>
              <w:iCs w:val="0"/>
              <w:color w:val="auto"/>
              <w:spacing w:val="0"/>
              <w:kern w:val="2"/>
              <w:sz w:val="32"/>
              <w:szCs w:val="32"/>
              <w:highlight w:val="none"/>
              <w:vertAlign w:val="baseline"/>
              <w:lang w:val="en-US" w:eastAsia="zh-CN" w:bidi="ar-SA"/>
            </w:rPr>
            <w:t>资源化项目建设规划</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_Toc7911 \h </w:instrText>
          </w:r>
          <w:r>
            <w:rPr>
              <w:rFonts w:ascii="仿宋_GB2312" w:hAnsi="仿宋_GB2312" w:eastAsia="仿宋_GB2312"/>
              <w:color w:val="auto"/>
              <w:sz w:val="32"/>
            </w:rPr>
            <w:fldChar w:fldCharType="separate"/>
          </w:r>
          <w:r>
            <w:rPr>
              <w:rFonts w:ascii="仿宋_GB2312" w:hAnsi="仿宋_GB2312" w:eastAsia="仿宋_GB2312"/>
              <w:color w:val="auto"/>
              <w:sz w:val="32"/>
            </w:rPr>
            <w:t>55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E0F2F39">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_Toc16956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eastAsia" w:ascii="仿宋_GB2312" w:hAnsi="仿宋_GB2312" w:eastAsia="仿宋_GB2312" w:cs="楷体_GB2312"/>
              <w:bCs w:val="0"/>
              <w:color w:val="auto"/>
              <w:spacing w:val="0"/>
              <w:kern w:val="2"/>
              <w:sz w:val="32"/>
              <w:szCs w:val="32"/>
              <w:highlight w:val="none"/>
              <w:lang w:val="en-US" w:eastAsia="zh-CN" w:bidi="ar-SA"/>
            </w:rPr>
            <w:t>资源化利用项目运营与监督管理要求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_Toc16956 \h </w:instrText>
          </w:r>
          <w:r>
            <w:rPr>
              <w:rFonts w:ascii="仿宋_GB2312" w:hAnsi="仿宋_GB2312" w:eastAsia="仿宋_GB2312"/>
              <w:color w:val="auto"/>
              <w:sz w:val="32"/>
            </w:rPr>
            <w:fldChar w:fldCharType="separate"/>
          </w:r>
          <w:r>
            <w:rPr>
              <w:rFonts w:ascii="仿宋_GB2312" w:hAnsi="仿宋_GB2312" w:eastAsia="仿宋_GB2312"/>
              <w:color w:val="auto"/>
              <w:sz w:val="32"/>
            </w:rPr>
            <w:t>61</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11C43199">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_Toc25211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（六） </w:t>
          </w:r>
          <w:r>
            <w:rPr>
              <w:rFonts w:hint="eastAsia" w:ascii="仿宋_GB2312" w:hAnsi="仿宋_GB2312" w:eastAsia="仿宋_GB2312" w:cs="楷体_GB2312"/>
              <w:bCs w:val="0"/>
              <w:color w:val="auto"/>
              <w:spacing w:val="0"/>
              <w:kern w:val="2"/>
              <w:sz w:val="32"/>
              <w:szCs w:val="32"/>
              <w:highlight w:val="none"/>
              <w:lang w:val="en-US" w:eastAsia="zh-CN" w:bidi="ar-SA"/>
            </w:rPr>
            <w:t>资源化利用扶持政策</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_Toc25211 \h </w:instrText>
          </w:r>
          <w:r>
            <w:rPr>
              <w:rFonts w:ascii="仿宋_GB2312" w:hAnsi="仿宋_GB2312" w:eastAsia="仿宋_GB2312"/>
              <w:color w:val="auto"/>
              <w:sz w:val="32"/>
            </w:rPr>
            <w:fldChar w:fldCharType="separate"/>
          </w:r>
          <w:r>
            <w:rPr>
              <w:rFonts w:ascii="仿宋_GB2312" w:hAnsi="仿宋_GB2312" w:eastAsia="仿宋_GB2312"/>
              <w:color w:val="auto"/>
              <w:sz w:val="32"/>
            </w:rPr>
            <w:t>62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0A3868D">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_Toc12597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八、 </w:t>
          </w:r>
          <w:r>
            <w:rPr>
              <w:rFonts w:hint="eastAsia" w:ascii="仿宋_GB2312" w:hAnsi="仿宋_GB2312" w:eastAsia="仿宋_GB2312" w:cs="黑体"/>
              <w:b/>
              <w:bCs/>
              <w:color w:val="auto"/>
              <w:spacing w:val="0"/>
              <w:sz w:val="32"/>
              <w:szCs w:val="32"/>
              <w:highlight w:val="none"/>
              <w:lang w:val="en-US" w:eastAsia="zh-CN"/>
            </w:rPr>
            <w:t>末端消纳与跨区域处置污染防治策略</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_Toc12597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64</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3BCE5C40">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_Toc3091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eastAsia" w:ascii="仿宋_GB2312" w:hAnsi="仿宋_GB2312" w:eastAsia="仿宋_GB2312" w:cs="楷体_GB2312"/>
              <w:bCs w:val="0"/>
              <w:color w:val="auto"/>
              <w:spacing w:val="0"/>
              <w:kern w:val="2"/>
              <w:sz w:val="32"/>
              <w:szCs w:val="32"/>
              <w:highlight w:val="none"/>
              <w:lang w:val="en-US" w:eastAsia="zh-CN" w:bidi="ar-SA"/>
            </w:rPr>
            <w:t>无害化处置策略与原则</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_Toc3091 \h </w:instrText>
          </w:r>
          <w:r>
            <w:rPr>
              <w:rFonts w:ascii="仿宋_GB2312" w:hAnsi="仿宋_GB2312" w:eastAsia="仿宋_GB2312"/>
              <w:color w:val="auto"/>
              <w:sz w:val="32"/>
            </w:rPr>
            <w:fldChar w:fldCharType="separate"/>
          </w:r>
          <w:r>
            <w:rPr>
              <w:rFonts w:ascii="仿宋_GB2312" w:hAnsi="仿宋_GB2312" w:eastAsia="仿宋_GB2312"/>
              <w:color w:val="auto"/>
              <w:sz w:val="32"/>
            </w:rPr>
            <w:t>64</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C462F13">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_Toc26117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eastAsia" w:ascii="仿宋_GB2312" w:hAnsi="仿宋_GB2312" w:eastAsia="仿宋_GB2312" w:cs="楷体_GB2312"/>
              <w:bCs w:val="0"/>
              <w:color w:val="auto"/>
              <w:spacing w:val="0"/>
              <w:kern w:val="2"/>
              <w:sz w:val="32"/>
              <w:szCs w:val="32"/>
              <w:highlight w:val="none"/>
              <w:lang w:val="en-US" w:eastAsia="zh-CN" w:bidi="ar-SA"/>
            </w:rPr>
            <w:t>消纳场选址与建设要求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_Toc26117 \h </w:instrText>
          </w:r>
          <w:r>
            <w:rPr>
              <w:rFonts w:ascii="仿宋_GB2312" w:hAnsi="仿宋_GB2312" w:eastAsia="仿宋_GB2312"/>
              <w:color w:val="auto"/>
              <w:sz w:val="32"/>
            </w:rPr>
            <w:fldChar w:fldCharType="separate"/>
          </w:r>
          <w:r>
            <w:rPr>
              <w:rFonts w:ascii="仿宋_GB2312" w:hAnsi="仿宋_GB2312" w:eastAsia="仿宋_GB2312"/>
              <w:color w:val="auto"/>
              <w:sz w:val="32"/>
            </w:rPr>
            <w:t>64</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C9E276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_Toc6525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固定式消纳场建设规划</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_Toc6525 \h </w:instrText>
          </w:r>
          <w:r>
            <w:rPr>
              <w:rFonts w:ascii="仿宋_GB2312" w:hAnsi="仿宋_GB2312" w:eastAsia="仿宋_GB2312"/>
              <w:color w:val="auto"/>
              <w:sz w:val="32"/>
            </w:rPr>
            <w:fldChar w:fldCharType="separate"/>
          </w:r>
          <w:r>
            <w:rPr>
              <w:rFonts w:ascii="仿宋_GB2312" w:hAnsi="仿宋_GB2312" w:eastAsia="仿宋_GB2312"/>
              <w:color w:val="auto"/>
              <w:sz w:val="32"/>
            </w:rPr>
            <w:t>65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30374EA">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_Toc30813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eastAsia" w:ascii="仿宋_GB2312" w:hAnsi="仿宋_GB2312" w:eastAsia="仿宋_GB2312" w:cs="楷体_GB2312"/>
              <w:bCs w:val="0"/>
              <w:color w:val="auto"/>
              <w:spacing w:val="0"/>
              <w:kern w:val="2"/>
              <w:sz w:val="32"/>
              <w:szCs w:val="32"/>
              <w:highlight w:val="none"/>
              <w:lang w:val="en-US" w:eastAsia="zh-CN" w:bidi="ar-SA"/>
            </w:rPr>
            <w:t>消纳场运营与监督管理要求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_Toc30813 \h </w:instrText>
          </w:r>
          <w:r>
            <w:rPr>
              <w:rFonts w:ascii="仿宋_GB2312" w:hAnsi="仿宋_GB2312" w:eastAsia="仿宋_GB2312"/>
              <w:color w:val="auto"/>
              <w:sz w:val="32"/>
            </w:rPr>
            <w:fldChar w:fldCharType="separate"/>
          </w:r>
          <w:r>
            <w:rPr>
              <w:rFonts w:ascii="仿宋_GB2312" w:hAnsi="仿宋_GB2312" w:eastAsia="仿宋_GB2312"/>
              <w:color w:val="auto"/>
              <w:sz w:val="32"/>
            </w:rPr>
            <w:t>66</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9D0DEF5">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_Toc30805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eastAsia" w:ascii="仿宋_GB2312" w:hAnsi="仿宋_GB2312" w:eastAsia="仿宋_GB2312" w:cs="楷体_GB2312"/>
              <w:bCs w:val="0"/>
              <w:color w:val="auto"/>
              <w:spacing w:val="0"/>
              <w:kern w:val="2"/>
              <w:sz w:val="32"/>
              <w:szCs w:val="32"/>
              <w:highlight w:val="none"/>
              <w:lang w:val="en-US" w:eastAsia="zh-CN" w:bidi="ar-SA"/>
            </w:rPr>
            <w:t>跨区域平衡处置规划</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_Toc30805 \h </w:instrText>
          </w:r>
          <w:r>
            <w:rPr>
              <w:rFonts w:ascii="仿宋_GB2312" w:hAnsi="仿宋_GB2312" w:eastAsia="仿宋_GB2312"/>
              <w:color w:val="auto"/>
              <w:sz w:val="32"/>
            </w:rPr>
            <w:fldChar w:fldCharType="separate"/>
          </w:r>
          <w:r>
            <w:rPr>
              <w:rFonts w:ascii="仿宋_GB2312" w:hAnsi="仿宋_GB2312" w:eastAsia="仿宋_GB2312"/>
              <w:color w:val="auto"/>
              <w:sz w:val="32"/>
            </w:rPr>
            <w:t>66</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5850C11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_Toc18768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（六） </w:t>
          </w:r>
          <w:r>
            <w:rPr>
              <w:rFonts w:hint="eastAsia" w:ascii="仿宋_GB2312" w:hAnsi="仿宋_GB2312" w:eastAsia="仿宋_GB2312" w:cs="楷体_GB2312"/>
              <w:bCs w:val="0"/>
              <w:color w:val="auto"/>
              <w:spacing w:val="0"/>
              <w:kern w:val="2"/>
              <w:sz w:val="32"/>
              <w:szCs w:val="32"/>
              <w:highlight w:val="none"/>
              <w:lang w:val="en-US" w:eastAsia="zh-CN" w:bidi="ar-SA"/>
            </w:rPr>
            <w:t>跨市处置要求</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_Toc18768 \h </w:instrText>
          </w:r>
          <w:r>
            <w:rPr>
              <w:rFonts w:ascii="仿宋_GB2312" w:hAnsi="仿宋_GB2312" w:eastAsia="仿宋_GB2312"/>
              <w:color w:val="auto"/>
              <w:sz w:val="32"/>
            </w:rPr>
            <w:fldChar w:fldCharType="separate"/>
          </w:r>
          <w:r>
            <w:rPr>
              <w:rFonts w:ascii="仿宋_GB2312" w:hAnsi="仿宋_GB2312" w:eastAsia="仿宋_GB2312"/>
              <w:color w:val="auto"/>
              <w:sz w:val="32"/>
            </w:rPr>
            <w:t>67</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9F47F15">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_Toc12202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（七） </w:t>
          </w:r>
          <w:r>
            <w:rPr>
              <w:rFonts w:hint="eastAsia" w:ascii="仿宋_GB2312" w:hAnsi="仿宋_GB2312" w:eastAsia="仿宋_GB2312" w:cs="楷体_GB2312"/>
              <w:bCs w:val="0"/>
              <w:color w:val="auto"/>
              <w:spacing w:val="0"/>
              <w:kern w:val="2"/>
              <w:sz w:val="32"/>
              <w:szCs w:val="32"/>
              <w:highlight w:val="none"/>
              <w:lang w:val="en-US" w:eastAsia="zh-CN" w:bidi="ar-SA"/>
            </w:rPr>
            <w:t>建筑垃圾存量治理</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_Toc12202 \h </w:instrText>
          </w:r>
          <w:r>
            <w:rPr>
              <w:rFonts w:ascii="仿宋_GB2312" w:hAnsi="仿宋_GB2312" w:eastAsia="仿宋_GB2312"/>
              <w:color w:val="auto"/>
              <w:sz w:val="32"/>
            </w:rPr>
            <w:fldChar w:fldCharType="separate"/>
          </w:r>
          <w:r>
            <w:rPr>
              <w:rFonts w:ascii="仿宋_GB2312" w:hAnsi="仿宋_GB2312" w:eastAsia="仿宋_GB2312"/>
              <w:color w:val="auto"/>
              <w:sz w:val="32"/>
            </w:rPr>
            <w:t>67</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BF7A56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_Toc19695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olor w:val="auto"/>
              <w:sz w:val="32"/>
              <w:szCs w:val="32"/>
              <w:lang w:val="en-US" w:eastAsia="zh-CN"/>
            </w:rPr>
            <w:t xml:space="preserve">（八） </w:t>
          </w:r>
          <w:r>
            <w:rPr>
              <w:rFonts w:hint="eastAsia" w:ascii="仿宋_GB2312" w:hAnsi="仿宋_GB2312" w:eastAsia="仿宋_GB2312"/>
              <w:color w:val="auto"/>
              <w:sz w:val="32"/>
              <w:lang w:val="en-US" w:eastAsia="zh-CN"/>
            </w:rPr>
            <w:t>区域产销平衡分析</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_Toc19695 \h </w:instrText>
          </w:r>
          <w:r>
            <w:rPr>
              <w:rFonts w:ascii="仿宋_GB2312" w:hAnsi="仿宋_GB2312" w:eastAsia="仿宋_GB2312"/>
              <w:color w:val="auto"/>
              <w:sz w:val="32"/>
            </w:rPr>
            <w:fldChar w:fldCharType="separate"/>
          </w:r>
          <w:r>
            <w:rPr>
              <w:rFonts w:ascii="仿宋_GB2312" w:hAnsi="仿宋_GB2312" w:eastAsia="仿宋_GB2312"/>
              <w:color w:val="auto"/>
              <w:sz w:val="32"/>
            </w:rPr>
            <w:t>73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C192752">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_Toc12180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九、 </w:t>
          </w:r>
          <w:r>
            <w:rPr>
              <w:rFonts w:hint="eastAsia" w:ascii="仿宋_GB2312" w:hAnsi="仿宋_GB2312" w:eastAsia="仿宋_GB2312" w:cs="黑体"/>
              <w:b/>
              <w:bCs/>
              <w:color w:val="auto"/>
              <w:spacing w:val="0"/>
              <w:sz w:val="32"/>
              <w:szCs w:val="32"/>
              <w:highlight w:val="none"/>
              <w:lang w:val="en-US" w:eastAsia="zh-CN"/>
            </w:rPr>
            <w:t>环境污染防治措施</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_Toc12180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75</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65FCF02F">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_Toc5625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default" w:ascii="仿宋_GB2312" w:hAnsi="仿宋_GB2312" w:eastAsia="仿宋_GB2312" w:cs="楷体_GB2312"/>
              <w:bCs w:val="0"/>
              <w:color w:val="auto"/>
              <w:spacing w:val="0"/>
              <w:kern w:val="2"/>
              <w:sz w:val="32"/>
              <w:szCs w:val="32"/>
              <w:highlight w:val="none"/>
              <w:lang w:val="en-US" w:eastAsia="zh-CN" w:bidi="ar-SA"/>
            </w:rPr>
            <w:t>建筑垃圾污染防控措施</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_Toc5625 \h </w:instrText>
          </w:r>
          <w:r>
            <w:rPr>
              <w:rFonts w:ascii="仿宋_GB2312" w:hAnsi="仿宋_GB2312" w:eastAsia="仿宋_GB2312"/>
              <w:color w:val="auto"/>
              <w:sz w:val="32"/>
            </w:rPr>
            <w:fldChar w:fldCharType="separate"/>
          </w:r>
          <w:r>
            <w:rPr>
              <w:rFonts w:ascii="仿宋_GB2312" w:hAnsi="仿宋_GB2312" w:eastAsia="仿宋_GB2312"/>
              <w:color w:val="auto"/>
              <w:sz w:val="32"/>
            </w:rPr>
            <w:t>75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57258638">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_Toc16058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eastAsia" w:ascii="仿宋_GB2312" w:hAnsi="仿宋_GB2312" w:eastAsia="仿宋_GB2312" w:cs="楷体_GB2312"/>
              <w:bCs w:val="0"/>
              <w:color w:val="auto"/>
              <w:spacing w:val="0"/>
              <w:kern w:val="2"/>
              <w:sz w:val="32"/>
              <w:szCs w:val="32"/>
              <w:highlight w:val="none"/>
              <w:lang w:val="en-US" w:eastAsia="zh-CN" w:bidi="ar-SA"/>
            </w:rPr>
            <w:t>水土流失、地质灾害防治</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_Toc16058 \h </w:instrText>
          </w:r>
          <w:r>
            <w:rPr>
              <w:rFonts w:ascii="仿宋_GB2312" w:hAnsi="仿宋_GB2312" w:eastAsia="仿宋_GB2312"/>
              <w:color w:val="auto"/>
              <w:sz w:val="32"/>
            </w:rPr>
            <w:fldChar w:fldCharType="separate"/>
          </w:r>
          <w:r>
            <w:rPr>
              <w:rFonts w:ascii="仿宋_GB2312" w:hAnsi="仿宋_GB2312" w:eastAsia="仿宋_GB2312"/>
              <w:color w:val="auto"/>
              <w:sz w:val="32"/>
            </w:rPr>
            <w:t>78</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2D93FD9">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_Toc23508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大气环境保护与防治</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_Toc23508 \h </w:instrText>
          </w:r>
          <w:r>
            <w:rPr>
              <w:rFonts w:ascii="仿宋_GB2312" w:hAnsi="仿宋_GB2312" w:eastAsia="仿宋_GB2312"/>
              <w:color w:val="auto"/>
              <w:sz w:val="32"/>
            </w:rPr>
            <w:fldChar w:fldCharType="separate"/>
          </w:r>
          <w:r>
            <w:rPr>
              <w:rFonts w:ascii="仿宋_GB2312" w:hAnsi="仿宋_GB2312" w:eastAsia="仿宋_GB2312"/>
              <w:color w:val="auto"/>
              <w:sz w:val="32"/>
            </w:rPr>
            <w:t>79</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DCE9204">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_Toc31969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eastAsia" w:ascii="仿宋_GB2312" w:hAnsi="仿宋_GB2312" w:eastAsia="仿宋_GB2312" w:cs="楷体_GB2312"/>
              <w:bCs w:val="0"/>
              <w:color w:val="auto"/>
              <w:spacing w:val="0"/>
              <w:kern w:val="2"/>
              <w:sz w:val="32"/>
              <w:szCs w:val="32"/>
              <w:highlight w:val="none"/>
              <w:lang w:val="en-US" w:eastAsia="zh-CN" w:bidi="ar-SA"/>
            </w:rPr>
            <w:t>水环境保护与防治</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_Toc31969 \h </w:instrText>
          </w:r>
          <w:r>
            <w:rPr>
              <w:rFonts w:ascii="仿宋_GB2312" w:hAnsi="仿宋_GB2312" w:eastAsia="仿宋_GB2312"/>
              <w:color w:val="auto"/>
              <w:sz w:val="32"/>
            </w:rPr>
            <w:fldChar w:fldCharType="separate"/>
          </w:r>
          <w:r>
            <w:rPr>
              <w:rFonts w:ascii="仿宋_GB2312" w:hAnsi="仿宋_GB2312" w:eastAsia="仿宋_GB2312"/>
              <w:color w:val="auto"/>
              <w:sz w:val="32"/>
            </w:rPr>
            <w:t>79</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CBFB4F1">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_Toc13662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eastAsia" w:ascii="仿宋_GB2312" w:hAnsi="仿宋_GB2312" w:eastAsia="仿宋_GB2312" w:cs="楷体_GB2312"/>
              <w:bCs w:val="0"/>
              <w:color w:val="auto"/>
              <w:spacing w:val="0"/>
              <w:kern w:val="2"/>
              <w:sz w:val="32"/>
              <w:szCs w:val="32"/>
              <w:highlight w:val="none"/>
              <w:lang w:val="en-US" w:eastAsia="zh-CN" w:bidi="ar-SA"/>
            </w:rPr>
            <w:t>噪声环境保护与防治</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_Toc13662 \h </w:instrText>
          </w:r>
          <w:r>
            <w:rPr>
              <w:rFonts w:ascii="仿宋_GB2312" w:hAnsi="仿宋_GB2312" w:eastAsia="仿宋_GB2312"/>
              <w:color w:val="auto"/>
              <w:sz w:val="32"/>
            </w:rPr>
            <w:fldChar w:fldCharType="separate"/>
          </w:r>
          <w:r>
            <w:rPr>
              <w:rFonts w:ascii="仿宋_GB2312" w:hAnsi="仿宋_GB2312" w:eastAsia="仿宋_GB2312"/>
              <w:color w:val="auto"/>
              <w:sz w:val="32"/>
            </w:rPr>
            <w:t>80</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54C98D4">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_Toc27371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（六） </w:t>
          </w:r>
          <w:r>
            <w:rPr>
              <w:rFonts w:hint="eastAsia" w:ascii="仿宋_GB2312" w:hAnsi="仿宋_GB2312" w:eastAsia="仿宋_GB2312" w:cs="楷体_GB2312"/>
              <w:bCs w:val="0"/>
              <w:color w:val="auto"/>
              <w:spacing w:val="0"/>
              <w:kern w:val="2"/>
              <w:sz w:val="32"/>
              <w:szCs w:val="32"/>
              <w:highlight w:val="none"/>
              <w:lang w:val="en-US" w:eastAsia="zh-CN" w:bidi="ar-SA"/>
            </w:rPr>
            <w:t>土壤环境保护与防治</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_Toc27371 \h </w:instrText>
          </w:r>
          <w:r>
            <w:rPr>
              <w:rFonts w:ascii="仿宋_GB2312" w:hAnsi="仿宋_GB2312" w:eastAsia="仿宋_GB2312"/>
              <w:color w:val="auto"/>
              <w:sz w:val="32"/>
            </w:rPr>
            <w:fldChar w:fldCharType="separate"/>
          </w:r>
          <w:r>
            <w:rPr>
              <w:rFonts w:ascii="仿宋_GB2312" w:hAnsi="仿宋_GB2312" w:eastAsia="仿宋_GB2312"/>
              <w:color w:val="auto"/>
              <w:sz w:val="32"/>
            </w:rPr>
            <w:t>80</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4FB4ACBE">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_Toc22375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十、 </w:t>
          </w:r>
          <w:r>
            <w:rPr>
              <w:rFonts w:hint="eastAsia" w:ascii="仿宋_GB2312" w:hAnsi="仿宋_GB2312" w:eastAsia="仿宋_GB2312" w:cs="黑体"/>
              <w:b/>
              <w:bCs/>
              <w:color w:val="auto"/>
              <w:spacing w:val="0"/>
              <w:sz w:val="32"/>
              <w:szCs w:val="32"/>
              <w:highlight w:val="none"/>
              <w:lang w:val="en-US" w:eastAsia="zh-CN"/>
            </w:rPr>
            <w:t>管理体系规划</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_Toc22375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82</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6581064C">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_Toc11260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eastAsia" w:ascii="仿宋_GB2312" w:hAnsi="仿宋_GB2312" w:eastAsia="仿宋_GB2312" w:cs="楷体_GB2312"/>
              <w:bCs w:val="0"/>
              <w:color w:val="auto"/>
              <w:spacing w:val="0"/>
              <w:kern w:val="2"/>
              <w:sz w:val="32"/>
              <w:szCs w:val="32"/>
              <w:highlight w:val="none"/>
              <w:lang w:val="en-US" w:eastAsia="zh-CN" w:bidi="ar-SA"/>
            </w:rPr>
            <w:t>处置核准管理机制</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_Toc11260 \h </w:instrText>
          </w:r>
          <w:r>
            <w:rPr>
              <w:rFonts w:ascii="仿宋_GB2312" w:hAnsi="仿宋_GB2312" w:eastAsia="仿宋_GB2312"/>
              <w:color w:val="auto"/>
              <w:sz w:val="32"/>
            </w:rPr>
            <w:fldChar w:fldCharType="separate"/>
          </w:r>
          <w:r>
            <w:rPr>
              <w:rFonts w:ascii="仿宋_GB2312" w:hAnsi="仿宋_GB2312" w:eastAsia="仿宋_GB2312"/>
              <w:color w:val="auto"/>
              <w:sz w:val="32"/>
            </w:rPr>
            <w:t>82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78486AE">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_Toc23500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eastAsia" w:ascii="仿宋_GB2312" w:hAnsi="仿宋_GB2312" w:eastAsia="仿宋_GB2312" w:cs="楷体_GB2312"/>
              <w:bCs w:val="0"/>
              <w:color w:val="auto"/>
              <w:spacing w:val="0"/>
              <w:kern w:val="2"/>
              <w:sz w:val="32"/>
              <w:szCs w:val="32"/>
              <w:highlight w:val="none"/>
              <w:lang w:val="en-US" w:eastAsia="zh-CN" w:bidi="ar-SA"/>
            </w:rPr>
            <w:t>全过程联单管理机制</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_Toc23500 \h </w:instrText>
          </w:r>
          <w:r>
            <w:rPr>
              <w:rFonts w:ascii="仿宋_GB2312" w:hAnsi="仿宋_GB2312" w:eastAsia="仿宋_GB2312"/>
              <w:color w:val="auto"/>
              <w:sz w:val="32"/>
            </w:rPr>
            <w:fldChar w:fldCharType="separate"/>
          </w:r>
          <w:r>
            <w:rPr>
              <w:rFonts w:ascii="仿宋_GB2312" w:hAnsi="仿宋_GB2312" w:eastAsia="仿宋_GB2312"/>
              <w:color w:val="auto"/>
              <w:sz w:val="32"/>
            </w:rPr>
            <w:t>82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3D2E81B6">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_Toc4256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跨区域平衡处置和生态补偿机制</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_Toc4256 \h </w:instrText>
          </w:r>
          <w:r>
            <w:rPr>
              <w:rFonts w:ascii="仿宋_GB2312" w:hAnsi="仿宋_GB2312" w:eastAsia="仿宋_GB2312"/>
              <w:color w:val="auto"/>
              <w:sz w:val="32"/>
            </w:rPr>
            <w:fldChar w:fldCharType="separate"/>
          </w:r>
          <w:r>
            <w:rPr>
              <w:rFonts w:ascii="仿宋_GB2312" w:hAnsi="仿宋_GB2312" w:eastAsia="仿宋_GB2312"/>
              <w:color w:val="auto"/>
              <w:sz w:val="32"/>
            </w:rPr>
            <w:t>82</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DAB8F96">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_Toc32392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eastAsia" w:ascii="仿宋_GB2312" w:hAnsi="仿宋_GB2312" w:eastAsia="仿宋_GB2312" w:cs="楷体_GB2312"/>
              <w:bCs w:val="0"/>
              <w:color w:val="auto"/>
              <w:spacing w:val="0"/>
              <w:kern w:val="2"/>
              <w:sz w:val="32"/>
              <w:szCs w:val="32"/>
              <w:highlight w:val="none"/>
              <w:lang w:val="en-US" w:eastAsia="zh-CN" w:bidi="ar-SA"/>
            </w:rPr>
            <w:t>政府扶持机制</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_Toc32392 \h </w:instrText>
          </w:r>
          <w:r>
            <w:rPr>
              <w:rFonts w:ascii="仿宋_GB2312" w:hAnsi="仿宋_GB2312" w:eastAsia="仿宋_GB2312"/>
              <w:color w:val="auto"/>
              <w:sz w:val="32"/>
            </w:rPr>
            <w:fldChar w:fldCharType="separate"/>
          </w:r>
          <w:r>
            <w:rPr>
              <w:rFonts w:ascii="仿宋_GB2312" w:hAnsi="仿宋_GB2312" w:eastAsia="仿宋_GB2312"/>
              <w:color w:val="auto"/>
              <w:sz w:val="32"/>
            </w:rPr>
            <w:t>83</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40174A6">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_Toc17434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eastAsia" w:ascii="仿宋_GB2312" w:hAnsi="仿宋_GB2312" w:eastAsia="仿宋_GB2312" w:cs="楷体_GB2312"/>
              <w:bCs w:val="0"/>
              <w:color w:val="auto"/>
              <w:spacing w:val="0"/>
              <w:kern w:val="2"/>
              <w:sz w:val="32"/>
              <w:szCs w:val="32"/>
              <w:highlight w:val="none"/>
              <w:lang w:val="en-US" w:eastAsia="zh-CN" w:bidi="ar-SA"/>
            </w:rPr>
            <w:t>源头责任机制</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_Toc17434 \h </w:instrText>
          </w:r>
          <w:r>
            <w:rPr>
              <w:rFonts w:ascii="仿宋_GB2312" w:hAnsi="仿宋_GB2312" w:eastAsia="仿宋_GB2312"/>
              <w:color w:val="auto"/>
              <w:sz w:val="32"/>
            </w:rPr>
            <w:fldChar w:fldCharType="separate"/>
          </w:r>
          <w:r>
            <w:rPr>
              <w:rFonts w:ascii="仿宋_GB2312" w:hAnsi="仿宋_GB2312" w:eastAsia="仿宋_GB2312"/>
              <w:color w:val="auto"/>
              <w:sz w:val="32"/>
            </w:rPr>
            <w:t>84</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179C96EE">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_Toc26680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（六） </w:t>
          </w:r>
          <w:r>
            <w:rPr>
              <w:rFonts w:hint="eastAsia" w:ascii="仿宋_GB2312" w:hAnsi="仿宋_GB2312" w:eastAsia="仿宋_GB2312" w:cs="楷体_GB2312"/>
              <w:bCs w:val="0"/>
              <w:color w:val="auto"/>
              <w:spacing w:val="0"/>
              <w:kern w:val="2"/>
              <w:sz w:val="32"/>
              <w:szCs w:val="32"/>
              <w:highlight w:val="none"/>
              <w:lang w:val="en-US" w:eastAsia="zh-CN" w:bidi="ar-SA"/>
            </w:rPr>
            <w:t>联合执法机制</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_Toc26680 \h </w:instrText>
          </w:r>
          <w:r>
            <w:rPr>
              <w:rFonts w:ascii="仿宋_GB2312" w:hAnsi="仿宋_GB2312" w:eastAsia="仿宋_GB2312"/>
              <w:color w:val="auto"/>
              <w:sz w:val="32"/>
            </w:rPr>
            <w:fldChar w:fldCharType="separate"/>
          </w:r>
          <w:r>
            <w:rPr>
              <w:rFonts w:ascii="仿宋_GB2312" w:hAnsi="仿宋_GB2312" w:eastAsia="仿宋_GB2312"/>
              <w:color w:val="auto"/>
              <w:sz w:val="32"/>
            </w:rPr>
            <w:t>84</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10C3C4B6">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_Toc30030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（七） </w:t>
          </w:r>
          <w:r>
            <w:rPr>
              <w:rFonts w:hint="eastAsia" w:ascii="仿宋_GB2312" w:hAnsi="仿宋_GB2312" w:eastAsia="仿宋_GB2312" w:cs="楷体_GB2312"/>
              <w:bCs w:val="0"/>
              <w:color w:val="auto"/>
              <w:spacing w:val="0"/>
              <w:kern w:val="2"/>
              <w:sz w:val="32"/>
              <w:szCs w:val="32"/>
              <w:highlight w:val="none"/>
              <w:lang w:val="en-US" w:eastAsia="zh-CN" w:bidi="ar-SA"/>
            </w:rPr>
            <w:t>投诉举报机制</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_Toc30030 \h </w:instrText>
          </w:r>
          <w:r>
            <w:rPr>
              <w:rFonts w:ascii="仿宋_GB2312" w:hAnsi="仿宋_GB2312" w:eastAsia="仿宋_GB2312"/>
              <w:color w:val="auto"/>
              <w:sz w:val="32"/>
            </w:rPr>
            <w:fldChar w:fldCharType="separate"/>
          </w:r>
          <w:r>
            <w:rPr>
              <w:rFonts w:ascii="仿宋_GB2312" w:hAnsi="仿宋_GB2312" w:eastAsia="仿宋_GB2312"/>
              <w:color w:val="auto"/>
              <w:sz w:val="32"/>
            </w:rPr>
            <w:t>85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0FE41B52">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_Toc6635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（八） </w:t>
          </w:r>
          <w:r>
            <w:rPr>
              <w:rFonts w:hint="eastAsia" w:ascii="仿宋_GB2312" w:hAnsi="仿宋_GB2312" w:eastAsia="仿宋_GB2312" w:cs="楷体_GB2312"/>
              <w:bCs w:val="0"/>
              <w:color w:val="auto"/>
              <w:spacing w:val="0"/>
              <w:kern w:val="2"/>
              <w:sz w:val="32"/>
              <w:szCs w:val="32"/>
              <w:highlight w:val="none"/>
              <w:lang w:val="en-US" w:eastAsia="zh-CN" w:bidi="ar-SA"/>
            </w:rPr>
            <w:t>探索付费机制</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_Toc6635 \h </w:instrText>
          </w:r>
          <w:r>
            <w:rPr>
              <w:rFonts w:ascii="仿宋_GB2312" w:hAnsi="仿宋_GB2312" w:eastAsia="仿宋_GB2312"/>
              <w:color w:val="auto"/>
              <w:sz w:val="32"/>
            </w:rPr>
            <w:fldChar w:fldCharType="separate"/>
          </w:r>
          <w:r>
            <w:rPr>
              <w:rFonts w:ascii="仿宋_GB2312" w:hAnsi="仿宋_GB2312" w:eastAsia="仿宋_GB2312"/>
              <w:color w:val="auto"/>
              <w:sz w:val="32"/>
            </w:rPr>
            <w:t>85</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26F8380">
          <w:pPr>
            <w:pStyle w:val="31"/>
            <w:keepNext w:val="0"/>
            <w:keepLines w:val="0"/>
            <w:pageBreakBefore w:val="0"/>
            <w:widowControl/>
            <w:tabs>
              <w:tab w:val="right" w:leader="dot" w:pos="873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b/>
              <w:bCs/>
              <w:color w:val="auto"/>
              <w:sz w:val="32"/>
            </w:rPr>
          </w:pPr>
          <w:r>
            <w:rPr>
              <w:rFonts w:hint="eastAsia" w:ascii="仿宋_GB2312" w:hAnsi="仿宋_GB2312" w:eastAsia="仿宋_GB2312" w:cs="仿宋_GB2312"/>
              <w:b/>
              <w:bCs/>
              <w:color w:val="auto"/>
              <w:sz w:val="32"/>
              <w:szCs w:val="32"/>
              <w:highlight w:val="none"/>
            </w:rPr>
            <w:fldChar w:fldCharType="begin"/>
          </w:r>
          <w:r>
            <w:rPr>
              <w:rFonts w:hint="eastAsia" w:ascii="仿宋_GB2312" w:hAnsi="仿宋_GB2312" w:eastAsia="仿宋_GB2312" w:cs="仿宋_GB2312"/>
              <w:b/>
              <w:bCs/>
              <w:color w:val="auto"/>
              <w:sz w:val="32"/>
              <w:szCs w:val="32"/>
              <w:highlight w:val="none"/>
            </w:rPr>
            <w:instrText xml:space="preserve"> HYPERLINK \l _Toc24549 </w:instrText>
          </w:r>
          <w:r>
            <w:rPr>
              <w:rFonts w:hint="eastAsia" w:ascii="仿宋_GB2312" w:hAnsi="仿宋_GB2312" w:eastAsia="仿宋_GB2312" w:cs="仿宋_GB2312"/>
              <w:b/>
              <w:bCs/>
              <w:color w:val="auto"/>
              <w:sz w:val="32"/>
              <w:szCs w:val="32"/>
              <w:highlight w:val="none"/>
            </w:rPr>
            <w:fldChar w:fldCharType="separate"/>
          </w:r>
          <w:r>
            <w:rPr>
              <w:rFonts w:hint="eastAsia" w:ascii="仿宋_GB2312" w:hAnsi="仿宋_GB2312" w:eastAsia="仿宋_GB2312"/>
              <w:b/>
              <w:bCs/>
              <w:color w:val="auto"/>
              <w:spacing w:val="0"/>
              <w:sz w:val="32"/>
              <w:szCs w:val="32"/>
              <w:lang w:val="en-US" w:eastAsia="zh-CN"/>
            </w:rPr>
            <w:t xml:space="preserve">十一、 </w:t>
          </w:r>
          <w:r>
            <w:rPr>
              <w:rFonts w:hint="eastAsia" w:ascii="仿宋_GB2312" w:hAnsi="仿宋_GB2312" w:eastAsia="仿宋_GB2312" w:cs="黑体"/>
              <w:b/>
              <w:bCs/>
              <w:color w:val="auto"/>
              <w:spacing w:val="0"/>
              <w:sz w:val="32"/>
              <w:szCs w:val="32"/>
              <w:highlight w:val="none"/>
              <w:lang w:val="en-US" w:eastAsia="zh-CN"/>
            </w:rPr>
            <w:t>保障措施</w:t>
          </w:r>
          <w:r>
            <w:rPr>
              <w:rFonts w:ascii="仿宋_GB2312" w:hAnsi="仿宋_GB2312" w:eastAsia="仿宋_GB2312"/>
              <w:b/>
              <w:bCs/>
              <w:color w:val="auto"/>
              <w:sz w:val="32"/>
            </w:rPr>
            <w:tab/>
          </w:r>
          <w:r>
            <w:rPr>
              <w:rFonts w:ascii="仿宋_GB2312" w:hAnsi="仿宋_GB2312" w:eastAsia="仿宋_GB2312"/>
              <w:b/>
              <w:bCs/>
              <w:color w:val="auto"/>
              <w:sz w:val="32"/>
            </w:rPr>
            <w:fldChar w:fldCharType="begin"/>
          </w:r>
          <w:r>
            <w:rPr>
              <w:rFonts w:ascii="仿宋_GB2312" w:hAnsi="仿宋_GB2312" w:eastAsia="仿宋_GB2312"/>
              <w:b/>
              <w:bCs/>
              <w:color w:val="auto"/>
              <w:sz w:val="32"/>
            </w:rPr>
            <w:instrText xml:space="preserve"> PAGEREF _Toc24549 \h </w:instrText>
          </w:r>
          <w:r>
            <w:rPr>
              <w:rFonts w:ascii="仿宋_GB2312" w:hAnsi="仿宋_GB2312" w:eastAsia="仿宋_GB2312"/>
              <w:b/>
              <w:bCs/>
              <w:color w:val="auto"/>
              <w:sz w:val="32"/>
            </w:rPr>
            <w:fldChar w:fldCharType="separate"/>
          </w:r>
          <w:r>
            <w:rPr>
              <w:rFonts w:ascii="仿宋_GB2312" w:hAnsi="仿宋_GB2312" w:eastAsia="仿宋_GB2312"/>
              <w:b/>
              <w:bCs/>
              <w:color w:val="auto"/>
              <w:sz w:val="32"/>
            </w:rPr>
            <w:t>86</w:t>
          </w:r>
          <w:r>
            <w:rPr>
              <w:rFonts w:ascii="仿宋_GB2312" w:hAnsi="仿宋_GB2312" w:eastAsia="仿宋_GB2312"/>
              <w:b/>
              <w:bCs/>
              <w:color w:val="auto"/>
              <w:sz w:val="32"/>
            </w:rPr>
            <w:fldChar w:fldCharType="end"/>
          </w:r>
          <w:r>
            <w:rPr>
              <w:rFonts w:hint="eastAsia" w:ascii="仿宋_GB2312" w:hAnsi="仿宋_GB2312" w:eastAsia="仿宋_GB2312" w:cs="仿宋_GB2312"/>
              <w:b/>
              <w:bCs/>
              <w:color w:val="auto"/>
              <w:sz w:val="32"/>
              <w:szCs w:val="32"/>
              <w:highlight w:val="none"/>
            </w:rPr>
            <w:fldChar w:fldCharType="end"/>
          </w:r>
        </w:p>
        <w:p w14:paraId="67C2B86B">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_Toc27696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（一） </w:t>
          </w:r>
          <w:r>
            <w:rPr>
              <w:rFonts w:hint="eastAsia" w:ascii="仿宋_GB2312" w:hAnsi="仿宋_GB2312" w:eastAsia="仿宋_GB2312" w:cs="楷体_GB2312"/>
              <w:bCs w:val="0"/>
              <w:color w:val="auto"/>
              <w:spacing w:val="0"/>
              <w:kern w:val="2"/>
              <w:sz w:val="32"/>
              <w:szCs w:val="32"/>
              <w:highlight w:val="none"/>
              <w:lang w:val="en-US" w:eastAsia="zh-CN" w:bidi="ar-SA"/>
            </w:rPr>
            <w:t>强化统筹推进</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_Toc27696 \h </w:instrText>
          </w:r>
          <w:r>
            <w:rPr>
              <w:rFonts w:ascii="仿宋_GB2312" w:hAnsi="仿宋_GB2312" w:eastAsia="仿宋_GB2312"/>
              <w:color w:val="auto"/>
              <w:sz w:val="32"/>
            </w:rPr>
            <w:fldChar w:fldCharType="separate"/>
          </w:r>
          <w:r>
            <w:rPr>
              <w:rFonts w:ascii="仿宋_GB2312" w:hAnsi="仿宋_GB2312" w:eastAsia="仿宋_GB2312"/>
              <w:color w:val="auto"/>
              <w:sz w:val="32"/>
            </w:rPr>
            <w:t>86</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2F8F6244">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_Toc32664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（二） </w:t>
          </w:r>
          <w:r>
            <w:rPr>
              <w:rFonts w:hint="eastAsia" w:ascii="仿宋_GB2312" w:hAnsi="仿宋_GB2312" w:eastAsia="仿宋_GB2312" w:cs="楷体_GB2312"/>
              <w:bCs w:val="0"/>
              <w:color w:val="auto"/>
              <w:spacing w:val="0"/>
              <w:kern w:val="2"/>
              <w:sz w:val="32"/>
              <w:szCs w:val="32"/>
              <w:highlight w:val="none"/>
              <w:lang w:val="en-US" w:eastAsia="zh-CN" w:bidi="ar-SA"/>
            </w:rPr>
            <w:t>落实政策扶持</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_Toc32664 \h </w:instrText>
          </w:r>
          <w:r>
            <w:rPr>
              <w:rFonts w:ascii="仿宋_GB2312" w:hAnsi="仿宋_GB2312" w:eastAsia="仿宋_GB2312"/>
              <w:color w:val="auto"/>
              <w:sz w:val="32"/>
            </w:rPr>
            <w:fldChar w:fldCharType="separate"/>
          </w:r>
          <w:r>
            <w:rPr>
              <w:rFonts w:ascii="仿宋_GB2312" w:hAnsi="仿宋_GB2312" w:eastAsia="仿宋_GB2312"/>
              <w:color w:val="auto"/>
              <w:sz w:val="32"/>
            </w:rPr>
            <w:t>86</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6B497DE2">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_Toc25526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（三） </w:t>
          </w:r>
          <w:r>
            <w:rPr>
              <w:rFonts w:hint="eastAsia" w:ascii="仿宋_GB2312" w:hAnsi="仿宋_GB2312" w:eastAsia="仿宋_GB2312" w:cs="楷体_GB2312"/>
              <w:bCs w:val="0"/>
              <w:color w:val="auto"/>
              <w:spacing w:val="0"/>
              <w:kern w:val="2"/>
              <w:sz w:val="32"/>
              <w:szCs w:val="32"/>
              <w:highlight w:val="none"/>
              <w:lang w:val="en-US" w:eastAsia="zh-CN" w:bidi="ar-SA"/>
            </w:rPr>
            <w:t>强化联合监管及执法</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_Toc25526 \h </w:instrText>
          </w:r>
          <w:r>
            <w:rPr>
              <w:rFonts w:ascii="仿宋_GB2312" w:hAnsi="仿宋_GB2312" w:eastAsia="仿宋_GB2312"/>
              <w:color w:val="auto"/>
              <w:sz w:val="32"/>
            </w:rPr>
            <w:fldChar w:fldCharType="separate"/>
          </w:r>
          <w:r>
            <w:rPr>
              <w:rFonts w:ascii="仿宋_GB2312" w:hAnsi="仿宋_GB2312" w:eastAsia="仿宋_GB2312"/>
              <w:color w:val="auto"/>
              <w:sz w:val="32"/>
            </w:rPr>
            <w:t>87</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1EF8E0F3">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_Toc18117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（四） </w:t>
          </w:r>
          <w:r>
            <w:rPr>
              <w:rFonts w:hint="default" w:ascii="仿宋_GB2312" w:hAnsi="仿宋_GB2312" w:eastAsia="仿宋_GB2312" w:cs="楷体_GB2312"/>
              <w:bCs w:val="0"/>
              <w:color w:val="auto"/>
              <w:spacing w:val="0"/>
              <w:kern w:val="2"/>
              <w:sz w:val="32"/>
              <w:szCs w:val="32"/>
              <w:highlight w:val="none"/>
              <w:lang w:val="en-US" w:eastAsia="zh-CN" w:bidi="ar-SA"/>
            </w:rPr>
            <w:t>发挥财政资金引导作用</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_Toc18117 \h </w:instrText>
          </w:r>
          <w:r>
            <w:rPr>
              <w:rFonts w:ascii="仿宋_GB2312" w:hAnsi="仿宋_GB2312" w:eastAsia="仿宋_GB2312"/>
              <w:color w:val="auto"/>
              <w:sz w:val="32"/>
            </w:rPr>
            <w:fldChar w:fldCharType="separate"/>
          </w:r>
          <w:r>
            <w:rPr>
              <w:rFonts w:ascii="仿宋_GB2312" w:hAnsi="仿宋_GB2312" w:eastAsia="仿宋_GB2312"/>
              <w:color w:val="auto"/>
              <w:sz w:val="32"/>
            </w:rPr>
            <w:t>87</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F562EDD">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_Toc28689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（五） </w:t>
          </w:r>
          <w:r>
            <w:rPr>
              <w:rFonts w:hint="eastAsia" w:ascii="仿宋_GB2312" w:hAnsi="仿宋_GB2312" w:eastAsia="仿宋_GB2312" w:cs="楷体_GB2312"/>
              <w:bCs w:val="0"/>
              <w:color w:val="auto"/>
              <w:spacing w:val="0"/>
              <w:kern w:val="2"/>
              <w:sz w:val="32"/>
              <w:szCs w:val="32"/>
              <w:highlight w:val="none"/>
              <w:lang w:val="en-US" w:eastAsia="zh-CN" w:bidi="ar-SA"/>
            </w:rPr>
            <w:t>完善用地保障</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_Toc28689 \h </w:instrText>
          </w:r>
          <w:r>
            <w:rPr>
              <w:rFonts w:ascii="仿宋_GB2312" w:hAnsi="仿宋_GB2312" w:eastAsia="仿宋_GB2312"/>
              <w:color w:val="auto"/>
              <w:sz w:val="32"/>
            </w:rPr>
            <w:fldChar w:fldCharType="separate"/>
          </w:r>
          <w:r>
            <w:rPr>
              <w:rFonts w:ascii="仿宋_GB2312" w:hAnsi="仿宋_GB2312" w:eastAsia="仿宋_GB2312"/>
              <w:color w:val="auto"/>
              <w:sz w:val="32"/>
            </w:rPr>
            <w:t>87</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A7F356B">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_Toc15033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（六） </w:t>
          </w:r>
          <w:r>
            <w:rPr>
              <w:rFonts w:hint="default" w:ascii="仿宋_GB2312" w:hAnsi="仿宋_GB2312" w:eastAsia="仿宋_GB2312" w:cs="楷体_GB2312"/>
              <w:bCs w:val="0"/>
              <w:color w:val="auto"/>
              <w:spacing w:val="0"/>
              <w:kern w:val="2"/>
              <w:sz w:val="32"/>
              <w:szCs w:val="32"/>
              <w:highlight w:val="none"/>
              <w:lang w:val="en-US" w:eastAsia="zh-CN" w:bidi="ar-SA"/>
            </w:rPr>
            <w:t>推动建筑垃圾利用处置情况作为竣工验收</w:t>
          </w:r>
          <w:r>
            <w:rPr>
              <w:rFonts w:hint="eastAsia" w:ascii="仿宋_GB2312" w:hAnsi="仿宋_GB2312" w:eastAsia="仿宋_GB2312" w:cs="楷体_GB2312"/>
              <w:bCs w:val="0"/>
              <w:color w:val="auto"/>
              <w:spacing w:val="0"/>
              <w:kern w:val="2"/>
              <w:sz w:val="32"/>
              <w:szCs w:val="32"/>
              <w:highlight w:val="none"/>
              <w:lang w:val="en-US" w:eastAsia="zh-CN" w:bidi="ar-SA"/>
            </w:rPr>
            <w:t>依据</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_Toc15033 \h </w:instrText>
          </w:r>
          <w:r>
            <w:rPr>
              <w:rFonts w:ascii="仿宋_GB2312" w:hAnsi="仿宋_GB2312" w:eastAsia="仿宋_GB2312"/>
              <w:color w:val="auto"/>
              <w:sz w:val="32"/>
            </w:rPr>
            <w:fldChar w:fldCharType="separate"/>
          </w:r>
          <w:r>
            <w:rPr>
              <w:rFonts w:ascii="仿宋_GB2312" w:hAnsi="仿宋_GB2312" w:eastAsia="仿宋_GB2312"/>
              <w:color w:val="auto"/>
              <w:sz w:val="32"/>
            </w:rPr>
            <w:t>88</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0018E84">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_Toc3404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（七） </w:t>
          </w:r>
          <w:r>
            <w:rPr>
              <w:rFonts w:hint="eastAsia" w:ascii="仿宋_GB2312" w:hAnsi="仿宋_GB2312" w:eastAsia="仿宋_GB2312" w:cs="楷体_GB2312"/>
              <w:bCs w:val="0"/>
              <w:color w:val="auto"/>
              <w:spacing w:val="0"/>
              <w:kern w:val="2"/>
              <w:sz w:val="32"/>
              <w:szCs w:val="32"/>
              <w:highlight w:val="none"/>
              <w:lang w:val="en-US" w:eastAsia="zh-CN" w:bidi="ar-SA"/>
            </w:rPr>
            <w:t>强化人才队伍建设</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_Toc3404 \h </w:instrText>
          </w:r>
          <w:r>
            <w:rPr>
              <w:rFonts w:ascii="仿宋_GB2312" w:hAnsi="仿宋_GB2312" w:eastAsia="仿宋_GB2312"/>
              <w:color w:val="auto"/>
              <w:sz w:val="32"/>
            </w:rPr>
            <w:fldChar w:fldCharType="separate"/>
          </w:r>
          <w:r>
            <w:rPr>
              <w:rFonts w:ascii="仿宋_GB2312" w:hAnsi="仿宋_GB2312" w:eastAsia="仿宋_GB2312"/>
              <w:color w:val="auto"/>
              <w:sz w:val="32"/>
            </w:rPr>
            <w:t>88</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7227DC56">
          <w:pPr>
            <w:pStyle w:val="36"/>
            <w:keepNext w:val="0"/>
            <w:keepLines w:val="0"/>
            <w:pageBreakBefore w:val="0"/>
            <w:widowControl/>
            <w:tabs>
              <w:tab w:val="right" w:leader="dot" w:pos="8731"/>
              <w:tab w:val="clear" w:pos="851"/>
              <w:tab w:val="clear" w:pos="9072"/>
            </w:tabs>
            <w:kinsoku/>
            <w:wordWrap/>
            <w:overflowPunct/>
            <w:topLinePunct w:val="0"/>
            <w:autoSpaceDE/>
            <w:autoSpaceDN/>
            <w:bidi w:val="0"/>
            <w:adjustRightInd/>
            <w:snapToGrid/>
            <w:spacing w:line="430" w:lineRule="exact"/>
            <w:textAlignment w:val="auto"/>
            <w:rPr>
              <w:rFonts w:ascii="仿宋_GB2312" w:hAnsi="仿宋_GB2312" w:eastAsia="仿宋_GB2312"/>
              <w:color w:val="auto"/>
              <w:sz w:val="32"/>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_Toc11102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楷体_GB2312"/>
              <w:bCs w:val="0"/>
              <w:color w:val="auto"/>
              <w:spacing w:val="0"/>
              <w:kern w:val="2"/>
              <w:sz w:val="32"/>
              <w:szCs w:val="32"/>
              <w:lang w:val="en-US" w:eastAsia="zh-CN" w:bidi="ar-SA"/>
            </w:rPr>
            <w:t xml:space="preserve">（八） </w:t>
          </w:r>
          <w:r>
            <w:rPr>
              <w:rFonts w:hint="eastAsia" w:ascii="仿宋_GB2312" w:hAnsi="仿宋_GB2312" w:eastAsia="仿宋_GB2312" w:cs="楷体_GB2312"/>
              <w:bCs w:val="0"/>
              <w:color w:val="auto"/>
              <w:spacing w:val="0"/>
              <w:kern w:val="2"/>
              <w:sz w:val="32"/>
              <w:szCs w:val="32"/>
              <w:highlight w:val="none"/>
              <w:lang w:val="en-US" w:eastAsia="zh-CN" w:bidi="ar-SA"/>
            </w:rPr>
            <w:t>加强宣传培训</w:t>
          </w:r>
          <w:r>
            <w:rPr>
              <w:rFonts w:ascii="仿宋_GB2312" w:hAnsi="仿宋_GB2312" w:eastAsia="仿宋_GB2312"/>
              <w:color w:val="auto"/>
              <w:sz w:val="32"/>
            </w:rPr>
            <w:tab/>
          </w:r>
          <w:r>
            <w:rPr>
              <w:rFonts w:ascii="仿宋_GB2312" w:hAnsi="仿宋_GB2312" w:eastAsia="仿宋_GB2312"/>
              <w:color w:val="auto"/>
              <w:sz w:val="32"/>
            </w:rPr>
            <w:fldChar w:fldCharType="begin"/>
          </w:r>
          <w:r>
            <w:rPr>
              <w:rFonts w:ascii="仿宋_GB2312" w:hAnsi="仿宋_GB2312" w:eastAsia="仿宋_GB2312"/>
              <w:color w:val="auto"/>
              <w:sz w:val="32"/>
            </w:rPr>
            <w:instrText xml:space="preserve"> PAGEREF _Toc11102 \h </w:instrText>
          </w:r>
          <w:r>
            <w:rPr>
              <w:rFonts w:ascii="仿宋_GB2312" w:hAnsi="仿宋_GB2312" w:eastAsia="仿宋_GB2312"/>
              <w:color w:val="auto"/>
              <w:sz w:val="32"/>
            </w:rPr>
            <w:fldChar w:fldCharType="separate"/>
          </w:r>
          <w:r>
            <w:rPr>
              <w:rFonts w:ascii="仿宋_GB2312" w:hAnsi="仿宋_GB2312" w:eastAsia="仿宋_GB2312"/>
              <w:color w:val="auto"/>
              <w:sz w:val="32"/>
            </w:rPr>
            <w:t>88</w:t>
          </w:r>
          <w:r>
            <w:rPr>
              <w:rFonts w:ascii="仿宋_GB2312" w:hAnsi="仿宋_GB2312" w:eastAsia="仿宋_GB2312"/>
              <w:color w:val="auto"/>
              <w:sz w:val="32"/>
            </w:rPr>
            <w:fldChar w:fldCharType="end"/>
          </w:r>
          <w:r>
            <w:rPr>
              <w:rFonts w:hint="eastAsia" w:ascii="仿宋_GB2312" w:hAnsi="仿宋_GB2312" w:eastAsia="仿宋_GB2312" w:cs="仿宋_GB2312"/>
              <w:color w:val="auto"/>
              <w:sz w:val="32"/>
              <w:szCs w:val="32"/>
              <w:highlight w:val="none"/>
            </w:rPr>
            <w:fldChar w:fldCharType="end"/>
          </w:r>
        </w:p>
        <w:p w14:paraId="623B67EE">
          <w:pPr>
            <w:keepNext w:val="0"/>
            <w:keepLines w:val="0"/>
            <w:pageBreakBefore w:val="0"/>
            <w:widowControl/>
            <w:kinsoku/>
            <w:wordWrap/>
            <w:overflowPunct/>
            <w:topLinePunct w:val="0"/>
            <w:autoSpaceDE/>
            <w:autoSpaceDN/>
            <w:bidi w:val="0"/>
            <w:adjustRightInd/>
            <w:snapToGrid/>
            <w:spacing w:line="430" w:lineRule="exac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sz w:val="32"/>
              <w:szCs w:val="32"/>
              <w:highlight w:val="none"/>
            </w:rPr>
            <w:fldChar w:fldCharType="end"/>
          </w:r>
        </w:p>
      </w:sdtContent>
    </w:sdt>
    <w:p w14:paraId="60F9F7A2">
      <w:pPr>
        <w:pStyle w:val="31"/>
        <w:keepNext w:val="0"/>
        <w:keepLines w:val="0"/>
        <w:pageBreakBefore w:val="0"/>
        <w:widowControl/>
        <w:tabs>
          <w:tab w:val="left" w:pos="960"/>
          <w:tab w:val="center" w:pos="4595"/>
        </w:tabs>
        <w:wordWrap/>
        <w:overflowPunct w:val="0"/>
        <w:topLinePunct w:val="0"/>
        <w:bidi w:val="0"/>
        <w:spacing w:before="120" w:after="120" w:line="240" w:lineRule="auto"/>
        <w:jc w:val="both"/>
        <w:rPr>
          <w:rFonts w:hint="eastAsia" w:ascii="仿宋_GB2312" w:hAnsi="仿宋_GB2312" w:eastAsia="仿宋_GB2312" w:cs="仿宋_GB2312"/>
          <w:color w:val="auto"/>
          <w:spacing w:val="0"/>
          <w:sz w:val="40"/>
          <w:szCs w:val="40"/>
          <w:highlight w:val="none"/>
          <w:lang w:eastAsia="zh-CN"/>
        </w:rPr>
      </w:pPr>
      <w:r>
        <w:rPr>
          <w:rFonts w:hint="eastAsia" w:ascii="仿宋_GB2312" w:hAnsi="仿宋_GB2312" w:eastAsia="仿宋_GB2312" w:cs="仿宋_GB2312"/>
          <w:color w:val="auto"/>
          <w:spacing w:val="0"/>
          <w:sz w:val="40"/>
          <w:szCs w:val="40"/>
          <w:highlight w:val="none"/>
          <w:lang w:eastAsia="zh-CN"/>
        </w:rPr>
        <w:tab/>
      </w:r>
      <w:r>
        <w:rPr>
          <w:rFonts w:hint="eastAsia" w:ascii="仿宋_GB2312" w:hAnsi="仿宋_GB2312" w:eastAsia="仿宋_GB2312" w:cs="仿宋_GB2312"/>
          <w:color w:val="auto"/>
          <w:spacing w:val="0"/>
          <w:sz w:val="40"/>
          <w:szCs w:val="40"/>
          <w:highlight w:val="none"/>
          <w:lang w:eastAsia="zh-CN"/>
        </w:rPr>
        <w:tab/>
      </w:r>
    </w:p>
    <w:p w14:paraId="5058625A">
      <w:pPr>
        <w:pStyle w:val="115"/>
        <w:keepNext w:val="0"/>
        <w:keepLines w:val="0"/>
        <w:pageBreakBefore w:val="0"/>
        <w:widowControl/>
        <w:wordWrap/>
        <w:overflowPunct w:val="0"/>
        <w:topLinePunct w:val="0"/>
        <w:bidi w:val="0"/>
        <w:spacing w:line="240" w:lineRule="auto"/>
        <w:jc w:val="both"/>
        <w:rPr>
          <w:rFonts w:ascii="仿宋_GB2312" w:hAnsi="仿宋_GB2312" w:eastAsia="仿宋_GB2312" w:cs="仿宋_GB2312"/>
          <w:color w:val="auto"/>
          <w:spacing w:val="0"/>
          <w:highlight w:val="none"/>
        </w:rPr>
        <w:sectPr>
          <w:footerReference r:id="rId12" w:type="first"/>
          <w:footerReference r:id="rId11" w:type="default"/>
          <w:pgSz w:w="11905" w:h="16838"/>
          <w:pgMar w:top="1587" w:right="1587" w:bottom="1474" w:left="1587" w:header="851" w:footer="567" w:gutter="0"/>
          <w:pgBorders w:offsetFrom="page">
            <w:top w:val="none" w:sz="0" w:space="0"/>
            <w:left w:val="none" w:sz="0" w:space="0"/>
            <w:bottom w:val="none" w:sz="0" w:space="0"/>
            <w:right w:val="none" w:sz="0" w:space="0"/>
          </w:pgBorders>
          <w:pgNumType w:fmt="upperRoman" w:start="1"/>
          <w:cols w:space="0" w:num="1"/>
          <w:rtlGutter w:val="0"/>
          <w:docGrid w:linePitch="312" w:charSpace="0"/>
        </w:sectPr>
      </w:pPr>
    </w:p>
    <w:bookmarkEnd w:id="0"/>
    <w:bookmarkEnd w:id="1"/>
    <w:p w14:paraId="1383ACB9">
      <w:pPr>
        <w:pStyle w:val="3"/>
        <w:bidi w:val="0"/>
        <w:ind w:left="420" w:leftChars="0" w:firstLine="321" w:firstLineChars="100"/>
        <w:rPr>
          <w:rFonts w:hint="default" w:ascii="Times New Roman" w:hAnsi="Times New Roman"/>
          <w:b/>
          <w:bCs/>
          <w:color w:val="auto"/>
          <w:spacing w:val="0"/>
          <w:highlight w:val="none"/>
          <w:lang w:val="en-US" w:eastAsia="zh-CN"/>
        </w:rPr>
      </w:pPr>
      <w:bookmarkStart w:id="4" w:name="_Toc22883"/>
      <w:bookmarkStart w:id="5" w:name="_Toc6561"/>
      <w:r>
        <w:rPr>
          <w:rFonts w:hint="eastAsia" w:ascii="Times New Roman" w:hAnsi="Times New Roman"/>
          <w:b/>
          <w:bCs/>
          <w:color w:val="auto"/>
          <w:spacing w:val="0"/>
          <w:highlight w:val="none"/>
          <w:lang w:val="en-US" w:eastAsia="zh-CN"/>
        </w:rPr>
        <w:t>规划总则</w:t>
      </w:r>
      <w:bookmarkEnd w:id="4"/>
      <w:bookmarkEnd w:id="5"/>
    </w:p>
    <w:p w14:paraId="4D4137F1">
      <w:pPr>
        <w:pStyle w:val="4"/>
        <w:bidi w:val="0"/>
        <w:ind w:left="0" w:leftChars="0" w:firstLine="640" w:firstLineChars="0"/>
        <w:rPr>
          <w:rFonts w:hint="eastAsia" w:ascii="Times New Roman" w:hAnsi="Times New Roman" w:eastAsia="楷体_GB2312" w:cs="楷体_GB2312"/>
          <w:b/>
          <w:bCs w:val="0"/>
          <w:color w:val="auto"/>
          <w:spacing w:val="0"/>
          <w:kern w:val="2"/>
          <w:sz w:val="32"/>
          <w:szCs w:val="32"/>
          <w:highlight w:val="none"/>
          <w:lang w:val="en-US" w:eastAsia="zh-CN" w:bidi="ar-SA"/>
        </w:rPr>
      </w:pPr>
      <w:bookmarkStart w:id="6" w:name="_Toc20334"/>
      <w:r>
        <w:rPr>
          <w:rFonts w:hint="eastAsia" w:ascii="Times New Roman" w:hAnsi="Times New Roman" w:eastAsia="楷体_GB2312" w:cs="楷体_GB2312"/>
          <w:b/>
          <w:bCs w:val="0"/>
          <w:color w:val="auto"/>
          <w:spacing w:val="0"/>
          <w:kern w:val="2"/>
          <w:sz w:val="32"/>
          <w:szCs w:val="32"/>
          <w:highlight w:val="none"/>
          <w:lang w:val="en-US" w:eastAsia="zh-CN" w:bidi="ar-SA"/>
        </w:rPr>
        <w:t>规划背景</w:t>
      </w:r>
      <w:bookmarkEnd w:id="6"/>
    </w:p>
    <w:p w14:paraId="5971FF9E">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为深入贯彻习近平生态文明思想，落实党中央、国务院关于固体废物减量化、资源化、无害化处理决策部署，按照省市工作要求，以及区委、区政府工作计划，扎实推动建筑垃圾污染防治工作，健全建筑垃圾全过程管理体系，推进城市治理体系和治理能力现代化，以“双区建设、双城联动”为战略引领，以国家级的增城经济技术开发区和国家城乡融合发展试验区“两区带动”为抓手，统筹发展和安全，加快建设现代化经济体系、科技创新强区、先进制造业强区、现代服务业强区、文化教育强区、人才强区，推进城市治理体系和治理能力现代化，建设平安增城、美丽增城、法治增城、幸福增城，奋力做强现代化中等规模生态城区，在全面建设社会主义现代化国家新征程中奋勇争先、走在前列。根据《中华人民共和国固体废物污染环境防治法》《城市建筑垃圾管理规定》《广东省建筑垃圾管理条例》《广东省建筑垃圾治理及资源化利用三年行动方案（2023-2025年）》等文件要求，制定本工作规划。</w:t>
      </w:r>
    </w:p>
    <w:p w14:paraId="4DA9F305">
      <w:pPr>
        <w:pStyle w:val="4"/>
        <w:bidi w:val="0"/>
        <w:rPr>
          <w:rFonts w:hint="default" w:ascii="Times New Roman" w:hAnsi="Times New Roman"/>
          <w:b/>
          <w:bCs w:val="0"/>
          <w:color w:val="auto"/>
          <w:spacing w:val="0"/>
          <w:highlight w:val="none"/>
          <w:lang w:val="en-US" w:eastAsia="zh-CN"/>
        </w:rPr>
      </w:pPr>
      <w:bookmarkStart w:id="7" w:name="_Toc24117"/>
      <w:r>
        <w:rPr>
          <w:rFonts w:hint="eastAsia" w:ascii="Times New Roman" w:hAnsi="Times New Roman"/>
          <w:b/>
          <w:bCs w:val="0"/>
          <w:color w:val="auto"/>
          <w:spacing w:val="0"/>
          <w:highlight w:val="none"/>
          <w:lang w:val="en-US" w:eastAsia="zh-CN"/>
        </w:rPr>
        <w:t>规划依据</w:t>
      </w:r>
      <w:bookmarkEnd w:id="7"/>
    </w:p>
    <w:p w14:paraId="3BF2E291">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rPr>
      </w:pPr>
      <w:r>
        <w:rPr>
          <w:rFonts w:hint="eastAsia" w:ascii="FangSong_GB2312" w:hAnsi="FangSong_GB2312" w:eastAsia="FangSong_GB2312"/>
          <w:color w:val="auto"/>
          <w:sz w:val="32"/>
          <w:szCs w:val="32"/>
        </w:rPr>
        <w:t>本工作规划依据《中华人民共和国环境保护法》《中华人民共和国城乡规划法》《中华人民共和国固体废物污染环境防治法》《城市建筑垃圾管理规定》《广东省建筑垃圾管理条例》《广州市建筑废弃物管理条例》等法律法规；《广东省国土空间规划（2021-2035年）》《广东省国民经济和社会发展第十四个五年规划和2035年远景目标纲要》《广东省生态环境保护“十四五”规划》《广东省生活垃圾处理“十四五”规划》《广东省建筑垃圾污染环境防治工作规划（2024-2030年）》《广州市国土空间总体规划（2021-2035 年）》《广州市国民经济和社会发展第十四个五年规划和2035年远景目标纲要》《广州市城市管理和综合执法“十四五”规划》《广州市建筑废弃物处置设施布局规划（2021-2035年）》《广州市建筑垃圾污染环境防治工作规划（2024-2026）》</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lang w:val="en-US" w:eastAsia="zh-CN"/>
        </w:rPr>
        <w:t>广州市</w:t>
      </w:r>
      <w:r>
        <w:rPr>
          <w:rFonts w:hint="eastAsia" w:ascii="仿宋_GB2312" w:hAnsi="仿宋_GB2312" w:eastAsia="仿宋_GB2312" w:cs="仿宋_GB2312"/>
          <w:color w:val="auto"/>
          <w:spacing w:val="0"/>
          <w:sz w:val="32"/>
          <w:szCs w:val="32"/>
          <w:highlight w:val="none"/>
          <w:lang w:eastAsia="zh-CN"/>
        </w:rPr>
        <w:t>增城区国民经济和社会发展第十四个五年规划和 2035 年远景目标纲要》</w:t>
      </w:r>
      <w:r>
        <w:rPr>
          <w:rFonts w:hint="eastAsia" w:ascii="仿宋_GB2312" w:hAnsi="仿宋_GB2312" w:eastAsia="仿宋_GB2312" w:cs="仿宋_GB2312"/>
          <w:color w:val="auto"/>
          <w:spacing w:val="0"/>
          <w:sz w:val="32"/>
          <w:szCs w:val="32"/>
          <w:highlight w:val="none"/>
        </w:rPr>
        <w:t>等相关规划</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rPr>
        <w:t>《广东省建筑垃圾治理及资源化利用三年行动方案（2023-2025年）》《广东省循环经济发展实施方案（2022-2025年）》</w:t>
      </w:r>
      <w:r>
        <w:rPr>
          <w:rFonts w:hint="eastAsia" w:ascii="仿宋_GB2312" w:hAnsi="仿宋_GB2312" w:eastAsia="仿宋_GB2312" w:cs="仿宋_GB2312"/>
          <w:color w:val="auto"/>
          <w:spacing w:val="0"/>
          <w:sz w:val="32"/>
          <w:szCs w:val="32"/>
          <w:highlight w:val="none"/>
          <w:lang w:eastAsia="zh-CN"/>
        </w:rPr>
        <w:t>《广州市“无废城市”建设试点实施方案》《增城区进一步规范装饰装修废弃物管理工作方案》</w:t>
      </w:r>
      <w:r>
        <w:rPr>
          <w:rFonts w:hint="eastAsia" w:ascii="仿宋_GB2312" w:hAnsi="仿宋_GB2312" w:eastAsia="仿宋_GB2312" w:cs="仿宋_GB2312"/>
          <w:color w:val="auto"/>
          <w:spacing w:val="0"/>
          <w:sz w:val="32"/>
          <w:szCs w:val="32"/>
          <w:highlight w:val="none"/>
        </w:rPr>
        <w:t>等政策文件</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rPr>
        <w:t>《城市环境卫生设施规划标准》（GB/T 50337）《建筑垃圾处理技术标准》（CJJ/T 134）</w:t>
      </w:r>
      <w:r>
        <w:rPr>
          <w:rFonts w:hint="eastAsia" w:ascii="仿宋_GB2312" w:hAnsi="仿宋_GB2312" w:eastAsia="仿宋_GB2312" w:cs="仿宋_GB2312"/>
          <w:color w:val="auto"/>
          <w:spacing w:val="0"/>
          <w:sz w:val="32"/>
          <w:szCs w:val="32"/>
          <w:highlight w:val="none"/>
          <w:lang w:val="en-US" w:eastAsia="zh-CN"/>
        </w:rPr>
        <w:t>《建筑废弃物运输车辆标志与监控终端、车厢规格与密闭》（DB4401/T 206）</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lang w:val="en-US" w:eastAsia="zh-CN"/>
        </w:rPr>
        <w:t>建筑垃圾循环利用技术规范</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lang w:val="en-US" w:eastAsia="zh-CN"/>
        </w:rPr>
        <w:t>（DB4401/T 162）</w:t>
      </w:r>
      <w:r>
        <w:rPr>
          <w:rFonts w:hint="eastAsia" w:ascii="仿宋_GB2312" w:hAnsi="仿宋_GB2312" w:eastAsia="仿宋_GB2312" w:cs="仿宋_GB2312"/>
          <w:color w:val="auto"/>
          <w:spacing w:val="0"/>
          <w:sz w:val="32"/>
          <w:szCs w:val="32"/>
          <w:highlight w:val="none"/>
        </w:rPr>
        <w:t>等标准规范，并结合</w:t>
      </w:r>
      <w:r>
        <w:rPr>
          <w:rFonts w:hint="eastAsia" w:ascii="仿宋_GB2312" w:hAnsi="仿宋_GB2312" w:eastAsia="仿宋_GB2312" w:cs="仿宋_GB2312"/>
          <w:bCs/>
          <w:color w:val="auto"/>
          <w:sz w:val="32"/>
          <w:szCs w:val="32"/>
          <w:highlight w:val="none"/>
          <w:lang w:eastAsia="zh-CN"/>
        </w:rPr>
        <w:t>增城区</w:t>
      </w:r>
      <w:r>
        <w:rPr>
          <w:rFonts w:hint="eastAsia" w:ascii="仿宋_GB2312" w:hAnsi="仿宋_GB2312" w:eastAsia="仿宋_GB2312" w:cs="仿宋_GB2312"/>
          <w:bCs/>
          <w:color w:val="auto"/>
          <w:sz w:val="32"/>
          <w:szCs w:val="32"/>
          <w:highlight w:val="none"/>
        </w:rPr>
        <w:t>实际情况编制</w:t>
      </w:r>
      <w:r>
        <w:rPr>
          <w:rFonts w:hint="eastAsia" w:ascii="仿宋_GB2312" w:hAnsi="仿宋_GB2312" w:eastAsia="仿宋_GB2312" w:cs="仿宋_GB2312"/>
          <w:color w:val="auto"/>
          <w:spacing w:val="0"/>
          <w:sz w:val="32"/>
          <w:szCs w:val="32"/>
          <w:highlight w:val="none"/>
        </w:rPr>
        <w:t>。本规划未作规定的相关指标，应符合国家、广东省</w:t>
      </w:r>
      <w:r>
        <w:rPr>
          <w:rFonts w:hint="eastAsia" w:ascii="仿宋_GB2312" w:hAnsi="仿宋_GB2312" w:eastAsia="仿宋_GB2312" w:cs="仿宋_GB2312"/>
          <w:color w:val="auto"/>
          <w:spacing w:val="0"/>
          <w:sz w:val="32"/>
          <w:szCs w:val="32"/>
          <w:highlight w:val="none"/>
          <w:lang w:eastAsia="zh-CN"/>
        </w:rPr>
        <w:t>、广州市及增城区</w:t>
      </w:r>
      <w:r>
        <w:rPr>
          <w:rFonts w:hint="eastAsia" w:ascii="仿宋_GB2312" w:hAnsi="仿宋_GB2312" w:eastAsia="仿宋_GB2312" w:cs="仿宋_GB2312"/>
          <w:color w:val="auto"/>
          <w:spacing w:val="0"/>
          <w:sz w:val="32"/>
          <w:szCs w:val="32"/>
          <w:highlight w:val="none"/>
        </w:rPr>
        <w:t>的相关法规、规范规定。</w:t>
      </w:r>
    </w:p>
    <w:p w14:paraId="6153405F">
      <w:pPr>
        <w:pStyle w:val="4"/>
        <w:pageBreakBefore w:val="0"/>
        <w:widowControl/>
        <w:kinsoku/>
        <w:wordWrap/>
        <w:overflowPunct/>
        <w:topLinePunct w:val="0"/>
        <w:autoSpaceDE/>
        <w:autoSpaceDN/>
        <w:bidi w:val="0"/>
        <w:adjustRightInd/>
        <w:snapToGrid/>
        <w:ind w:left="0" w:leftChars="0" w:firstLine="640" w:firstLineChars="0"/>
        <w:rPr>
          <w:rFonts w:hint="eastAsia" w:ascii="Times New Roman" w:hAnsi="Times New Roman" w:eastAsia="楷体_GB2312" w:cs="楷体_GB2312"/>
          <w:b/>
          <w:bCs w:val="0"/>
          <w:color w:val="auto"/>
          <w:spacing w:val="0"/>
          <w:kern w:val="2"/>
          <w:sz w:val="32"/>
          <w:szCs w:val="32"/>
          <w:highlight w:val="none"/>
          <w:lang w:val="en-US" w:eastAsia="zh-CN" w:bidi="ar-SA"/>
        </w:rPr>
      </w:pPr>
      <w:bookmarkStart w:id="8" w:name="_Toc18519"/>
      <w:r>
        <w:rPr>
          <w:rFonts w:hint="eastAsia" w:ascii="Times New Roman" w:hAnsi="Times New Roman" w:eastAsia="楷体_GB2312" w:cs="楷体_GB2312"/>
          <w:b/>
          <w:bCs w:val="0"/>
          <w:color w:val="auto"/>
          <w:spacing w:val="0"/>
          <w:kern w:val="2"/>
          <w:sz w:val="32"/>
          <w:szCs w:val="32"/>
          <w:highlight w:val="none"/>
          <w:lang w:val="en-US" w:eastAsia="zh-CN" w:bidi="ar-SA"/>
        </w:rPr>
        <w:t>规划</w:t>
      </w:r>
      <w:r>
        <w:rPr>
          <w:rFonts w:hint="eastAsia" w:ascii="Times New Roman" w:hAnsi="Times New Roman" w:cs="楷体_GB2312"/>
          <w:b/>
          <w:bCs w:val="0"/>
          <w:color w:val="auto"/>
          <w:spacing w:val="0"/>
          <w:kern w:val="2"/>
          <w:sz w:val="32"/>
          <w:szCs w:val="32"/>
          <w:highlight w:val="none"/>
          <w:lang w:val="en-US" w:eastAsia="zh-CN" w:bidi="ar-SA"/>
        </w:rPr>
        <w:t>范围</w:t>
      </w:r>
      <w:bookmarkEnd w:id="8"/>
    </w:p>
    <w:p w14:paraId="0F1BC773">
      <w:pPr>
        <w:pStyle w:val="65"/>
        <w:keepNext w:val="0"/>
        <w:keepLines w:val="0"/>
        <w:pageBreakBefore w:val="0"/>
        <w:widowControl/>
        <w:kinsoku/>
        <w:wordWrap/>
        <w:overflowPunct w:val="0"/>
        <w:topLinePunct w:val="0"/>
        <w:autoSpaceDE/>
        <w:autoSpaceDN/>
        <w:bidi w:val="0"/>
        <w:adjustRightInd/>
        <w:snapToGrid/>
        <w:spacing w:line="600" w:lineRule="exact"/>
        <w:ind w:firstLine="624"/>
        <w:jc w:val="both"/>
        <w:textAlignment w:val="baseline"/>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本规划范围为广州市</w:t>
      </w:r>
      <w:r>
        <w:rPr>
          <w:rFonts w:hint="eastAsia" w:ascii="仿宋_GB2312" w:hAnsi="仿宋_GB2312" w:cs="仿宋_GB2312"/>
          <w:color w:val="auto"/>
          <w:spacing w:val="0"/>
          <w:kern w:val="2"/>
          <w:sz w:val="32"/>
          <w:szCs w:val="32"/>
          <w:highlight w:val="none"/>
          <w:lang w:val="en-US" w:eastAsia="zh-CN" w:bidi="ar-SA"/>
        </w:rPr>
        <w:t>增城</w:t>
      </w:r>
      <w:r>
        <w:rPr>
          <w:rFonts w:hint="eastAsia" w:ascii="仿宋_GB2312" w:hAnsi="仿宋_GB2312" w:eastAsia="仿宋_GB2312" w:cs="仿宋_GB2312"/>
          <w:color w:val="auto"/>
          <w:spacing w:val="0"/>
          <w:kern w:val="2"/>
          <w:sz w:val="32"/>
          <w:szCs w:val="32"/>
          <w:highlight w:val="none"/>
          <w:lang w:val="en-US" w:eastAsia="zh-CN" w:bidi="ar-SA"/>
        </w:rPr>
        <w:t>区行政辖区，行政区面积1616.47平方公里，包括荔城、增江、朱村、永宁</w:t>
      </w:r>
      <w:r>
        <w:rPr>
          <w:rFonts w:hint="eastAsia" w:ascii="仿宋_GB2312" w:hAnsi="仿宋_GB2312" w:cs="仿宋_GB2312"/>
          <w:color w:val="auto"/>
          <w:spacing w:val="0"/>
          <w:kern w:val="2"/>
          <w:sz w:val="32"/>
          <w:szCs w:val="32"/>
          <w:highlight w:val="none"/>
          <w:lang w:val="en-US" w:eastAsia="zh-CN" w:bidi="ar-SA"/>
        </w:rPr>
        <w:t>、荔湖、宁西6</w:t>
      </w:r>
      <w:r>
        <w:rPr>
          <w:rFonts w:hint="eastAsia" w:ascii="仿宋_GB2312" w:hAnsi="仿宋_GB2312" w:eastAsia="仿宋_GB2312" w:cs="仿宋_GB2312"/>
          <w:color w:val="auto"/>
          <w:spacing w:val="0"/>
          <w:kern w:val="2"/>
          <w:sz w:val="32"/>
          <w:szCs w:val="32"/>
          <w:highlight w:val="none"/>
          <w:lang w:val="en-US" w:eastAsia="zh-CN" w:bidi="ar-SA"/>
        </w:rPr>
        <w:t>个街道和新塘、石滩、中新、正果、派潭、小楼</w:t>
      </w:r>
      <w:r>
        <w:rPr>
          <w:rFonts w:hint="eastAsia" w:ascii="仿宋_GB2312" w:hAnsi="仿宋_GB2312" w:cs="仿宋_GB2312"/>
          <w:color w:val="auto"/>
          <w:spacing w:val="0"/>
          <w:kern w:val="2"/>
          <w:sz w:val="32"/>
          <w:szCs w:val="32"/>
          <w:highlight w:val="none"/>
          <w:lang w:val="en-US" w:eastAsia="zh-CN" w:bidi="ar-SA"/>
        </w:rPr>
        <w:t>、仙村7</w:t>
      </w:r>
      <w:r>
        <w:rPr>
          <w:rFonts w:hint="eastAsia" w:ascii="仿宋_GB2312" w:hAnsi="仿宋_GB2312" w:eastAsia="仿宋_GB2312" w:cs="仿宋_GB2312"/>
          <w:color w:val="auto"/>
          <w:spacing w:val="0"/>
          <w:kern w:val="2"/>
          <w:sz w:val="32"/>
          <w:szCs w:val="32"/>
          <w:highlight w:val="none"/>
          <w:lang w:val="en-US" w:eastAsia="zh-CN" w:bidi="ar-SA"/>
        </w:rPr>
        <w:t>个镇。</w:t>
      </w:r>
    </w:p>
    <w:p w14:paraId="4AEA8F90">
      <w:pPr>
        <w:pStyle w:val="4"/>
        <w:pageBreakBefore w:val="0"/>
        <w:widowControl/>
        <w:kinsoku/>
        <w:wordWrap/>
        <w:overflowPunct/>
        <w:topLinePunct w:val="0"/>
        <w:autoSpaceDE/>
        <w:autoSpaceDN/>
        <w:bidi w:val="0"/>
        <w:adjustRightInd/>
        <w:snapToGrid/>
        <w:ind w:left="0" w:leftChars="0" w:firstLine="640" w:firstLineChars="0"/>
        <w:rPr>
          <w:rFonts w:hint="eastAsia" w:ascii="Times New Roman" w:hAnsi="Times New Roman" w:eastAsia="楷体_GB2312" w:cs="楷体_GB2312"/>
          <w:b/>
          <w:bCs w:val="0"/>
          <w:color w:val="auto"/>
          <w:spacing w:val="0"/>
          <w:kern w:val="2"/>
          <w:sz w:val="32"/>
          <w:szCs w:val="32"/>
          <w:highlight w:val="none"/>
          <w:lang w:val="en-US" w:eastAsia="zh-CN" w:bidi="ar-SA"/>
        </w:rPr>
      </w:pPr>
      <w:bookmarkStart w:id="9" w:name="_Toc19200"/>
      <w:r>
        <w:rPr>
          <w:rFonts w:hint="eastAsia" w:ascii="Times New Roman" w:hAnsi="Times New Roman" w:eastAsia="楷体_GB2312" w:cs="楷体_GB2312"/>
          <w:b/>
          <w:bCs w:val="0"/>
          <w:color w:val="auto"/>
          <w:spacing w:val="0"/>
          <w:kern w:val="2"/>
          <w:sz w:val="32"/>
          <w:szCs w:val="32"/>
          <w:highlight w:val="none"/>
          <w:lang w:val="en-US" w:eastAsia="zh-CN" w:bidi="ar-SA"/>
        </w:rPr>
        <w:t>规划</w:t>
      </w:r>
      <w:r>
        <w:rPr>
          <w:rFonts w:hint="eastAsia" w:ascii="Times New Roman" w:hAnsi="Times New Roman" w:cs="楷体_GB2312"/>
          <w:b/>
          <w:bCs w:val="0"/>
          <w:color w:val="auto"/>
          <w:spacing w:val="0"/>
          <w:kern w:val="2"/>
          <w:sz w:val="32"/>
          <w:szCs w:val="32"/>
          <w:highlight w:val="none"/>
          <w:lang w:val="en-US" w:eastAsia="zh-CN" w:bidi="ar-SA"/>
        </w:rPr>
        <w:t>期限</w:t>
      </w:r>
      <w:bookmarkEnd w:id="9"/>
    </w:p>
    <w:p w14:paraId="674F4A30">
      <w:pPr>
        <w:pStyle w:val="65"/>
        <w:keepNext w:val="0"/>
        <w:keepLines w:val="0"/>
        <w:pageBreakBefore w:val="0"/>
        <w:widowControl/>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1.规划期限：</w:t>
      </w:r>
      <w:r>
        <w:rPr>
          <w:rFonts w:hint="eastAsia" w:ascii="仿宋_GB2312" w:hAnsi="仿宋_GB2312" w:eastAsia="仿宋_GB2312" w:cs="仿宋_GB2312"/>
          <w:color w:val="auto"/>
          <w:spacing w:val="0"/>
          <w:kern w:val="2"/>
          <w:sz w:val="32"/>
          <w:szCs w:val="32"/>
          <w:highlight w:val="none"/>
          <w:lang w:val="en-US" w:eastAsia="zh-CN" w:bidi="ar-SA"/>
        </w:rPr>
        <w:t>2024-20</w:t>
      </w:r>
      <w:r>
        <w:rPr>
          <w:rFonts w:hint="eastAsia" w:ascii="仿宋_GB2312" w:hAnsi="仿宋_GB2312" w:cs="仿宋_GB2312"/>
          <w:color w:val="auto"/>
          <w:spacing w:val="0"/>
          <w:kern w:val="2"/>
          <w:sz w:val="32"/>
          <w:szCs w:val="32"/>
          <w:highlight w:val="none"/>
          <w:lang w:val="en-US" w:eastAsia="zh-CN" w:bidi="ar-SA"/>
        </w:rPr>
        <w:t>26</w:t>
      </w:r>
      <w:r>
        <w:rPr>
          <w:rFonts w:hint="eastAsia" w:ascii="仿宋_GB2312" w:hAnsi="仿宋_GB2312" w:eastAsia="仿宋_GB2312" w:cs="仿宋_GB2312"/>
          <w:color w:val="auto"/>
          <w:spacing w:val="0"/>
          <w:kern w:val="2"/>
          <w:sz w:val="32"/>
          <w:szCs w:val="32"/>
          <w:highlight w:val="none"/>
          <w:lang w:val="en-US" w:eastAsia="zh-CN" w:bidi="ar-SA"/>
        </w:rPr>
        <w:t>年。规划期限与</w:t>
      </w:r>
      <w:r>
        <w:rPr>
          <w:rFonts w:hint="eastAsia" w:ascii="仿宋_GB2312" w:hAnsi="仿宋_GB2312" w:eastAsia="仿宋_GB2312" w:cs="仿宋_GB2312"/>
          <w:color w:val="auto"/>
          <w:spacing w:val="0"/>
          <w:sz w:val="32"/>
          <w:szCs w:val="32"/>
          <w:highlight w:val="none"/>
          <w:lang w:val="en-US" w:eastAsia="zh-CN"/>
        </w:rPr>
        <w:t>《广州市建筑垃圾污染环境防治工作规划（2024-2026）》</w:t>
      </w:r>
      <w:r>
        <w:rPr>
          <w:rFonts w:hint="eastAsia" w:ascii="仿宋_GB2312" w:hAnsi="仿宋_GB2312" w:eastAsia="仿宋_GB2312" w:cs="仿宋_GB2312"/>
          <w:color w:val="auto"/>
          <w:spacing w:val="0"/>
          <w:kern w:val="2"/>
          <w:sz w:val="32"/>
          <w:szCs w:val="32"/>
          <w:highlight w:val="none"/>
          <w:lang w:val="en-US" w:eastAsia="zh-CN" w:bidi="ar-SA"/>
        </w:rPr>
        <w:t>保持一致</w:t>
      </w:r>
      <w:r>
        <w:rPr>
          <w:rFonts w:hint="eastAsia" w:ascii="仿宋_GB2312" w:hAnsi="仿宋_GB2312" w:cs="仿宋_GB2312"/>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kern w:val="2"/>
          <w:sz w:val="32"/>
          <w:szCs w:val="32"/>
          <w:highlight w:val="none"/>
          <w:lang w:val="en-US" w:eastAsia="zh-CN" w:bidi="ar-SA"/>
        </w:rPr>
        <w:t>与《广东省建筑垃圾污染环境防治工作规划（2024-2030年）》</w:t>
      </w:r>
      <w:r>
        <w:rPr>
          <w:rFonts w:hint="eastAsia" w:ascii="仿宋_GB2312" w:hAnsi="仿宋_GB2312" w:eastAsia="仿宋_GB2312" w:cs="仿宋_GB2312"/>
          <w:color w:val="auto"/>
          <w:spacing w:val="0"/>
          <w:sz w:val="32"/>
          <w:szCs w:val="32"/>
          <w:highlight w:val="none"/>
          <w:lang w:val="en-US" w:eastAsia="zh-CN"/>
        </w:rPr>
        <w:t>近期</w:t>
      </w:r>
      <w:r>
        <w:rPr>
          <w:rFonts w:hint="eastAsia" w:ascii="仿宋_GB2312" w:hAnsi="仿宋_GB2312" w:eastAsia="仿宋_GB2312" w:cs="仿宋_GB2312"/>
          <w:color w:val="auto"/>
          <w:spacing w:val="0"/>
          <w:kern w:val="2"/>
          <w:sz w:val="32"/>
          <w:szCs w:val="32"/>
          <w:highlight w:val="none"/>
          <w:lang w:val="en-US" w:eastAsia="zh-CN" w:bidi="ar-SA"/>
        </w:rPr>
        <w:t>期限保持一致</w:t>
      </w:r>
      <w:r>
        <w:rPr>
          <w:rFonts w:hint="eastAsia" w:ascii="仿宋_GB2312" w:hAnsi="仿宋_GB2312" w:cs="仿宋_GB2312"/>
          <w:color w:val="auto"/>
          <w:spacing w:val="0"/>
          <w:kern w:val="2"/>
          <w:sz w:val="32"/>
          <w:szCs w:val="32"/>
          <w:highlight w:val="none"/>
          <w:lang w:val="en-US" w:eastAsia="zh-CN" w:bidi="ar-SA"/>
        </w:rPr>
        <w:t>。</w:t>
      </w:r>
    </w:p>
    <w:p w14:paraId="69427AA1">
      <w:pPr>
        <w:pStyle w:val="65"/>
        <w:keepNext w:val="0"/>
        <w:keepLines w:val="0"/>
        <w:pageBreakBefore w:val="0"/>
        <w:widowControl/>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2.规划基准年：</w:t>
      </w:r>
      <w:r>
        <w:rPr>
          <w:rFonts w:hint="eastAsia" w:ascii="仿宋_GB2312" w:hAnsi="仿宋_GB2312" w:eastAsia="仿宋_GB2312" w:cs="仿宋_GB2312"/>
          <w:color w:val="auto"/>
          <w:spacing w:val="0"/>
          <w:kern w:val="2"/>
          <w:sz w:val="32"/>
          <w:szCs w:val="32"/>
          <w:highlight w:val="none"/>
          <w:lang w:val="en-US" w:eastAsia="zh-CN" w:bidi="ar-SA"/>
        </w:rPr>
        <w:t>2023年。</w:t>
      </w:r>
    </w:p>
    <w:p w14:paraId="57E109B4">
      <w:pPr>
        <w:pStyle w:val="4"/>
        <w:pageBreakBefore w:val="0"/>
        <w:widowControl/>
        <w:kinsoku/>
        <w:wordWrap/>
        <w:overflowPunct/>
        <w:topLinePunct w:val="0"/>
        <w:autoSpaceDE/>
        <w:autoSpaceDN/>
        <w:bidi w:val="0"/>
        <w:adjustRightInd/>
        <w:snapToGrid/>
        <w:ind w:left="0" w:leftChars="0" w:firstLine="640" w:firstLineChars="0"/>
        <w:rPr>
          <w:rFonts w:hint="eastAsia" w:ascii="Times New Roman" w:hAnsi="Times New Roman" w:eastAsia="楷体_GB2312" w:cs="楷体_GB2312"/>
          <w:b/>
          <w:bCs w:val="0"/>
          <w:color w:val="auto"/>
          <w:spacing w:val="0"/>
          <w:kern w:val="2"/>
          <w:sz w:val="32"/>
          <w:szCs w:val="32"/>
          <w:highlight w:val="none"/>
          <w:lang w:val="en-US" w:eastAsia="zh-CN" w:bidi="ar-SA"/>
        </w:rPr>
      </w:pPr>
      <w:bookmarkStart w:id="10" w:name="_Toc12941"/>
      <w:r>
        <w:rPr>
          <w:rFonts w:hint="eastAsia" w:ascii="Times New Roman" w:hAnsi="Times New Roman" w:cs="楷体_GB2312"/>
          <w:b/>
          <w:bCs w:val="0"/>
          <w:color w:val="auto"/>
          <w:spacing w:val="0"/>
          <w:kern w:val="2"/>
          <w:sz w:val="32"/>
          <w:szCs w:val="32"/>
          <w:highlight w:val="none"/>
          <w:lang w:val="en-US" w:eastAsia="zh-CN" w:bidi="ar-SA"/>
        </w:rPr>
        <w:t>建筑垃圾的定义</w:t>
      </w:r>
      <w:bookmarkEnd w:id="10"/>
    </w:p>
    <w:p w14:paraId="667A0C77">
      <w:pPr>
        <w:pStyle w:val="65"/>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根据《中华人民共和国固体废物污染环境防治法》</w:t>
      </w:r>
      <w:r>
        <w:rPr>
          <w:rFonts w:hint="eastAsia" w:ascii="仿宋_GB2312" w:hAnsi="仿宋_GB2312" w:eastAsia="仿宋_GB2312" w:cs="仿宋_GB2312"/>
          <w:color w:val="auto"/>
          <w:spacing w:val="0"/>
          <w:sz w:val="32"/>
          <w:szCs w:val="32"/>
          <w:highlight w:val="none"/>
        </w:rPr>
        <w:t>《建筑垃圾处理技术标准》（CJJ/T 134）</w:t>
      </w:r>
      <w:r>
        <w:rPr>
          <w:rFonts w:hint="eastAsia" w:ascii="仿宋_GB2312" w:hAnsi="仿宋_GB2312" w:eastAsia="仿宋_GB2312" w:cs="仿宋_GB2312"/>
          <w:color w:val="auto"/>
          <w:spacing w:val="0"/>
          <w:kern w:val="2"/>
          <w:sz w:val="32"/>
          <w:szCs w:val="32"/>
          <w:highlight w:val="none"/>
          <w:lang w:val="en-US" w:eastAsia="zh-CN" w:bidi="ar-SA"/>
        </w:rPr>
        <w:t>，建筑垃圾是指建设单位、施工单位新建、改建、扩建和拆除各类建筑物、构筑物、管网等，以及居民装饰装修房屋过程中产生的弃土、弃料和其他固体废物，不包括检验鉴定为危险废物的建筑垃圾。建筑垃圾可分为5大类，分别为工程渣土、工程泥浆、工程垃圾、拆除垃圾和装修垃圾。具体如下：</w:t>
      </w:r>
    </w:p>
    <w:p w14:paraId="0942F11D">
      <w:pPr>
        <w:pStyle w:val="65"/>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1.工程渣土：</w:t>
      </w:r>
      <w:r>
        <w:rPr>
          <w:rFonts w:hint="eastAsia" w:ascii="仿宋_GB2312" w:hAnsi="仿宋_GB2312" w:eastAsia="仿宋_GB2312" w:cs="仿宋_GB2312"/>
          <w:color w:val="auto"/>
          <w:spacing w:val="0"/>
          <w:kern w:val="2"/>
          <w:sz w:val="32"/>
          <w:szCs w:val="32"/>
          <w:highlight w:val="none"/>
          <w:lang w:val="en-US" w:eastAsia="zh-CN" w:bidi="ar-SA"/>
        </w:rPr>
        <w:t>指各类建筑物、构筑物、管网等基础开挖过程中产生的弃土。</w:t>
      </w:r>
    </w:p>
    <w:p w14:paraId="6F165E26">
      <w:pPr>
        <w:pStyle w:val="65"/>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2.工程泥浆：</w:t>
      </w:r>
      <w:r>
        <w:rPr>
          <w:rFonts w:hint="eastAsia" w:ascii="仿宋_GB2312" w:hAnsi="仿宋_GB2312" w:eastAsia="仿宋_GB2312" w:cs="仿宋_GB2312"/>
          <w:color w:val="auto"/>
          <w:spacing w:val="0"/>
          <w:kern w:val="2"/>
          <w:sz w:val="32"/>
          <w:szCs w:val="32"/>
          <w:highlight w:val="none"/>
          <w:lang w:val="en-US" w:eastAsia="zh-CN" w:bidi="ar-SA"/>
        </w:rPr>
        <w:t>指钻孔桩基施工、地下连续墙施工、泥水盾构施工、水平定向钻及泥水顶管等施工产生的泥浆。</w:t>
      </w:r>
    </w:p>
    <w:p w14:paraId="6AEF90E6">
      <w:pPr>
        <w:pStyle w:val="65"/>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3.工程垃圾：</w:t>
      </w:r>
      <w:r>
        <w:rPr>
          <w:rFonts w:hint="eastAsia" w:ascii="仿宋_GB2312" w:hAnsi="仿宋_GB2312" w:eastAsia="仿宋_GB2312" w:cs="仿宋_GB2312"/>
          <w:color w:val="auto"/>
          <w:spacing w:val="0"/>
          <w:kern w:val="2"/>
          <w:sz w:val="32"/>
          <w:szCs w:val="32"/>
          <w:highlight w:val="none"/>
          <w:lang w:val="en-US" w:eastAsia="zh-CN" w:bidi="ar-SA"/>
        </w:rPr>
        <w:t>指各类建筑物、构筑物等建设过程中产生的弃料；是各类建筑物、构筑物等建设过程中产生的以金属、混凝土、沥青（主要为道路沥青混凝土）和模板等为主要成分的弃料。</w:t>
      </w:r>
    </w:p>
    <w:p w14:paraId="37CBCBE4">
      <w:pPr>
        <w:pStyle w:val="65"/>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4.拆除垃圾：</w:t>
      </w:r>
      <w:r>
        <w:rPr>
          <w:rFonts w:hint="eastAsia" w:ascii="仿宋_GB2312" w:hAnsi="仿宋_GB2312" w:eastAsia="仿宋_GB2312" w:cs="仿宋_GB2312"/>
          <w:color w:val="auto"/>
          <w:spacing w:val="0"/>
          <w:kern w:val="2"/>
          <w:sz w:val="32"/>
          <w:szCs w:val="32"/>
          <w:highlight w:val="none"/>
          <w:lang w:val="en-US" w:eastAsia="zh-CN" w:bidi="ar-SA"/>
        </w:rPr>
        <w:t>指各类建筑物、构筑物等拆除过程中产生的弃料；是各类建筑物、构筑物等拆除过程中产生的以金属、混凝土、沥青（主要为道路沥青混凝土）、砖瓦、陶瓷、玻璃、木材、塑料、土等为主要成分的弃料。</w:t>
      </w:r>
    </w:p>
    <w:p w14:paraId="58C2FA76">
      <w:pPr>
        <w:pStyle w:val="65"/>
        <w:keepNext w:val="0"/>
        <w:keepLines w:val="0"/>
        <w:pageBreakBefore w:val="0"/>
        <w:widowControl/>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5.装修垃圾：</w:t>
      </w:r>
      <w:r>
        <w:rPr>
          <w:rFonts w:hint="eastAsia" w:ascii="仿宋_GB2312" w:hAnsi="仿宋_GB2312" w:eastAsia="仿宋_GB2312" w:cs="仿宋_GB2312"/>
          <w:color w:val="auto"/>
          <w:spacing w:val="0"/>
          <w:kern w:val="2"/>
          <w:sz w:val="32"/>
          <w:szCs w:val="32"/>
          <w:highlight w:val="none"/>
          <w:lang w:val="en-US" w:eastAsia="zh-CN" w:bidi="ar-SA"/>
        </w:rPr>
        <w:t>指装饰装修房屋过程中产生的废弃物；是装饰装修房屋过程中产生的以金属、混凝土、砖瓦、陶瓷、玻璃、木材、塑料、石膏、涂料、土等为主要成分的废弃物。</w:t>
      </w:r>
    </w:p>
    <w:p w14:paraId="07B5F2C0">
      <w:pPr>
        <w:pStyle w:val="3"/>
        <w:bidi w:val="0"/>
        <w:ind w:left="420" w:leftChars="0" w:firstLine="321" w:firstLineChars="100"/>
        <w:rPr>
          <w:rFonts w:hint="default" w:ascii="Times New Roman" w:hAnsi="Times New Roman"/>
          <w:b/>
          <w:bCs/>
          <w:color w:val="auto"/>
          <w:spacing w:val="0"/>
          <w:highlight w:val="none"/>
          <w:lang w:val="en-US" w:eastAsia="zh-CN"/>
        </w:rPr>
      </w:pPr>
      <w:bookmarkStart w:id="11" w:name="_Toc21819"/>
      <w:bookmarkStart w:id="12" w:name="_Toc14639"/>
      <w:bookmarkStart w:id="13" w:name="_Toc31790"/>
      <w:bookmarkStart w:id="14" w:name="_Toc3803"/>
      <w:bookmarkStart w:id="15" w:name="_Toc32341"/>
      <w:bookmarkStart w:id="16" w:name="_Toc26810"/>
      <w:r>
        <w:rPr>
          <w:rFonts w:hint="eastAsia" w:ascii="Times New Roman" w:hAnsi="Times New Roman"/>
          <w:b/>
          <w:bCs/>
          <w:color w:val="auto"/>
          <w:spacing w:val="0"/>
          <w:highlight w:val="none"/>
          <w:lang w:val="en-US" w:eastAsia="zh-CN"/>
        </w:rPr>
        <w:t>建筑垃圾产生处理现状及趋势分析</w:t>
      </w:r>
      <w:bookmarkEnd w:id="11"/>
      <w:bookmarkEnd w:id="12"/>
      <w:bookmarkEnd w:id="13"/>
      <w:bookmarkEnd w:id="14"/>
      <w:bookmarkEnd w:id="15"/>
      <w:bookmarkEnd w:id="16"/>
    </w:p>
    <w:p w14:paraId="6260AF84">
      <w:pPr>
        <w:pStyle w:val="4"/>
        <w:bidi w:val="0"/>
        <w:rPr>
          <w:rFonts w:hint="eastAsia" w:ascii="Times New Roman" w:hAnsi="Times New Roman"/>
          <w:b/>
          <w:bCs w:val="0"/>
          <w:color w:val="auto"/>
          <w:spacing w:val="0"/>
          <w:highlight w:val="none"/>
          <w:lang w:val="en-US" w:eastAsia="zh-CN"/>
        </w:rPr>
      </w:pPr>
      <w:bookmarkStart w:id="17" w:name="_Toc17706"/>
      <w:bookmarkStart w:id="18" w:name="_Toc18884"/>
      <w:bookmarkStart w:id="19" w:name="_Toc28485"/>
      <w:bookmarkStart w:id="20" w:name="_Toc14477"/>
      <w:bookmarkStart w:id="21" w:name="_Toc10596"/>
      <w:r>
        <w:rPr>
          <w:rFonts w:hint="eastAsia" w:ascii="Times New Roman" w:hAnsi="Times New Roman"/>
          <w:b/>
          <w:bCs w:val="0"/>
          <w:color w:val="auto"/>
          <w:spacing w:val="0"/>
          <w:highlight w:val="none"/>
          <w:lang w:val="en-US" w:eastAsia="zh-CN"/>
        </w:rPr>
        <w:t>现状情况</w:t>
      </w:r>
      <w:bookmarkEnd w:id="17"/>
      <w:bookmarkEnd w:id="18"/>
      <w:bookmarkEnd w:id="19"/>
      <w:bookmarkEnd w:id="20"/>
      <w:bookmarkEnd w:id="21"/>
    </w:p>
    <w:p w14:paraId="49B029F0">
      <w:pPr>
        <w:pStyle w:val="65"/>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24"/>
        <w:jc w:val="both"/>
        <w:textAlignment w:val="baseline"/>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1.建筑垃圾排放量：</w:t>
      </w:r>
      <w:r>
        <w:rPr>
          <w:rFonts w:hint="eastAsia" w:ascii="仿宋_GB2312" w:hAnsi="仿宋_GB2312" w:eastAsia="仿宋_GB2312" w:cs="仿宋_GB2312"/>
          <w:color w:val="auto"/>
          <w:spacing w:val="0"/>
          <w:kern w:val="2"/>
          <w:sz w:val="32"/>
          <w:szCs w:val="32"/>
          <w:highlight w:val="none"/>
          <w:lang w:val="en-US" w:eastAsia="zh-CN" w:bidi="ar-SA"/>
        </w:rPr>
        <w:t>2023年全区建筑垃圾排放量1300.31万立方米，其处置去向分别为资源化利用</w:t>
      </w:r>
      <w:r>
        <w:rPr>
          <w:rFonts w:hint="eastAsia" w:ascii="仿宋_GB2312" w:hAnsi="仿宋_GB2312" w:cs="仿宋_GB2312"/>
          <w:color w:val="auto"/>
          <w:spacing w:val="0"/>
          <w:kern w:val="2"/>
          <w:sz w:val="32"/>
          <w:szCs w:val="32"/>
          <w:highlight w:val="none"/>
          <w:lang w:val="en-US" w:eastAsia="zh-CN" w:bidi="ar-SA"/>
        </w:rPr>
        <w:t>362.59</w:t>
      </w:r>
      <w:r>
        <w:rPr>
          <w:rFonts w:hint="eastAsia" w:ascii="仿宋_GB2312" w:hAnsi="仿宋_GB2312" w:eastAsia="仿宋_GB2312" w:cs="仿宋_GB2312"/>
          <w:color w:val="auto"/>
          <w:spacing w:val="0"/>
          <w:kern w:val="2"/>
          <w:sz w:val="32"/>
          <w:szCs w:val="32"/>
          <w:highlight w:val="none"/>
          <w:lang w:val="en-US" w:eastAsia="zh-CN" w:bidi="ar-SA"/>
        </w:rPr>
        <w:t>万立方米，工程回填/土地平整</w:t>
      </w:r>
      <w:r>
        <w:rPr>
          <w:rFonts w:hint="eastAsia" w:ascii="仿宋_GB2312" w:hAnsi="仿宋_GB2312" w:cs="仿宋_GB2312"/>
          <w:color w:val="auto"/>
          <w:spacing w:val="0"/>
          <w:kern w:val="2"/>
          <w:sz w:val="32"/>
          <w:szCs w:val="32"/>
          <w:highlight w:val="none"/>
          <w:lang w:val="en-US" w:eastAsia="zh-CN" w:bidi="ar-SA"/>
        </w:rPr>
        <w:t>905.79</w:t>
      </w:r>
      <w:r>
        <w:rPr>
          <w:rFonts w:hint="eastAsia" w:ascii="仿宋_GB2312" w:hAnsi="仿宋_GB2312" w:eastAsia="仿宋_GB2312" w:cs="仿宋_GB2312"/>
          <w:color w:val="auto"/>
          <w:spacing w:val="0"/>
          <w:kern w:val="2"/>
          <w:sz w:val="32"/>
          <w:szCs w:val="32"/>
          <w:highlight w:val="none"/>
          <w:lang w:val="en-US" w:eastAsia="zh-CN" w:bidi="ar-SA"/>
        </w:rPr>
        <w:t>万立方米</w:t>
      </w:r>
      <w:r>
        <w:rPr>
          <w:rFonts w:hint="eastAsia" w:ascii="仿宋_GB2312" w:hAnsi="仿宋_GB2312" w:cs="仿宋_GB2312"/>
          <w:color w:val="auto"/>
          <w:spacing w:val="0"/>
          <w:kern w:val="2"/>
          <w:sz w:val="32"/>
          <w:szCs w:val="32"/>
          <w:highlight w:val="none"/>
          <w:lang w:val="en-US" w:eastAsia="zh-CN" w:bidi="ar-SA"/>
        </w:rPr>
        <w:t>，水运中转设施跨区处置31.93</w:t>
      </w:r>
      <w:r>
        <w:rPr>
          <w:rFonts w:hint="eastAsia" w:ascii="仿宋_GB2312" w:hAnsi="仿宋_GB2312" w:eastAsia="仿宋_GB2312" w:cs="仿宋_GB2312"/>
          <w:color w:val="auto"/>
          <w:spacing w:val="0"/>
          <w:kern w:val="2"/>
          <w:sz w:val="32"/>
          <w:szCs w:val="32"/>
          <w:highlight w:val="none"/>
          <w:lang w:val="en-US" w:eastAsia="zh-CN" w:bidi="ar-SA"/>
        </w:rPr>
        <w:t>万立方米。</w:t>
      </w:r>
    </w:p>
    <w:p w14:paraId="2B5D7EB5">
      <w:pPr>
        <w:pStyle w:val="65"/>
        <w:keepNext w:val="0"/>
        <w:keepLines w:val="0"/>
        <w:pageBreakBefore w:val="0"/>
        <w:widowControl/>
        <w:numPr>
          <w:ilvl w:val="0"/>
          <w:numId w:val="6"/>
        </w:numPr>
        <w:shd w:val="clear" w:color="auto" w:fill="auto"/>
        <w:kinsoku/>
        <w:wordWrap/>
        <w:overflowPunct w:val="0"/>
        <w:topLinePunct w:val="0"/>
        <w:autoSpaceDE/>
        <w:autoSpaceDN/>
        <w:bidi w:val="0"/>
        <w:adjustRightInd/>
        <w:snapToGrid/>
        <w:spacing w:after="192" w:afterLines="50" w:line="600" w:lineRule="exact"/>
        <w:ind w:left="0" w:leftChars="0" w:firstLine="42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w:t>
      </w:r>
      <w:r>
        <w:rPr>
          <w:rFonts w:hint="eastAsia" w:ascii="仿宋_GB2312" w:hAnsi="仿宋_GB2312" w:cs="仿宋_GB2312"/>
          <w:b/>
          <w:bCs/>
          <w:color w:val="auto"/>
          <w:spacing w:val="0"/>
          <w:kern w:val="2"/>
          <w:sz w:val="28"/>
          <w:szCs w:val="28"/>
          <w:highlight w:val="none"/>
          <w:lang w:val="en-US" w:eastAsia="zh-CN" w:bidi="ar-SA"/>
        </w:rPr>
        <w:t>建筑垃圾</w:t>
      </w:r>
      <w:r>
        <w:rPr>
          <w:rFonts w:hint="eastAsia" w:ascii="仿宋_GB2312" w:hAnsi="仿宋_GB2312" w:eastAsia="仿宋_GB2312" w:cs="仿宋_GB2312"/>
          <w:b/>
          <w:bCs/>
          <w:color w:val="auto"/>
          <w:spacing w:val="0"/>
          <w:kern w:val="2"/>
          <w:sz w:val="28"/>
          <w:szCs w:val="28"/>
          <w:highlight w:val="none"/>
          <w:lang w:val="en-US" w:eastAsia="zh-CN" w:bidi="ar-SA"/>
        </w:rPr>
        <w:t>排放量统计汇总表（单位：万立方米）</w:t>
      </w:r>
    </w:p>
    <w:tbl>
      <w:tblPr>
        <w:tblStyle w:val="4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4"/>
        <w:gridCol w:w="1612"/>
        <w:gridCol w:w="1612"/>
        <w:gridCol w:w="1612"/>
        <w:gridCol w:w="1613"/>
        <w:gridCol w:w="1620"/>
      </w:tblGrid>
      <w:tr w14:paraId="3269B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540F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年份</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29349">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排放量</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F841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消纳场</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F73A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资源化</w:t>
            </w:r>
          </w:p>
          <w:p w14:paraId="16F75DC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利用</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82261">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工程回填/土地平整</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690C">
            <w:pPr>
              <w:keepNext w:val="0"/>
              <w:keepLines w:val="0"/>
              <w:widowControl/>
              <w:suppressLineNumbers w:val="0"/>
              <w:shd w:val="clear" w:color="auto" w:fill="auto"/>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i w:val="0"/>
                <w:iCs w:val="0"/>
                <w:color w:val="auto"/>
                <w:kern w:val="2"/>
                <w:sz w:val="28"/>
                <w:szCs w:val="28"/>
                <w:highlight w:val="none"/>
                <w:u w:val="none"/>
                <w:lang w:val="en-US" w:eastAsia="zh-CN" w:bidi="ar-SA"/>
              </w:rPr>
              <w:t>水运中转设施跨区处置</w:t>
            </w:r>
          </w:p>
        </w:tc>
      </w:tr>
      <w:tr w14:paraId="4469F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25B5C">
            <w:pPr>
              <w:keepNext w:val="0"/>
              <w:keepLines w:val="0"/>
              <w:widowControl/>
              <w:suppressLineNumbers w:val="0"/>
              <w:spacing w:line="240" w:lineRule="auto"/>
              <w:jc w:val="center"/>
              <w:textAlignment w:val="center"/>
              <w:rPr>
                <w:rFonts w:hint="eastAsia" w:ascii="Times New Roman" w:hAnsi="Times New Roman" w:eastAsia="方正仿宋_GB2312" w:cs="宋体"/>
                <w:i w:val="0"/>
                <w:iCs w:val="0"/>
                <w:color w:val="auto"/>
                <w:sz w:val="28"/>
                <w:szCs w:val="24"/>
                <w:u w:val="none"/>
              </w:rPr>
            </w:pPr>
            <w:r>
              <w:rPr>
                <w:rFonts w:hint="eastAsia" w:ascii="仿宋_GB2312" w:hAnsi="仿宋_GB2312" w:eastAsia="仿宋_GB2312" w:cs="仿宋_GB2312"/>
                <w:i w:val="0"/>
                <w:iCs w:val="0"/>
                <w:color w:val="auto"/>
                <w:kern w:val="0"/>
                <w:sz w:val="28"/>
                <w:szCs w:val="24"/>
                <w:u w:val="none"/>
                <w:lang w:val="en-US" w:eastAsia="zh-CN" w:bidi="ar"/>
              </w:rPr>
              <w:t>2020</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6C6C">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1506.89</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A8DE">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244.38</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2C20">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62.67</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6A38">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1199.84</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1163">
            <w:pPr>
              <w:keepNext w:val="0"/>
              <w:keepLines w:val="0"/>
              <w:widowControl/>
              <w:suppressLineNumbers w:val="0"/>
              <w:spacing w:line="240" w:lineRule="auto"/>
              <w:jc w:val="center"/>
              <w:textAlignment w:val="center"/>
              <w:rPr>
                <w:rFonts w:hint="default"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0.00</w:t>
            </w:r>
          </w:p>
        </w:tc>
      </w:tr>
      <w:tr w14:paraId="1B0CD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4923C">
            <w:pPr>
              <w:keepNext w:val="0"/>
              <w:keepLines w:val="0"/>
              <w:widowControl/>
              <w:suppressLineNumbers w:val="0"/>
              <w:spacing w:line="240" w:lineRule="auto"/>
              <w:jc w:val="center"/>
              <w:textAlignment w:val="center"/>
              <w:rPr>
                <w:rFonts w:hint="eastAsia" w:ascii="Times New Roman" w:hAnsi="Times New Roman" w:eastAsia="方正仿宋_GB2312" w:cs="宋体"/>
                <w:i w:val="0"/>
                <w:iCs w:val="0"/>
                <w:color w:val="auto"/>
                <w:sz w:val="28"/>
                <w:szCs w:val="24"/>
                <w:u w:val="none"/>
              </w:rPr>
            </w:pPr>
            <w:r>
              <w:rPr>
                <w:rFonts w:hint="eastAsia" w:ascii="仿宋_GB2312" w:hAnsi="仿宋_GB2312" w:eastAsia="仿宋_GB2312" w:cs="仿宋_GB2312"/>
                <w:i w:val="0"/>
                <w:iCs w:val="0"/>
                <w:color w:val="auto"/>
                <w:kern w:val="0"/>
                <w:sz w:val="28"/>
                <w:szCs w:val="24"/>
                <w:u w:val="none"/>
                <w:lang w:val="en-US" w:eastAsia="zh-CN" w:bidi="ar"/>
              </w:rPr>
              <w:t>2021</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5E23">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1683.81</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94F1">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228.35</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998C">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177.35</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5144">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1241.52</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960F">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36.59</w:t>
            </w:r>
          </w:p>
        </w:tc>
      </w:tr>
      <w:tr w14:paraId="1641C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C2181">
            <w:pPr>
              <w:keepNext w:val="0"/>
              <w:keepLines w:val="0"/>
              <w:widowControl/>
              <w:suppressLineNumbers w:val="0"/>
              <w:spacing w:line="240" w:lineRule="auto"/>
              <w:jc w:val="center"/>
              <w:textAlignment w:val="center"/>
              <w:rPr>
                <w:rFonts w:hint="eastAsia" w:ascii="Times New Roman" w:hAnsi="Times New Roman" w:eastAsia="方正仿宋_GB2312" w:cs="宋体"/>
                <w:i w:val="0"/>
                <w:iCs w:val="0"/>
                <w:color w:val="auto"/>
                <w:sz w:val="28"/>
                <w:szCs w:val="24"/>
                <w:u w:val="none"/>
              </w:rPr>
            </w:pPr>
            <w:r>
              <w:rPr>
                <w:rFonts w:hint="eastAsia" w:ascii="仿宋_GB2312" w:hAnsi="仿宋_GB2312" w:eastAsia="仿宋_GB2312" w:cs="仿宋_GB2312"/>
                <w:i w:val="0"/>
                <w:iCs w:val="0"/>
                <w:color w:val="auto"/>
                <w:kern w:val="0"/>
                <w:sz w:val="28"/>
                <w:szCs w:val="24"/>
                <w:u w:val="none"/>
                <w:lang w:val="en-US" w:eastAsia="zh-CN" w:bidi="ar"/>
              </w:rPr>
              <w:t>2022</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D106">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1043.1</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5FF2">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92.94</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A4BF">
            <w:pPr>
              <w:keepNext w:val="0"/>
              <w:keepLines w:val="0"/>
              <w:widowControl/>
              <w:suppressLineNumbers w:val="0"/>
              <w:spacing w:line="240" w:lineRule="auto"/>
              <w:jc w:val="center"/>
              <w:textAlignment w:val="center"/>
              <w:rPr>
                <w:rFonts w:hint="default"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257.10</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4A03">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662.55</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432A">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30.51</w:t>
            </w:r>
          </w:p>
        </w:tc>
      </w:tr>
      <w:tr w14:paraId="2D476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7BBC2">
            <w:pPr>
              <w:keepNext w:val="0"/>
              <w:keepLines w:val="0"/>
              <w:widowControl/>
              <w:suppressLineNumbers w:val="0"/>
              <w:spacing w:line="240" w:lineRule="auto"/>
              <w:jc w:val="center"/>
              <w:textAlignment w:val="center"/>
              <w:rPr>
                <w:rFonts w:hint="eastAsia" w:ascii="Times New Roman" w:hAnsi="Times New Roman" w:eastAsia="方正仿宋_GB2312" w:cs="宋体"/>
                <w:i w:val="0"/>
                <w:iCs w:val="0"/>
                <w:color w:val="auto"/>
                <w:sz w:val="28"/>
                <w:szCs w:val="24"/>
                <w:u w:val="none"/>
              </w:rPr>
            </w:pPr>
            <w:r>
              <w:rPr>
                <w:rFonts w:hint="eastAsia" w:ascii="仿宋_GB2312" w:hAnsi="仿宋_GB2312" w:eastAsia="仿宋_GB2312" w:cs="仿宋_GB2312"/>
                <w:i w:val="0"/>
                <w:iCs w:val="0"/>
                <w:color w:val="auto"/>
                <w:kern w:val="0"/>
                <w:sz w:val="28"/>
                <w:szCs w:val="24"/>
                <w:u w:val="none"/>
                <w:lang w:val="en-US" w:eastAsia="zh-CN" w:bidi="ar"/>
              </w:rPr>
              <w:t>2023</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729A">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1300.31</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4C27">
            <w:pPr>
              <w:keepNext w:val="0"/>
              <w:keepLines w:val="0"/>
              <w:widowControl/>
              <w:suppressLineNumbers w:val="0"/>
              <w:spacing w:line="240" w:lineRule="auto"/>
              <w:jc w:val="center"/>
              <w:textAlignment w:val="center"/>
              <w:rPr>
                <w:rFonts w:hint="default"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0.00</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0827">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362.59</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9E55">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905.79</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6AF8">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31.93</w:t>
            </w:r>
          </w:p>
        </w:tc>
      </w:tr>
    </w:tbl>
    <w:p w14:paraId="48F4F97F">
      <w:pPr>
        <w:pStyle w:val="65"/>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24"/>
        <w:jc w:val="both"/>
        <w:textAlignment w:val="baseline"/>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2.建筑垃圾处置设施能力建设情况：</w:t>
      </w:r>
      <w:r>
        <w:rPr>
          <w:rFonts w:hint="eastAsia" w:ascii="仿宋_GB2312" w:hAnsi="仿宋_GB2312" w:eastAsia="仿宋_GB2312" w:cs="仿宋_GB2312"/>
          <w:color w:val="auto"/>
          <w:spacing w:val="0"/>
          <w:kern w:val="2"/>
          <w:sz w:val="32"/>
          <w:szCs w:val="32"/>
          <w:highlight w:val="none"/>
          <w:lang w:val="en-US" w:eastAsia="zh-CN" w:bidi="ar-SA"/>
        </w:rPr>
        <w:t>全区共有建筑垃圾消纳场</w:t>
      </w:r>
      <w:r>
        <w:rPr>
          <w:rFonts w:hint="eastAsia" w:ascii="仿宋_GB2312" w:hAnsi="仿宋_GB2312" w:cs="仿宋_GB2312"/>
          <w:color w:val="auto"/>
          <w:spacing w:val="0"/>
          <w:kern w:val="2"/>
          <w:sz w:val="32"/>
          <w:szCs w:val="32"/>
          <w:highlight w:val="none"/>
          <w:lang w:val="en-US" w:eastAsia="zh-CN" w:bidi="ar-SA"/>
        </w:rPr>
        <w:t>1</w:t>
      </w:r>
      <w:r>
        <w:rPr>
          <w:rFonts w:hint="eastAsia" w:ascii="仿宋_GB2312" w:hAnsi="仿宋_GB2312" w:eastAsia="仿宋_GB2312" w:cs="仿宋_GB2312"/>
          <w:color w:val="auto"/>
          <w:spacing w:val="0"/>
          <w:kern w:val="2"/>
          <w:sz w:val="32"/>
          <w:szCs w:val="32"/>
          <w:highlight w:val="none"/>
          <w:lang w:val="en-US" w:eastAsia="zh-CN" w:bidi="ar-SA"/>
        </w:rPr>
        <w:t>座，总设计库容</w:t>
      </w:r>
      <w:r>
        <w:rPr>
          <w:rFonts w:hint="eastAsia" w:ascii="仿宋_GB2312" w:hAnsi="仿宋_GB2312" w:cs="仿宋_GB2312"/>
          <w:color w:val="auto"/>
          <w:spacing w:val="0"/>
          <w:kern w:val="2"/>
          <w:sz w:val="32"/>
          <w:szCs w:val="32"/>
          <w:highlight w:val="none"/>
          <w:lang w:val="en-US" w:eastAsia="zh-CN" w:bidi="ar-SA"/>
        </w:rPr>
        <w:t>500</w:t>
      </w:r>
      <w:r>
        <w:rPr>
          <w:rFonts w:hint="eastAsia" w:ascii="仿宋_GB2312" w:hAnsi="仿宋_GB2312" w:eastAsia="仿宋_GB2312" w:cs="仿宋_GB2312"/>
          <w:color w:val="auto"/>
          <w:spacing w:val="0"/>
          <w:kern w:val="2"/>
          <w:sz w:val="32"/>
          <w:szCs w:val="32"/>
          <w:highlight w:val="none"/>
          <w:lang w:val="en-US" w:eastAsia="zh-CN" w:bidi="ar-SA"/>
        </w:rPr>
        <w:t>万立方米，总剩余库容</w:t>
      </w:r>
      <w:r>
        <w:rPr>
          <w:rFonts w:hint="eastAsia" w:ascii="仿宋_GB2312" w:hAnsi="仿宋_GB2312" w:cs="仿宋_GB2312"/>
          <w:color w:val="auto"/>
          <w:spacing w:val="0"/>
          <w:kern w:val="2"/>
          <w:sz w:val="32"/>
          <w:szCs w:val="32"/>
          <w:highlight w:val="none"/>
          <w:lang w:val="en-US" w:eastAsia="zh-CN" w:bidi="ar-SA"/>
        </w:rPr>
        <w:t>499</w:t>
      </w:r>
      <w:r>
        <w:rPr>
          <w:rFonts w:hint="eastAsia" w:ascii="仿宋_GB2312" w:hAnsi="仿宋_GB2312" w:eastAsia="仿宋_GB2312" w:cs="仿宋_GB2312"/>
          <w:color w:val="auto"/>
          <w:spacing w:val="0"/>
          <w:kern w:val="2"/>
          <w:sz w:val="32"/>
          <w:szCs w:val="32"/>
          <w:highlight w:val="none"/>
          <w:lang w:val="en-US" w:eastAsia="zh-CN" w:bidi="ar-SA"/>
        </w:rPr>
        <w:t>万立方米；资源化利用项目</w:t>
      </w:r>
      <w:r>
        <w:rPr>
          <w:rFonts w:hint="eastAsia" w:ascii="仿宋_GB2312" w:hAnsi="仿宋_GB2312" w:cs="仿宋_GB2312"/>
          <w:color w:val="auto"/>
          <w:spacing w:val="0"/>
          <w:kern w:val="2"/>
          <w:sz w:val="32"/>
          <w:szCs w:val="32"/>
          <w:highlight w:val="none"/>
          <w:lang w:val="en-US" w:eastAsia="zh-CN" w:bidi="ar-SA"/>
        </w:rPr>
        <w:t>20</w:t>
      </w:r>
      <w:r>
        <w:rPr>
          <w:rFonts w:hint="eastAsia" w:ascii="仿宋_GB2312" w:hAnsi="仿宋_GB2312" w:eastAsia="仿宋_GB2312" w:cs="仿宋_GB2312"/>
          <w:color w:val="auto"/>
          <w:spacing w:val="0"/>
          <w:kern w:val="2"/>
          <w:sz w:val="32"/>
          <w:szCs w:val="32"/>
          <w:highlight w:val="none"/>
          <w:lang w:val="en-US" w:eastAsia="zh-CN" w:bidi="ar-SA"/>
        </w:rPr>
        <w:t>个，总设计处理能力</w:t>
      </w:r>
      <w:r>
        <w:rPr>
          <w:rFonts w:hint="eastAsia" w:ascii="仿宋_GB2312" w:hAnsi="仿宋_GB2312" w:cs="仿宋_GB2312"/>
          <w:color w:val="auto"/>
          <w:spacing w:val="0"/>
          <w:kern w:val="2"/>
          <w:sz w:val="32"/>
          <w:szCs w:val="32"/>
          <w:highlight w:val="none"/>
          <w:lang w:val="en-US" w:eastAsia="zh-CN" w:bidi="ar-SA"/>
        </w:rPr>
        <w:t>1081.1</w:t>
      </w:r>
      <w:r>
        <w:rPr>
          <w:rFonts w:hint="eastAsia" w:ascii="仿宋_GB2312" w:hAnsi="仿宋_GB2312" w:eastAsia="仿宋_GB2312" w:cs="仿宋_GB2312"/>
          <w:color w:val="auto"/>
          <w:spacing w:val="0"/>
          <w:kern w:val="2"/>
          <w:sz w:val="32"/>
          <w:szCs w:val="32"/>
          <w:highlight w:val="none"/>
          <w:lang w:val="en-US" w:eastAsia="zh-CN" w:bidi="ar-SA"/>
        </w:rPr>
        <w:t>万立方米/年</w:t>
      </w:r>
      <w:r>
        <w:rPr>
          <w:rFonts w:hint="eastAsia" w:ascii="仿宋_GB2312" w:hAnsi="仿宋_GB2312" w:cs="仿宋_GB2312"/>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sz w:val="32"/>
          <w:szCs w:val="32"/>
          <w:highlight w:val="none"/>
          <w:lang w:val="en-US" w:eastAsia="zh-CN"/>
        </w:rPr>
        <w:t>全区建筑垃圾工程回填/土地平整量2020年为1199.84万立方米，2021年为1241.52万立方米，2022年为662.55万立方米，2023年为905.79万立方米。</w:t>
      </w:r>
    </w:p>
    <w:p w14:paraId="11A8CC6E">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eastAsia" w:ascii="Times New Roman" w:hAnsi="Times New Roman" w:eastAsia="楷体_GB2312" w:cs="楷体_GB2312"/>
          <w:b/>
          <w:bCs w:val="0"/>
          <w:color w:val="auto"/>
          <w:spacing w:val="0"/>
          <w:kern w:val="2"/>
          <w:sz w:val="32"/>
          <w:szCs w:val="32"/>
          <w:highlight w:val="none"/>
          <w:lang w:val="en-US" w:eastAsia="zh-CN" w:bidi="ar-SA"/>
        </w:rPr>
      </w:pPr>
      <w:bookmarkStart w:id="22" w:name="_Toc20502"/>
      <w:bookmarkStart w:id="23" w:name="_Toc23432"/>
      <w:bookmarkStart w:id="24" w:name="_Toc24510"/>
      <w:bookmarkStart w:id="25" w:name="_Toc12000"/>
      <w:bookmarkStart w:id="26" w:name="_Toc27784"/>
      <w:r>
        <w:rPr>
          <w:rFonts w:hint="eastAsia" w:ascii="Times New Roman" w:hAnsi="Times New Roman" w:cs="楷体_GB2312"/>
          <w:b/>
          <w:bCs w:val="0"/>
          <w:color w:val="auto"/>
          <w:spacing w:val="0"/>
          <w:kern w:val="2"/>
          <w:sz w:val="32"/>
          <w:szCs w:val="32"/>
          <w:highlight w:val="none"/>
          <w:lang w:val="en-US" w:eastAsia="zh-CN" w:bidi="ar-SA"/>
        </w:rPr>
        <w:t>建筑垃圾产生量预测</w:t>
      </w:r>
      <w:bookmarkEnd w:id="22"/>
      <w:bookmarkEnd w:id="23"/>
      <w:bookmarkEnd w:id="24"/>
      <w:bookmarkEnd w:id="25"/>
      <w:bookmarkEnd w:id="26"/>
    </w:p>
    <w:p w14:paraId="19C6AC83">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outlineLvl w:val="3"/>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1.预测公式</w:t>
      </w:r>
    </w:p>
    <w:p w14:paraId="3F4D3174">
      <w:pPr>
        <w:keepNext w:val="0"/>
        <w:keepLines w:val="0"/>
        <w:pageBreakBefore w:val="0"/>
        <w:widowControl/>
        <w:kinsoku/>
        <w:wordWrap/>
        <w:topLinePunct w:val="0"/>
        <w:autoSpaceDE/>
        <w:autoSpaceDN/>
        <w:bidi w:val="0"/>
        <w:adjustRightInd/>
        <w:snapToGrid/>
        <w:spacing w:line="60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筑垃圾的产生量与其来源有着重要的关系，不同来源的建筑垃圾其产生规律相差甚远。因此，按照产生来源对建筑垃圾进行分类后，针对不同类别的建筑垃圾开展产生量的预测能获得相对准确的结果。建筑垃圾按照产生来源的不同可分为工程垃圾、拆除垃圾、装修垃圾、工程渣土、工程泥浆。建筑垃圾产生量可分为体积与重量两种方式表达，两者之间可按建筑垃圾的平均密度1.</w:t>
      </w:r>
      <w:r>
        <w:rPr>
          <w:rFonts w:hint="eastAsia" w:ascii="仿宋_GB2312" w:hAnsi="仿宋_GB2312" w:eastAsia="仿宋_GB2312" w:cs="仿宋_GB2312"/>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rPr>
        <w:t>~</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t/</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rPr>
        <w:t>进行换算。本次规划主要采用体积方式。</w:t>
      </w:r>
    </w:p>
    <w:p w14:paraId="272E940E">
      <w:pPr>
        <w:keepNext w:val="0"/>
        <w:keepLines w:val="0"/>
        <w:pageBreakBefore w:val="0"/>
        <w:widowControl/>
        <w:kinsoku/>
        <w:wordWrap/>
        <w:topLinePunct w:val="0"/>
        <w:autoSpaceDE/>
        <w:autoSpaceDN/>
        <w:bidi w:val="0"/>
        <w:adjustRightInd/>
        <w:snapToGrid/>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）工程渣土</w:t>
      </w:r>
    </w:p>
    <w:p w14:paraId="6F206311">
      <w:pPr>
        <w:pStyle w:val="65"/>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工程渣土可根据建设工程的挖方直接计算体积。在实际建设中，物流仓储用地、工业用地、绿地和广场等较少大面积的开发地下室，只有居住用地、商业服务业设施用地在会在建设中大面积的开挖地下室。根据工程实际经验，地下室占总建筑面积比例约为10%</w:t>
      </w:r>
      <w:r>
        <w:rPr>
          <w:rFonts w:hint="default" w:ascii="Times New Roman" w:hAnsi="Times New Roman" w:eastAsia="仿宋_GB2312" w:cs="Times New Roman"/>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30%。</w:t>
      </w:r>
    </w:p>
    <w:p w14:paraId="3F46194A">
      <w:pPr>
        <w:pStyle w:val="65"/>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工程泥浆</w:t>
      </w:r>
    </w:p>
    <w:p w14:paraId="79DCAB31">
      <w:pPr>
        <w:pStyle w:val="65"/>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baseline"/>
        <w:rPr>
          <w:rFonts w:hint="default" w:ascii="仿宋_GB2312" w:hAnsi="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钻孔桩基施工、地下连续墙施工、泥水盾构施工、水平定向钻及泥水顶管等施工产生的工程泥浆，一般占建筑垃圾总量的0.5%</w:t>
      </w:r>
      <w:r>
        <w:rPr>
          <w:rFonts w:hint="default" w:ascii="Times New Roman" w:hAnsi="Times New Roman" w:eastAsia="仿宋_GB2312" w:cs="Times New Roman"/>
          <w:color w:val="auto"/>
          <w:sz w:val="32"/>
          <w:szCs w:val="32"/>
          <w:highlight w:val="none"/>
        </w:rPr>
        <w:t>~</w:t>
      </w:r>
      <w:r>
        <w:rPr>
          <w:rFonts w:hint="eastAsia" w:ascii="仿宋_GB2312" w:hAnsi="仿宋_GB2312" w:eastAsia="仿宋_GB2312" w:cs="仿宋_GB2312"/>
          <w:color w:val="auto"/>
          <w:sz w:val="32"/>
          <w:szCs w:val="32"/>
          <w:highlight w:val="none"/>
        </w:rPr>
        <w:t>1%。</w:t>
      </w:r>
    </w:p>
    <w:p w14:paraId="2C90CA6B">
      <w:pPr>
        <w:keepNext w:val="0"/>
        <w:keepLines w:val="0"/>
        <w:pageBreakBefore w:val="0"/>
        <w:widowControl/>
        <w:kinsoku/>
        <w:wordWrap/>
        <w:topLinePunct w:val="0"/>
        <w:autoSpaceDE/>
        <w:autoSpaceDN/>
        <w:bidi w:val="0"/>
        <w:adjustRightInd/>
        <w:snapToGrid/>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工程垃圾</w:t>
      </w:r>
    </w:p>
    <w:p w14:paraId="4EFD7D5C">
      <w:pPr>
        <w:keepNext w:val="0"/>
        <w:keepLines w:val="0"/>
        <w:pageBreakBefore w:val="0"/>
        <w:widowControl/>
        <w:kinsoku/>
        <w:wordWrap/>
        <w:topLinePunct w:val="0"/>
        <w:autoSpaceDE/>
        <w:autoSpaceDN/>
        <w:bidi w:val="0"/>
        <w:adjustRightInd/>
        <w:snapToGrid/>
        <w:spacing w:line="60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按照建筑行业的经验，</w:t>
      </w:r>
      <w:r>
        <w:rPr>
          <w:rFonts w:hint="eastAsia" w:ascii="仿宋_GB2312" w:hAnsi="仿宋_GB2312" w:eastAsia="仿宋_GB2312" w:cs="仿宋_GB2312"/>
          <w:color w:val="auto"/>
          <w:sz w:val="32"/>
          <w:szCs w:val="32"/>
          <w:highlight w:val="none"/>
          <w:lang w:val="en-US" w:eastAsia="zh-CN"/>
        </w:rPr>
        <w:t>工程</w:t>
      </w:r>
      <w:r>
        <w:rPr>
          <w:rFonts w:hint="eastAsia" w:ascii="仿宋_GB2312" w:hAnsi="仿宋_GB2312" w:eastAsia="仿宋_GB2312" w:cs="仿宋_GB2312"/>
          <w:color w:val="auto"/>
          <w:sz w:val="32"/>
          <w:szCs w:val="32"/>
          <w:highlight w:val="none"/>
        </w:rPr>
        <w:t>垃圾的产生量与新建建筑物的施工建筑面积一般</w:t>
      </w:r>
      <w:r>
        <w:rPr>
          <w:rFonts w:hint="eastAsia" w:ascii="仿宋_GB2312" w:hAnsi="仿宋_GB2312" w:eastAsia="仿宋_GB2312" w:cs="仿宋_GB2312"/>
          <w:color w:val="auto"/>
          <w:sz w:val="32"/>
          <w:szCs w:val="32"/>
          <w:highlight w:val="none"/>
          <w:lang w:val="en-US" w:eastAsia="zh-CN"/>
        </w:rPr>
        <w:t>呈正</w:t>
      </w:r>
      <w:r>
        <w:rPr>
          <w:rFonts w:hint="eastAsia" w:ascii="仿宋_GB2312" w:hAnsi="仿宋_GB2312" w:eastAsia="仿宋_GB2312" w:cs="仿宋_GB2312"/>
          <w:color w:val="auto"/>
          <w:sz w:val="32"/>
          <w:szCs w:val="32"/>
          <w:highlight w:val="none"/>
        </w:rPr>
        <w:t>相关关系，即施工建筑面积越大则新建筑物施工垃圾的产生量也越大。</w:t>
      </w:r>
      <w:r>
        <w:rPr>
          <w:rFonts w:hint="eastAsia" w:ascii="仿宋_GB2312" w:hAnsi="仿宋_GB2312" w:eastAsia="仿宋_GB2312" w:cs="仿宋_GB2312"/>
          <w:color w:val="auto"/>
          <w:sz w:val="32"/>
          <w:szCs w:val="32"/>
          <w:highlight w:val="none"/>
          <w:lang w:val="en-US" w:eastAsia="zh-CN"/>
        </w:rPr>
        <w:t>由于</w:t>
      </w:r>
      <w:r>
        <w:rPr>
          <w:rFonts w:hint="eastAsia" w:ascii="仿宋_GB2312" w:hAnsi="仿宋_GB2312" w:eastAsia="仿宋_GB2312" w:cs="仿宋_GB2312"/>
          <w:b w:val="0"/>
          <w:bCs w:val="0"/>
          <w:color w:val="auto"/>
          <w:sz w:val="32"/>
          <w:szCs w:val="32"/>
          <w:highlight w:val="none"/>
          <w:shd w:val="clear" w:color="auto" w:fill="FFFFFF"/>
        </w:rPr>
        <w:t>新建建筑施工现场建筑垃圾（不包括工程渣土、工程泥浆）排放量每万平方米不高于</w:t>
      </w:r>
      <w:r>
        <w:rPr>
          <w:rFonts w:hint="eastAsia" w:ascii="仿宋_GB2312" w:hAnsi="仿宋_GB2312" w:eastAsia="仿宋_GB2312" w:cs="仿宋_GB2312"/>
          <w:b w:val="0"/>
          <w:bCs w:val="0"/>
          <w:color w:val="auto"/>
          <w:sz w:val="32"/>
          <w:szCs w:val="32"/>
          <w:highlight w:val="none"/>
          <w:shd w:val="clear" w:color="auto" w:fill="FFFFFF"/>
          <w:lang w:val="en-US" w:eastAsia="zh-CN"/>
        </w:rPr>
        <w:t>300吨，</w:t>
      </w:r>
      <w:r>
        <w:rPr>
          <w:rFonts w:hint="eastAsia" w:ascii="仿宋_GB2312" w:hAnsi="仿宋_GB2312" w:eastAsia="仿宋_GB2312" w:cs="仿宋_GB2312"/>
          <w:color w:val="auto"/>
          <w:sz w:val="32"/>
          <w:szCs w:val="32"/>
          <w:highlight w:val="none"/>
        </w:rPr>
        <w:t>根据对砖混结构、全现浇结构和框架结构等不同建筑施工过程中材料损耗的粗略统计，其预测模型为：</w:t>
      </w:r>
    </w:p>
    <w:p w14:paraId="774DDE7C">
      <w:pPr>
        <w:keepNext w:val="0"/>
        <w:keepLines w:val="0"/>
        <w:pageBreakBefore w:val="0"/>
        <w:widowControl/>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color w:val="auto"/>
          <w:sz w:val="32"/>
          <w:szCs w:val="32"/>
          <w:highlight w:val="none"/>
          <w:vertAlign w:val="subscript"/>
          <w:lang w:val="en-US" w:eastAsia="zh-CN"/>
        </w:rPr>
      </w:pP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bscript"/>
          <w:lang w:val="en-US" w:eastAsia="zh-CN"/>
        </w:rPr>
        <w:t>g</w:t>
      </w:r>
      <w:r>
        <w:rPr>
          <w:rFonts w:hint="eastAsia" w:ascii="仿宋_GB2312" w:hAnsi="仿宋_GB2312" w:eastAsia="仿宋_GB2312" w:cs="仿宋_GB2312"/>
          <w:color w:val="auto"/>
          <w:sz w:val="32"/>
          <w:szCs w:val="32"/>
          <w:highlight w:val="none"/>
          <w:lang w:val="en-US" w:eastAsia="zh-CN"/>
        </w:rPr>
        <w:t>=R</w:t>
      </w:r>
      <w:r>
        <w:rPr>
          <w:rFonts w:hint="eastAsia" w:ascii="仿宋_GB2312" w:hAnsi="仿宋_GB2312" w:eastAsia="仿宋_GB2312" w:cs="仿宋_GB2312"/>
          <w:color w:val="auto"/>
          <w:sz w:val="32"/>
          <w:szCs w:val="32"/>
          <w:highlight w:val="none"/>
          <w:vertAlign w:val="subscript"/>
          <w:lang w:val="en-US" w:eastAsia="zh-CN"/>
        </w:rPr>
        <w:t>g</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bscript"/>
          <w:lang w:val="en-US" w:eastAsia="zh-CN"/>
        </w:rPr>
        <w:t>g</w:t>
      </w:r>
    </w:p>
    <w:p w14:paraId="091C7313">
      <w:pPr>
        <w:keepNext w:val="0"/>
        <w:keepLines w:val="0"/>
        <w:pageBreakBefore w:val="0"/>
        <w:widowControl/>
        <w:kinsoku/>
        <w:wordWrap/>
        <w:topLinePunct w:val="0"/>
        <w:autoSpaceDE/>
        <w:autoSpaceDN/>
        <w:bidi w:val="0"/>
        <w:adjustRightInd/>
        <w:snapToGrid/>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式中：</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bscript"/>
          <w:lang w:val="en-US" w:eastAsia="zh-CN"/>
        </w:rPr>
        <w:t>g</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某城市工程垃圾产生量</w:t>
      </w:r>
      <w:r>
        <w:rPr>
          <w:rFonts w:hint="eastAsia" w:ascii="仿宋_GB2312" w:hAnsi="仿宋_GB2312" w:eastAsia="仿宋_GB2312" w:cs="仿宋_GB2312"/>
          <w:color w:val="auto"/>
          <w:sz w:val="32"/>
          <w:szCs w:val="32"/>
          <w:highlight w:val="none"/>
        </w:rPr>
        <w:t>，单位：</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rPr>
        <w:t>；</w:t>
      </w:r>
    </w:p>
    <w:p w14:paraId="2B052DD7">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R</w:t>
      </w:r>
      <w:r>
        <w:rPr>
          <w:rFonts w:hint="eastAsia" w:ascii="仿宋_GB2312" w:hAnsi="仿宋_GB2312" w:eastAsia="仿宋_GB2312" w:cs="仿宋_GB2312"/>
          <w:color w:val="auto"/>
          <w:sz w:val="32"/>
          <w:szCs w:val="32"/>
          <w:highlight w:val="none"/>
          <w:vertAlign w:val="subscript"/>
          <w:lang w:val="en-US" w:eastAsia="zh-CN"/>
        </w:rPr>
        <w:t>g</w:t>
      </w:r>
      <w:r>
        <w:rPr>
          <w:rFonts w:hint="eastAsia" w:ascii="仿宋_GB2312" w:hAnsi="仿宋_GB2312" w:eastAsia="仿宋_GB2312" w:cs="仿宋_GB2312"/>
          <w:color w:val="auto"/>
          <w:sz w:val="32"/>
          <w:szCs w:val="32"/>
          <w:highlight w:val="none"/>
        </w:rPr>
        <w:t>——新建建筑面积，单位：万</w:t>
      </w:r>
      <w:r>
        <w:rPr>
          <w:rFonts w:hint="eastAsia" w:ascii="仿宋_GB2312" w:hAnsi="仿宋_GB2312" w:eastAsia="仿宋_GB2312" w:cs="仿宋_GB2312"/>
          <w:color w:val="auto"/>
          <w:sz w:val="32"/>
          <w:szCs w:val="32"/>
          <w:highlight w:val="none"/>
          <w:vertAlign w:val="baseline"/>
          <w:lang w:val="en-US" w:eastAsia="zh-CN"/>
        </w:rPr>
        <w:t>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eastAsia="zh-CN"/>
        </w:rPr>
        <w:t>；</w:t>
      </w:r>
    </w:p>
    <w:p w14:paraId="61708B24">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bscript"/>
          <w:lang w:val="en-US" w:eastAsia="zh-CN"/>
        </w:rPr>
        <w:t>g</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单位面积工程垃圾产生量基数（</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lang w:val="en-US" w:eastAsia="zh-CN"/>
        </w:rPr>
        <w:t>/万</w:t>
      </w:r>
      <w:r>
        <w:rPr>
          <w:rFonts w:hint="eastAsia" w:ascii="仿宋_GB2312" w:hAnsi="仿宋_GB2312" w:eastAsia="仿宋_GB2312" w:cs="仿宋_GB2312"/>
          <w:color w:val="auto"/>
          <w:sz w:val="32"/>
          <w:szCs w:val="32"/>
          <w:highlight w:val="none"/>
          <w:vertAlign w:val="baseline"/>
          <w:lang w:val="en-US" w:eastAsia="zh-CN"/>
        </w:rPr>
        <w:t>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w:t>
      </w:r>
    </w:p>
    <w:p w14:paraId="18A63338">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可取125</w:t>
      </w:r>
      <w:r>
        <w:rPr>
          <w:rFonts w:hint="default" w:ascii="Times New Roman" w:hAnsi="Times New Roman" w:eastAsia="仿宋_GB2312" w:cs="Times New Roman"/>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187.5</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lang w:val="en-US" w:eastAsia="zh-CN"/>
        </w:rPr>
        <w:t>/万</w:t>
      </w:r>
      <w:r>
        <w:rPr>
          <w:rFonts w:hint="eastAsia" w:ascii="仿宋_GB2312" w:hAnsi="仿宋_GB2312" w:eastAsia="仿宋_GB2312" w:cs="仿宋_GB2312"/>
          <w:color w:val="auto"/>
          <w:sz w:val="32"/>
          <w:szCs w:val="32"/>
          <w:highlight w:val="none"/>
          <w:vertAlign w:val="baseline"/>
          <w:lang w:val="en-US" w:eastAsia="zh-CN"/>
        </w:rPr>
        <w:t>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rPr>
        <w:t>。</w:t>
      </w:r>
    </w:p>
    <w:p w14:paraId="4B227D46">
      <w:pPr>
        <w:keepNext w:val="0"/>
        <w:keepLines w:val="0"/>
        <w:pageBreakBefore w:val="0"/>
        <w:widowControl/>
        <w:kinsoku/>
        <w:wordWrap/>
        <w:topLinePunct w:val="0"/>
        <w:autoSpaceDE/>
        <w:autoSpaceDN/>
        <w:bidi w:val="0"/>
        <w:adjustRightInd/>
        <w:snapToGrid/>
        <w:spacing w:line="60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新建建筑物的施工建筑面积每年都会变化，一般无法直接准确获取，但其与一个地方的经济水平有一定的联系。一般来说，城市化初期增长较快，新建建筑物的施工建筑面积与本地生产总值（GDP）往往呈正相关关系；城市化进程发展到一定阶段之后，随着第三产业在经济结构中比重的逐步提高，新建建筑物的施工建筑面积与GDP的正相关关系将会逐渐减弱。</w:t>
      </w:r>
    </w:p>
    <w:p w14:paraId="011E4599">
      <w:pPr>
        <w:keepNext w:val="0"/>
        <w:keepLines w:val="0"/>
        <w:pageBreakBefore w:val="0"/>
        <w:widowControl/>
        <w:kinsoku/>
        <w:wordWrap/>
        <w:topLinePunct w:val="0"/>
        <w:autoSpaceDE/>
        <w:autoSpaceDN/>
        <w:bidi w:val="0"/>
        <w:adjustRightInd/>
        <w:snapToGrid/>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拆除垃圾</w:t>
      </w:r>
    </w:p>
    <w:p w14:paraId="06F9694F">
      <w:pPr>
        <w:keepNext w:val="0"/>
        <w:keepLines w:val="0"/>
        <w:pageBreakBefore w:val="0"/>
        <w:widowControl/>
        <w:kinsoku/>
        <w:wordWrap/>
        <w:topLinePunct w:val="0"/>
        <w:autoSpaceDE/>
        <w:autoSpaceDN/>
        <w:bidi w:val="0"/>
        <w:adjustRightInd/>
        <w:snapToGrid/>
        <w:spacing w:line="60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拆除垃圾的来源范围非常广，包括</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旧城镇、旧厂房、旧村庄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三旧</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改造、房屋报废拆除等，其中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三旧</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改造是最主要的产生来源。根据建筑行业的经验，拆除垃圾与所拆除的建筑面积一般呈正相关关系，其预测模型为：</w:t>
      </w:r>
    </w:p>
    <w:p w14:paraId="5AB9A16B">
      <w:pPr>
        <w:keepNext w:val="0"/>
        <w:keepLines w:val="0"/>
        <w:pageBreakBefore w:val="0"/>
        <w:widowControl/>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color w:val="auto"/>
          <w:sz w:val="32"/>
          <w:szCs w:val="32"/>
          <w:highlight w:val="none"/>
          <w:vertAlign w:val="subscript"/>
          <w:lang w:val="en-US" w:eastAsia="zh-CN"/>
        </w:rPr>
      </w:pP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bscript"/>
          <w:lang w:val="en-US" w:eastAsia="zh-CN"/>
        </w:rPr>
        <w:t>c</w:t>
      </w:r>
      <w:r>
        <w:rPr>
          <w:rFonts w:hint="eastAsia" w:ascii="仿宋_GB2312" w:hAnsi="仿宋_GB2312" w:eastAsia="仿宋_GB2312" w:cs="仿宋_GB2312"/>
          <w:color w:val="auto"/>
          <w:sz w:val="32"/>
          <w:szCs w:val="32"/>
          <w:highlight w:val="none"/>
          <w:lang w:val="en-US" w:eastAsia="zh-CN"/>
        </w:rPr>
        <w:t>=R</w:t>
      </w:r>
      <w:r>
        <w:rPr>
          <w:rFonts w:hint="eastAsia" w:ascii="仿宋_GB2312" w:hAnsi="仿宋_GB2312" w:eastAsia="仿宋_GB2312" w:cs="仿宋_GB2312"/>
          <w:color w:val="auto"/>
          <w:sz w:val="32"/>
          <w:szCs w:val="32"/>
          <w:highlight w:val="none"/>
          <w:vertAlign w:val="subscript"/>
          <w:lang w:val="en-US" w:eastAsia="zh-CN"/>
        </w:rPr>
        <w:t>c</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bscript"/>
          <w:lang w:val="en-US" w:eastAsia="zh-CN"/>
        </w:rPr>
        <w:t>c</w:t>
      </w:r>
    </w:p>
    <w:p w14:paraId="6D2C7866">
      <w:pPr>
        <w:keepNext w:val="0"/>
        <w:keepLines w:val="0"/>
        <w:pageBreakBefore w:val="0"/>
        <w:widowControl/>
        <w:kinsoku/>
        <w:wordWrap/>
        <w:topLinePunct w:val="0"/>
        <w:autoSpaceDE/>
        <w:autoSpaceDN/>
        <w:bidi w:val="0"/>
        <w:adjustRightInd/>
        <w:snapToGrid/>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式中：</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bscript"/>
          <w:lang w:val="en-US" w:eastAsia="zh-CN"/>
        </w:rPr>
        <w:t>c</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某城市拆除垃圾产生量</w:t>
      </w:r>
      <w:r>
        <w:rPr>
          <w:rFonts w:hint="eastAsia" w:ascii="仿宋_GB2312" w:hAnsi="仿宋_GB2312" w:eastAsia="仿宋_GB2312" w:cs="仿宋_GB2312"/>
          <w:color w:val="auto"/>
          <w:sz w:val="32"/>
          <w:szCs w:val="32"/>
          <w:highlight w:val="none"/>
        </w:rPr>
        <w:t>，单位：</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rPr>
        <w:t>；</w:t>
      </w:r>
    </w:p>
    <w:p w14:paraId="3B563D0C">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R</w:t>
      </w:r>
      <w:r>
        <w:rPr>
          <w:rFonts w:hint="eastAsia" w:ascii="仿宋_GB2312" w:hAnsi="仿宋_GB2312" w:eastAsia="仿宋_GB2312" w:cs="仿宋_GB2312"/>
          <w:color w:val="auto"/>
          <w:sz w:val="32"/>
          <w:szCs w:val="32"/>
          <w:highlight w:val="none"/>
          <w:vertAlign w:val="subscript"/>
          <w:lang w:val="en-US" w:eastAsia="zh-CN"/>
        </w:rPr>
        <w:t>c</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拆除建筑</w:t>
      </w:r>
      <w:r>
        <w:rPr>
          <w:rFonts w:hint="eastAsia" w:ascii="仿宋_GB2312" w:hAnsi="仿宋_GB2312" w:eastAsia="仿宋_GB2312" w:cs="仿宋_GB2312"/>
          <w:color w:val="auto"/>
          <w:sz w:val="32"/>
          <w:szCs w:val="32"/>
          <w:highlight w:val="none"/>
        </w:rPr>
        <w:t>面积，单位：万</w:t>
      </w:r>
      <w:r>
        <w:rPr>
          <w:rFonts w:hint="eastAsia" w:ascii="仿宋_GB2312" w:hAnsi="仿宋_GB2312" w:eastAsia="仿宋_GB2312" w:cs="仿宋_GB2312"/>
          <w:color w:val="auto"/>
          <w:sz w:val="32"/>
          <w:szCs w:val="32"/>
          <w:highlight w:val="none"/>
          <w:vertAlign w:val="baseline"/>
          <w:lang w:val="en-US" w:eastAsia="zh-CN"/>
        </w:rPr>
        <w:t>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eastAsia="zh-CN"/>
        </w:rPr>
        <w:t>；</w:t>
      </w:r>
    </w:p>
    <w:p w14:paraId="7DD4A777">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bscript"/>
          <w:lang w:val="en-US" w:eastAsia="zh-CN"/>
        </w:rPr>
        <w:t>c</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单位面积拆除垃圾产生量基数（</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lang w:val="en-US" w:eastAsia="zh-CN"/>
        </w:rPr>
        <w:t>/万</w:t>
      </w:r>
      <w:r>
        <w:rPr>
          <w:rFonts w:hint="eastAsia" w:ascii="仿宋_GB2312" w:hAnsi="仿宋_GB2312" w:eastAsia="仿宋_GB2312" w:cs="仿宋_GB2312"/>
          <w:color w:val="auto"/>
          <w:sz w:val="32"/>
          <w:szCs w:val="32"/>
          <w:highlight w:val="none"/>
          <w:vertAlign w:val="baseline"/>
          <w:lang w:val="en-US" w:eastAsia="zh-CN"/>
        </w:rPr>
        <w:t>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w:t>
      </w:r>
    </w:p>
    <w:p w14:paraId="243FE981">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可取3333</w:t>
      </w:r>
      <w:r>
        <w:rPr>
          <w:rFonts w:hint="default" w:ascii="Times New Roman" w:hAnsi="Times New Roman" w:eastAsia="仿宋_GB2312" w:cs="Times New Roman"/>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8125</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lang w:val="en-US" w:eastAsia="zh-CN"/>
        </w:rPr>
        <w:t>/万</w:t>
      </w:r>
      <w:r>
        <w:rPr>
          <w:rFonts w:hint="eastAsia" w:ascii="仿宋_GB2312" w:hAnsi="仿宋_GB2312" w:eastAsia="仿宋_GB2312" w:cs="仿宋_GB2312"/>
          <w:color w:val="auto"/>
          <w:sz w:val="32"/>
          <w:szCs w:val="32"/>
          <w:highlight w:val="none"/>
          <w:vertAlign w:val="baseline"/>
          <w:lang w:val="en-US" w:eastAsia="zh-CN"/>
        </w:rPr>
        <w:t>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rPr>
        <w:t>。</w:t>
      </w:r>
    </w:p>
    <w:p w14:paraId="48DB55AB">
      <w:pPr>
        <w:keepNext w:val="0"/>
        <w:keepLines w:val="0"/>
        <w:pageBreakBefore w:val="0"/>
        <w:widowControl/>
        <w:kinsoku/>
        <w:wordWrap/>
        <w:topLinePunct w:val="0"/>
        <w:autoSpaceDE/>
        <w:autoSpaceDN/>
        <w:bidi w:val="0"/>
        <w:adjustRightInd/>
        <w:snapToGrid/>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装修垃圾</w:t>
      </w:r>
    </w:p>
    <w:p w14:paraId="5C798444">
      <w:pPr>
        <w:keepNext w:val="0"/>
        <w:keepLines w:val="0"/>
        <w:pageBreakBefore w:val="0"/>
        <w:widowControl/>
        <w:kinsoku/>
        <w:wordWrap/>
        <w:topLinePunct w:val="0"/>
        <w:autoSpaceDE/>
        <w:autoSpaceDN/>
        <w:bidi w:val="0"/>
        <w:adjustRightInd/>
        <w:snapToGrid/>
        <w:spacing w:line="60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装修垃圾的产生量可按下式计算：</w:t>
      </w:r>
    </w:p>
    <w:p w14:paraId="055E2E48">
      <w:pPr>
        <w:keepNext w:val="0"/>
        <w:keepLines w:val="0"/>
        <w:pageBreakBefore w:val="0"/>
        <w:widowControl/>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color w:val="auto"/>
          <w:sz w:val="32"/>
          <w:szCs w:val="32"/>
          <w:highlight w:val="none"/>
          <w:vertAlign w:val="subscript"/>
        </w:rPr>
      </w:pPr>
      <w:r>
        <w:rPr>
          <w:rFonts w:hint="eastAsia" w:ascii="仿宋_GB2312" w:hAnsi="仿宋_GB2312" w:eastAsia="仿宋_GB2312" w:cs="仿宋_GB2312"/>
          <w:color w:val="auto"/>
          <w:sz w:val="32"/>
          <w:szCs w:val="32"/>
          <w:highlight w:val="none"/>
        </w:rPr>
        <w:t>M</w:t>
      </w:r>
      <w:r>
        <w:rPr>
          <w:rFonts w:hint="eastAsia" w:ascii="仿宋_GB2312" w:hAnsi="仿宋_GB2312" w:eastAsia="仿宋_GB2312" w:cs="仿宋_GB2312"/>
          <w:color w:val="auto"/>
          <w:sz w:val="32"/>
          <w:szCs w:val="32"/>
          <w:highlight w:val="none"/>
          <w:vertAlign w:val="subscript"/>
        </w:rPr>
        <w:t>z</w:t>
      </w:r>
      <w:r>
        <w:rPr>
          <w:rFonts w:hint="eastAsia" w:ascii="仿宋_GB2312" w:hAnsi="仿宋_GB2312" w:eastAsia="仿宋_GB2312" w:cs="仿宋_GB2312"/>
          <w:color w:val="auto"/>
          <w:sz w:val="32"/>
          <w:szCs w:val="32"/>
          <w:highlight w:val="none"/>
        </w:rPr>
        <w:t>=R</w:t>
      </w:r>
      <w:r>
        <w:rPr>
          <w:rFonts w:hint="eastAsia" w:ascii="仿宋_GB2312" w:hAnsi="仿宋_GB2312" w:eastAsia="仿宋_GB2312" w:cs="仿宋_GB2312"/>
          <w:color w:val="auto"/>
          <w:sz w:val="32"/>
          <w:szCs w:val="32"/>
          <w:highlight w:val="none"/>
          <w:vertAlign w:val="subscript"/>
        </w:rPr>
        <w:t>z</w:t>
      </w:r>
      <w:r>
        <w:rPr>
          <w:rFonts w:hint="eastAsia" w:ascii="仿宋_GB2312" w:hAnsi="仿宋_GB2312" w:eastAsia="仿宋_GB2312" w:cs="仿宋_GB2312"/>
          <w:color w:val="auto"/>
          <w:sz w:val="32"/>
          <w:szCs w:val="32"/>
          <w:highlight w:val="none"/>
        </w:rPr>
        <w:t>m</w:t>
      </w:r>
      <w:r>
        <w:rPr>
          <w:rFonts w:hint="eastAsia" w:ascii="仿宋_GB2312" w:hAnsi="仿宋_GB2312" w:eastAsia="仿宋_GB2312" w:cs="仿宋_GB2312"/>
          <w:color w:val="auto"/>
          <w:sz w:val="32"/>
          <w:szCs w:val="32"/>
          <w:highlight w:val="none"/>
          <w:vertAlign w:val="subscript"/>
        </w:rPr>
        <w:t>z</w:t>
      </w:r>
    </w:p>
    <w:p w14:paraId="5B20DFEA">
      <w:pPr>
        <w:keepNext w:val="0"/>
        <w:keepLines w:val="0"/>
        <w:pageBreakBefore w:val="0"/>
        <w:widowControl/>
        <w:kinsoku/>
        <w:wordWrap/>
        <w:topLinePunct w:val="0"/>
        <w:autoSpaceDE/>
        <w:autoSpaceDN/>
        <w:bidi w:val="0"/>
        <w:adjustRightInd/>
        <w:snapToGrid/>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式中：M</w:t>
      </w:r>
      <w:r>
        <w:rPr>
          <w:rFonts w:hint="eastAsia" w:ascii="仿宋_GB2312" w:hAnsi="仿宋_GB2312" w:eastAsia="仿宋_GB2312" w:cs="仿宋_GB2312"/>
          <w:color w:val="auto"/>
          <w:sz w:val="32"/>
          <w:szCs w:val="32"/>
          <w:highlight w:val="none"/>
          <w:vertAlign w:val="subscript"/>
        </w:rPr>
        <w:t>z</w:t>
      </w:r>
      <w:r>
        <w:rPr>
          <w:rFonts w:hint="eastAsia" w:ascii="仿宋_GB2312" w:hAnsi="仿宋_GB2312" w:eastAsia="仿宋_GB2312" w:cs="仿宋_GB2312"/>
          <w:color w:val="auto"/>
          <w:sz w:val="32"/>
          <w:szCs w:val="32"/>
          <w:highlight w:val="none"/>
        </w:rPr>
        <w:t>——区域装修垃圾产生量（</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rPr>
        <w:t>/a）；</w:t>
      </w:r>
    </w:p>
    <w:p w14:paraId="1BF34E55">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R</w:t>
      </w:r>
      <w:r>
        <w:rPr>
          <w:rFonts w:hint="eastAsia" w:ascii="仿宋_GB2312" w:hAnsi="仿宋_GB2312" w:eastAsia="仿宋_GB2312" w:cs="仿宋_GB2312"/>
          <w:color w:val="auto"/>
          <w:sz w:val="32"/>
          <w:szCs w:val="32"/>
          <w:highlight w:val="none"/>
          <w:vertAlign w:val="subscript"/>
        </w:rPr>
        <w:t>z</w:t>
      </w:r>
      <w:r>
        <w:rPr>
          <w:rFonts w:hint="eastAsia" w:ascii="仿宋_GB2312" w:hAnsi="仿宋_GB2312" w:eastAsia="仿宋_GB2312" w:cs="仿宋_GB2312"/>
          <w:color w:val="auto"/>
          <w:sz w:val="32"/>
          <w:szCs w:val="32"/>
          <w:highlight w:val="none"/>
        </w:rPr>
        <w:t>——区域居民户数（户）；</w:t>
      </w:r>
    </w:p>
    <w:p w14:paraId="445ACDC2">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m</w:t>
      </w:r>
      <w:r>
        <w:rPr>
          <w:rFonts w:hint="eastAsia" w:ascii="仿宋_GB2312" w:hAnsi="仿宋_GB2312" w:eastAsia="仿宋_GB2312" w:cs="仿宋_GB2312"/>
          <w:color w:val="auto"/>
          <w:sz w:val="32"/>
          <w:szCs w:val="32"/>
          <w:highlight w:val="none"/>
          <w:vertAlign w:val="subscript"/>
        </w:rPr>
        <w:t>z</w:t>
      </w:r>
      <w:r>
        <w:rPr>
          <w:rFonts w:hint="eastAsia" w:ascii="仿宋_GB2312" w:hAnsi="仿宋_GB2312" w:eastAsia="仿宋_GB2312" w:cs="仿宋_GB2312"/>
          <w:color w:val="auto"/>
          <w:sz w:val="32"/>
          <w:szCs w:val="32"/>
          <w:highlight w:val="none"/>
        </w:rPr>
        <w:t>——单位户数装修垃圾产生量基数（</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rPr>
        <w:t>/（户·a）），</w:t>
      </w:r>
    </w:p>
    <w:p w14:paraId="10C8DF4F">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可取0.2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rPr>
        <w:t>/（户·a）</w:t>
      </w:r>
      <w:r>
        <w:rPr>
          <w:rFonts w:hint="default" w:ascii="Times New Roman" w:hAnsi="Times New Roman" w:eastAsia="仿宋_GB2312" w:cs="Times New Roman"/>
          <w:color w:val="auto"/>
          <w:sz w:val="32"/>
          <w:szCs w:val="32"/>
          <w:highlight w:val="none"/>
        </w:rPr>
        <w:t>~</w:t>
      </w:r>
      <w:r>
        <w:rPr>
          <w:rFonts w:hint="eastAsia" w:ascii="仿宋_GB2312" w:hAnsi="仿宋_GB2312" w:eastAsia="仿宋_GB2312" w:cs="仿宋_GB2312"/>
          <w:color w:val="auto"/>
          <w:sz w:val="32"/>
          <w:szCs w:val="32"/>
          <w:highlight w:val="none"/>
        </w:rPr>
        <w:t>0.</w:t>
      </w:r>
      <w:r>
        <w:rPr>
          <w:rFonts w:hint="eastAsia" w:ascii="仿宋_GB2312" w:hAnsi="仿宋_GB2312" w:eastAsia="仿宋_GB2312" w:cs="仿宋_GB2312"/>
          <w:color w:val="auto"/>
          <w:sz w:val="32"/>
          <w:szCs w:val="32"/>
          <w:highlight w:val="none"/>
          <w:lang w:val="en-US" w:eastAsia="zh-CN"/>
        </w:rPr>
        <w:t>625</w:t>
      </w:r>
      <w:r>
        <w:rPr>
          <w:rFonts w:hint="eastAsia" w:ascii="仿宋_GB2312" w:hAnsi="仿宋_GB2312" w:eastAsia="仿宋_GB2312" w:cs="仿宋_GB2312"/>
          <w:color w:val="auto"/>
          <w:sz w:val="32"/>
          <w:szCs w:val="32"/>
          <w:highlight w:val="none"/>
          <w:lang w:eastAsia="zh-CN"/>
        </w:rPr>
        <w:t>m³</w:t>
      </w:r>
      <w:r>
        <w:rPr>
          <w:rFonts w:hint="eastAsia" w:ascii="仿宋_GB2312" w:hAnsi="仿宋_GB2312" w:eastAsia="仿宋_GB2312" w:cs="仿宋_GB2312"/>
          <w:color w:val="auto"/>
          <w:sz w:val="32"/>
          <w:szCs w:val="32"/>
          <w:highlight w:val="none"/>
        </w:rPr>
        <w:t>/（户·a）。</w:t>
      </w:r>
    </w:p>
    <w:p w14:paraId="0E0A2F29">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outlineLvl w:val="3"/>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2.产量预测</w:t>
      </w:r>
    </w:p>
    <w:p w14:paraId="07FB2348">
      <w:pPr>
        <w:pStyle w:val="65"/>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baseline"/>
        <w:rPr>
          <w:rFonts w:hint="eastAsia" w:ascii="仿宋_GB2312" w:hAnsi="仿宋_GB2312" w:eastAsia="仿宋_GB2312" w:cs="仿宋_GB2312"/>
          <w:color w:val="auto"/>
          <w:spacing w:val="0"/>
          <w:kern w:val="2"/>
          <w:sz w:val="32"/>
          <w:szCs w:val="32"/>
          <w:highlight w:val="none"/>
          <w:lang w:val="en-US" w:eastAsia="zh-CN" w:bidi="ar-SA"/>
        </w:rPr>
      </w:pPr>
      <w:r>
        <w:rPr>
          <w:rFonts w:hint="default" w:ascii="仿宋_GB2312" w:hAnsi="仿宋_GB2312" w:eastAsia="仿宋_GB2312" w:cs="仿宋_GB2312"/>
          <w:color w:val="auto"/>
          <w:sz w:val="32"/>
          <w:szCs w:val="32"/>
          <w:highlight w:val="none"/>
          <w:lang w:val="en-US" w:eastAsia="zh-CN"/>
        </w:rPr>
        <w:t>根据《广东省建筑垃圾污染环境防治工作规划（2024-2030年）》</w:t>
      </w:r>
      <w:r>
        <w:rPr>
          <w:rFonts w:hint="eastAsia" w:ascii="仿宋_GB2312" w:hAnsi="仿宋_GB2312" w:cs="仿宋_GB2312"/>
          <w:color w:val="auto"/>
          <w:sz w:val="32"/>
          <w:szCs w:val="32"/>
          <w:highlight w:val="none"/>
          <w:lang w:val="en-US" w:eastAsia="zh-CN"/>
        </w:rPr>
        <w:t>，</w:t>
      </w:r>
      <w:r>
        <w:rPr>
          <w:rFonts w:hint="default" w:ascii="仿宋_GB2312" w:hAnsi="仿宋_GB2312" w:cs="仿宋_GB2312"/>
          <w:color w:val="auto"/>
          <w:spacing w:val="0"/>
          <w:kern w:val="2"/>
          <w:sz w:val="32"/>
          <w:szCs w:val="32"/>
          <w:highlight w:val="none"/>
          <w:lang w:val="en-US" w:eastAsia="zh-CN" w:bidi="ar-SA"/>
        </w:rPr>
        <w:t>珠三角地区建筑垃圾年产量平均增长速度</w:t>
      </w:r>
      <w:r>
        <w:rPr>
          <w:rFonts w:hint="eastAsia" w:ascii="仿宋_GB2312" w:hAnsi="仿宋_GB2312" w:cs="仿宋_GB2312"/>
          <w:color w:val="auto"/>
          <w:spacing w:val="0"/>
          <w:kern w:val="2"/>
          <w:sz w:val="32"/>
          <w:szCs w:val="32"/>
          <w:highlight w:val="none"/>
          <w:lang w:val="en-US" w:eastAsia="zh-CN" w:bidi="ar-SA"/>
        </w:rPr>
        <w:t>设定为</w:t>
      </w:r>
      <w:r>
        <w:rPr>
          <w:rFonts w:hint="default" w:ascii="仿宋_GB2312" w:hAnsi="仿宋_GB2312" w:cs="仿宋_GB2312"/>
          <w:color w:val="auto"/>
          <w:spacing w:val="0"/>
          <w:kern w:val="2"/>
          <w:sz w:val="32"/>
          <w:szCs w:val="32"/>
          <w:highlight w:val="none"/>
          <w:lang w:val="en-US" w:eastAsia="zh-CN" w:bidi="ar-SA"/>
        </w:rPr>
        <w:t>5%。目前由于装修垃圾管理不规范，故此类垃圾产生量的预测采用《建筑垃圾处理技术标准》（</w:t>
      </w:r>
      <w:r>
        <w:rPr>
          <w:rFonts w:hint="eastAsia" w:ascii="仿宋_GB2312" w:hAnsi="仿宋_GB2312" w:eastAsia="仿宋_GB2312" w:cs="仿宋_GB2312"/>
          <w:color w:val="auto"/>
          <w:spacing w:val="0"/>
          <w:sz w:val="32"/>
          <w:szCs w:val="32"/>
          <w:highlight w:val="none"/>
        </w:rPr>
        <w:t>CJJ/T 134</w:t>
      </w:r>
      <w:r>
        <w:rPr>
          <w:rFonts w:hint="default" w:ascii="仿宋_GB2312" w:hAnsi="仿宋_GB2312" w:cs="仿宋_GB2312"/>
          <w:color w:val="auto"/>
          <w:spacing w:val="0"/>
          <w:kern w:val="2"/>
          <w:sz w:val="32"/>
          <w:szCs w:val="32"/>
          <w:highlight w:val="none"/>
          <w:lang w:val="en-US" w:eastAsia="zh-CN" w:bidi="ar-SA"/>
        </w:rPr>
        <w:t>）中的推荐公式计算调整。</w:t>
      </w:r>
      <w:r>
        <w:rPr>
          <w:rFonts w:hint="eastAsia" w:ascii="仿宋_GB2312" w:hAnsi="仿宋_GB2312" w:eastAsia="仿宋_GB2312" w:cs="仿宋_GB2312"/>
          <w:color w:val="auto"/>
          <w:spacing w:val="0"/>
          <w:kern w:val="2"/>
          <w:sz w:val="32"/>
          <w:szCs w:val="32"/>
          <w:highlight w:val="none"/>
          <w:lang w:val="en-US" w:eastAsia="zh-CN" w:bidi="ar-SA"/>
        </w:rPr>
        <w:t>随着高质量发展，</w:t>
      </w:r>
      <w:r>
        <w:rPr>
          <w:rFonts w:hint="eastAsia" w:ascii="仿宋_GB2312" w:hAnsi="仿宋_GB2312" w:cs="仿宋_GB2312"/>
          <w:color w:val="auto"/>
          <w:spacing w:val="0"/>
          <w:kern w:val="2"/>
          <w:sz w:val="32"/>
          <w:szCs w:val="32"/>
          <w:highlight w:val="none"/>
          <w:lang w:val="en-US" w:eastAsia="zh-CN" w:bidi="ar-SA"/>
        </w:rPr>
        <w:t>增城</w:t>
      </w:r>
      <w:r>
        <w:rPr>
          <w:rFonts w:hint="eastAsia" w:ascii="仿宋_GB2312" w:hAnsi="仿宋_GB2312" w:eastAsia="仿宋_GB2312" w:cs="仿宋_GB2312"/>
          <w:color w:val="auto"/>
          <w:spacing w:val="0"/>
          <w:kern w:val="2"/>
          <w:sz w:val="32"/>
          <w:szCs w:val="32"/>
          <w:highlight w:val="none"/>
          <w:lang w:val="en-US" w:eastAsia="zh-CN" w:bidi="ar-SA"/>
        </w:rPr>
        <w:t>区建筑垃圾产生量会逐年增加，但建筑垃圾治理水平逐步提升，源头减量渐见成效，据此原则，结合</w:t>
      </w:r>
      <w:r>
        <w:rPr>
          <w:rFonts w:hint="eastAsia" w:ascii="仿宋_GB2312" w:hAnsi="仿宋_GB2312" w:cs="仿宋_GB2312"/>
          <w:color w:val="auto"/>
          <w:spacing w:val="0"/>
          <w:kern w:val="2"/>
          <w:sz w:val="32"/>
          <w:szCs w:val="32"/>
          <w:highlight w:val="none"/>
          <w:lang w:val="en-US" w:eastAsia="zh-CN" w:bidi="ar-SA"/>
        </w:rPr>
        <w:t>增城区2020年至2023年4年的</w:t>
      </w:r>
      <w:r>
        <w:rPr>
          <w:rFonts w:hint="eastAsia" w:ascii="仿宋_GB2312" w:hAnsi="仿宋_GB2312" w:eastAsia="仿宋_GB2312" w:cs="仿宋_GB2312"/>
          <w:color w:val="auto"/>
          <w:spacing w:val="0"/>
          <w:kern w:val="2"/>
          <w:sz w:val="32"/>
          <w:szCs w:val="32"/>
          <w:highlight w:val="none"/>
          <w:lang w:val="en-US" w:eastAsia="zh-CN" w:bidi="ar-SA"/>
        </w:rPr>
        <w:t>历史统计数据、城市发展规划预测建筑垃圾产生量，预测至</w:t>
      </w:r>
      <w:r>
        <w:rPr>
          <w:rFonts w:hint="eastAsia" w:ascii="仿宋_GB2312" w:hAnsi="仿宋_GB2312" w:cs="仿宋_GB2312"/>
          <w:color w:val="auto"/>
          <w:spacing w:val="0"/>
          <w:kern w:val="2"/>
          <w:sz w:val="32"/>
          <w:szCs w:val="32"/>
          <w:highlight w:val="none"/>
          <w:lang w:val="en-US" w:eastAsia="zh-CN" w:bidi="ar-SA"/>
        </w:rPr>
        <w:t>规划期末（</w:t>
      </w:r>
      <w:r>
        <w:rPr>
          <w:rFonts w:hint="eastAsia" w:ascii="仿宋_GB2312" w:hAnsi="仿宋_GB2312" w:eastAsia="仿宋_GB2312" w:cs="仿宋_GB2312"/>
          <w:color w:val="auto"/>
          <w:spacing w:val="0"/>
          <w:kern w:val="2"/>
          <w:sz w:val="32"/>
          <w:szCs w:val="32"/>
          <w:highlight w:val="none"/>
          <w:lang w:val="en-US" w:eastAsia="zh-CN" w:bidi="ar-SA"/>
        </w:rPr>
        <w:t>2026年</w:t>
      </w:r>
      <w:r>
        <w:rPr>
          <w:rFonts w:hint="eastAsia" w:ascii="仿宋_GB2312" w:hAnsi="仿宋_GB2312" w:cs="仿宋_GB2312"/>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kern w:val="2"/>
          <w:sz w:val="32"/>
          <w:szCs w:val="32"/>
          <w:highlight w:val="none"/>
          <w:lang w:val="en-US" w:eastAsia="zh-CN" w:bidi="ar-SA"/>
        </w:rPr>
        <w:t>全区建筑垃圾产生量</w:t>
      </w:r>
      <w:r>
        <w:rPr>
          <w:rFonts w:hint="eastAsia" w:ascii="仿宋_GB2312" w:hAnsi="仿宋_GB2312" w:cs="仿宋_GB2312"/>
          <w:color w:val="auto"/>
          <w:spacing w:val="0"/>
          <w:kern w:val="2"/>
          <w:sz w:val="32"/>
          <w:szCs w:val="32"/>
          <w:highlight w:val="none"/>
          <w:lang w:val="en-US" w:eastAsia="zh-CN" w:bidi="ar-SA"/>
        </w:rPr>
        <w:t>1616.23</w:t>
      </w:r>
      <w:r>
        <w:rPr>
          <w:rFonts w:hint="eastAsia" w:ascii="仿宋_GB2312" w:hAnsi="仿宋_GB2312" w:eastAsia="仿宋_GB2312" w:cs="仿宋_GB2312"/>
          <w:color w:val="auto"/>
          <w:spacing w:val="0"/>
          <w:kern w:val="2"/>
          <w:sz w:val="32"/>
          <w:szCs w:val="32"/>
          <w:highlight w:val="none"/>
          <w:lang w:val="en-US" w:eastAsia="zh-CN" w:bidi="ar-SA"/>
        </w:rPr>
        <w:t>万立方米</w:t>
      </w:r>
      <w:r>
        <w:rPr>
          <w:rFonts w:hint="eastAsia" w:ascii="仿宋_GB2312" w:hAnsi="仿宋_GB2312" w:cs="仿宋_GB2312"/>
          <w:color w:val="auto"/>
          <w:spacing w:val="0"/>
          <w:kern w:val="2"/>
          <w:sz w:val="32"/>
          <w:szCs w:val="32"/>
          <w:highlight w:val="none"/>
          <w:lang w:val="en-US" w:eastAsia="zh-CN" w:bidi="ar-SA"/>
        </w:rPr>
        <w:t>/年</w:t>
      </w:r>
      <w:r>
        <w:rPr>
          <w:rFonts w:hint="eastAsia" w:ascii="仿宋_GB2312" w:hAnsi="仿宋_GB2312" w:eastAsia="仿宋_GB2312" w:cs="仿宋_GB2312"/>
          <w:color w:val="auto"/>
          <w:spacing w:val="0"/>
          <w:kern w:val="2"/>
          <w:sz w:val="32"/>
          <w:szCs w:val="32"/>
          <w:highlight w:val="none"/>
          <w:lang w:val="en-US" w:eastAsia="zh-CN" w:bidi="ar-SA"/>
        </w:rPr>
        <w:t>。各类建筑垃圾产生量预测，如下：</w:t>
      </w:r>
    </w:p>
    <w:p w14:paraId="1CC3AB0C">
      <w:pPr>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br w:type="page"/>
      </w:r>
    </w:p>
    <w:p w14:paraId="087BBD63">
      <w:pPr>
        <w:pStyle w:val="65"/>
        <w:keepNext w:val="0"/>
        <w:keepLines w:val="0"/>
        <w:pageBreakBefore w:val="0"/>
        <w:widowControl/>
        <w:numPr>
          <w:ilvl w:val="0"/>
          <w:numId w:val="6"/>
        </w:numPr>
        <w:shd w:val="clear" w:color="auto" w:fill="auto"/>
        <w:kinsoku/>
        <w:wordWrap/>
        <w:overflowPunct w:val="0"/>
        <w:topLinePunct w:val="0"/>
        <w:autoSpaceDE/>
        <w:autoSpaceDN/>
        <w:bidi w:val="0"/>
        <w:adjustRightInd/>
        <w:snapToGrid/>
        <w:spacing w:after="192" w:afterLines="50" w:line="600" w:lineRule="exact"/>
        <w:ind w:left="0" w:leftChars="0" w:firstLine="42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建筑垃圾产生量预测汇总表（单位：万立方米</w:t>
      </w:r>
      <w:r>
        <w:rPr>
          <w:rFonts w:hint="eastAsia" w:ascii="仿宋_GB2312" w:hAnsi="仿宋_GB2312" w:cs="仿宋_GB2312"/>
          <w:b/>
          <w:bCs/>
          <w:color w:val="auto"/>
          <w:spacing w:val="0"/>
          <w:kern w:val="2"/>
          <w:sz w:val="28"/>
          <w:szCs w:val="28"/>
          <w:highlight w:val="none"/>
          <w:lang w:val="en-US" w:eastAsia="zh-CN" w:bidi="ar-SA"/>
        </w:rPr>
        <w:t>/年</w:t>
      </w:r>
      <w:r>
        <w:rPr>
          <w:rFonts w:hint="eastAsia" w:ascii="仿宋_GB2312" w:hAnsi="仿宋_GB2312" w:eastAsia="仿宋_GB2312" w:cs="仿宋_GB2312"/>
          <w:b/>
          <w:bCs/>
          <w:color w:val="auto"/>
          <w:spacing w:val="0"/>
          <w:kern w:val="2"/>
          <w:sz w:val="28"/>
          <w:szCs w:val="28"/>
          <w:highlight w:val="none"/>
          <w:lang w:val="en-US" w:eastAsia="zh-CN" w:bidi="ar-SA"/>
        </w:rPr>
        <w:t>）</w:t>
      </w:r>
    </w:p>
    <w:tbl>
      <w:tblPr>
        <w:tblStyle w:val="44"/>
        <w:tblW w:w="4984" w:type="pct"/>
        <w:jc w:val="center"/>
        <w:tblLayout w:type="autofit"/>
        <w:tblCellMar>
          <w:top w:w="0" w:type="dxa"/>
          <w:left w:w="108" w:type="dxa"/>
          <w:bottom w:w="0" w:type="dxa"/>
          <w:right w:w="108" w:type="dxa"/>
        </w:tblCellMar>
      </w:tblPr>
      <w:tblGrid>
        <w:gridCol w:w="1791"/>
        <w:gridCol w:w="2387"/>
        <w:gridCol w:w="4740"/>
      </w:tblGrid>
      <w:tr w14:paraId="2DAB6707">
        <w:tblPrEx>
          <w:tblCellMar>
            <w:top w:w="0" w:type="dxa"/>
            <w:left w:w="108" w:type="dxa"/>
            <w:bottom w:w="0" w:type="dxa"/>
            <w:right w:w="108" w:type="dxa"/>
          </w:tblCellMar>
        </w:tblPrEx>
        <w:trPr>
          <w:trHeight w:val="494" w:hRule="atLeast"/>
          <w:jc w:val="center"/>
        </w:trPr>
        <w:tc>
          <w:tcPr>
            <w:tcW w:w="2342" w:type="pct"/>
            <w:gridSpan w:val="2"/>
            <w:tcBorders>
              <w:top w:val="single" w:color="auto" w:sz="4" w:space="0"/>
              <w:left w:val="single" w:color="auto" w:sz="4" w:space="0"/>
              <w:bottom w:val="single" w:color="auto" w:sz="4" w:space="0"/>
              <w:right w:val="single" w:color="auto" w:sz="4" w:space="0"/>
            </w:tcBorders>
            <w:noWrap/>
            <w:vAlign w:val="center"/>
          </w:tcPr>
          <w:p w14:paraId="1825064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类别</w:t>
            </w:r>
          </w:p>
        </w:tc>
        <w:tc>
          <w:tcPr>
            <w:tcW w:w="2657" w:type="pct"/>
            <w:tcBorders>
              <w:top w:val="single" w:color="auto" w:sz="4" w:space="0"/>
              <w:left w:val="single" w:color="auto" w:sz="4" w:space="0"/>
              <w:bottom w:val="single" w:color="auto" w:sz="4" w:space="0"/>
              <w:right w:val="single" w:color="auto" w:sz="4" w:space="0"/>
            </w:tcBorders>
            <w:noWrap/>
            <w:vAlign w:val="center"/>
          </w:tcPr>
          <w:p w14:paraId="6806BEB7">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2026年建筑垃圾产生量</w:t>
            </w:r>
          </w:p>
        </w:tc>
      </w:tr>
      <w:tr w14:paraId="531B559D">
        <w:tblPrEx>
          <w:tblCellMar>
            <w:top w:w="0" w:type="dxa"/>
            <w:left w:w="108" w:type="dxa"/>
            <w:bottom w:w="0" w:type="dxa"/>
            <w:right w:w="108" w:type="dxa"/>
          </w:tblCellMar>
        </w:tblPrEx>
        <w:trPr>
          <w:trHeight w:val="494" w:hRule="atLeast"/>
          <w:jc w:val="center"/>
        </w:trPr>
        <w:tc>
          <w:tcPr>
            <w:tcW w:w="2342" w:type="pct"/>
            <w:gridSpan w:val="2"/>
            <w:tcBorders>
              <w:top w:val="single" w:color="auto" w:sz="4" w:space="0"/>
              <w:left w:val="single" w:color="auto" w:sz="4" w:space="0"/>
              <w:bottom w:val="single" w:color="auto" w:sz="4" w:space="0"/>
              <w:right w:val="single" w:color="auto" w:sz="4" w:space="0"/>
            </w:tcBorders>
            <w:noWrap/>
            <w:vAlign w:val="center"/>
          </w:tcPr>
          <w:p w14:paraId="0F46D43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建筑垃圾</w:t>
            </w:r>
          </w:p>
        </w:tc>
        <w:tc>
          <w:tcPr>
            <w:tcW w:w="265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0D3F97">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 xml:space="preserve">1616.23 </w:t>
            </w:r>
          </w:p>
        </w:tc>
      </w:tr>
      <w:tr w14:paraId="25FD4E64">
        <w:tblPrEx>
          <w:tblCellMar>
            <w:top w:w="0" w:type="dxa"/>
            <w:left w:w="108" w:type="dxa"/>
            <w:bottom w:w="0" w:type="dxa"/>
            <w:right w:w="108" w:type="dxa"/>
          </w:tblCellMar>
        </w:tblPrEx>
        <w:trPr>
          <w:trHeight w:val="494" w:hRule="atLeast"/>
          <w:jc w:val="center"/>
        </w:trPr>
        <w:tc>
          <w:tcPr>
            <w:tcW w:w="1004" w:type="pct"/>
            <w:vMerge w:val="restart"/>
            <w:tcBorders>
              <w:top w:val="single" w:color="auto" w:sz="4" w:space="0"/>
              <w:left w:val="single" w:color="auto" w:sz="4" w:space="0"/>
              <w:bottom w:val="single" w:color="auto" w:sz="4" w:space="0"/>
              <w:right w:val="single" w:color="auto" w:sz="4" w:space="0"/>
            </w:tcBorders>
            <w:noWrap/>
            <w:vAlign w:val="center"/>
          </w:tcPr>
          <w:p w14:paraId="52B55030">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其中</w:t>
            </w:r>
          </w:p>
        </w:tc>
        <w:tc>
          <w:tcPr>
            <w:tcW w:w="1338" w:type="pct"/>
            <w:tcBorders>
              <w:top w:val="single" w:color="auto" w:sz="4" w:space="0"/>
              <w:left w:val="single" w:color="auto" w:sz="4" w:space="0"/>
              <w:bottom w:val="single" w:color="auto" w:sz="4" w:space="0"/>
              <w:right w:val="single" w:color="auto" w:sz="4" w:space="0"/>
            </w:tcBorders>
            <w:noWrap/>
            <w:vAlign w:val="center"/>
          </w:tcPr>
          <w:p w14:paraId="6D23A09A">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工程渣土</w:t>
            </w:r>
          </w:p>
        </w:tc>
        <w:tc>
          <w:tcPr>
            <w:tcW w:w="2657" w:type="pct"/>
            <w:tcBorders>
              <w:top w:val="single" w:color="auto" w:sz="4" w:space="0"/>
              <w:left w:val="single" w:color="auto" w:sz="4" w:space="0"/>
              <w:bottom w:val="single" w:color="auto" w:sz="4" w:space="0"/>
              <w:right w:val="single" w:color="auto" w:sz="4" w:space="0"/>
            </w:tcBorders>
            <w:noWrap/>
            <w:vAlign w:val="center"/>
          </w:tcPr>
          <w:p w14:paraId="68F8931E">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 xml:space="preserve">1529.06 </w:t>
            </w:r>
          </w:p>
        </w:tc>
      </w:tr>
      <w:tr w14:paraId="375CF4FE">
        <w:tblPrEx>
          <w:tblCellMar>
            <w:top w:w="0" w:type="dxa"/>
            <w:left w:w="108" w:type="dxa"/>
            <w:bottom w:w="0" w:type="dxa"/>
            <w:right w:w="108" w:type="dxa"/>
          </w:tblCellMar>
        </w:tblPrEx>
        <w:trPr>
          <w:trHeight w:val="494" w:hRule="atLeast"/>
          <w:jc w:val="center"/>
        </w:trPr>
        <w:tc>
          <w:tcPr>
            <w:tcW w:w="1004" w:type="pct"/>
            <w:vMerge w:val="continue"/>
            <w:tcBorders>
              <w:top w:val="single" w:color="auto" w:sz="4" w:space="0"/>
              <w:left w:val="single" w:color="auto" w:sz="4" w:space="0"/>
              <w:bottom w:val="single" w:color="auto" w:sz="4" w:space="0"/>
              <w:right w:val="single" w:color="auto" w:sz="4" w:space="0"/>
            </w:tcBorders>
            <w:noWrap/>
            <w:vAlign w:val="center"/>
          </w:tcPr>
          <w:p w14:paraId="7664250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1338" w:type="pct"/>
            <w:tcBorders>
              <w:top w:val="single" w:color="auto" w:sz="4" w:space="0"/>
              <w:left w:val="single" w:color="auto" w:sz="4" w:space="0"/>
              <w:bottom w:val="single" w:color="auto" w:sz="4" w:space="0"/>
              <w:right w:val="single" w:color="auto" w:sz="4" w:space="0"/>
            </w:tcBorders>
            <w:noWrap/>
            <w:vAlign w:val="center"/>
          </w:tcPr>
          <w:p w14:paraId="7253DF60">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工程泥浆</w:t>
            </w:r>
          </w:p>
        </w:tc>
        <w:tc>
          <w:tcPr>
            <w:tcW w:w="2657" w:type="pct"/>
            <w:tcBorders>
              <w:top w:val="single" w:color="auto" w:sz="4" w:space="0"/>
              <w:left w:val="single" w:color="auto" w:sz="4" w:space="0"/>
              <w:bottom w:val="single" w:color="auto" w:sz="4" w:space="0"/>
              <w:right w:val="single" w:color="auto" w:sz="4" w:space="0"/>
            </w:tcBorders>
            <w:noWrap/>
            <w:vAlign w:val="center"/>
          </w:tcPr>
          <w:p w14:paraId="3DFA8C0C">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 xml:space="preserve">14.08 </w:t>
            </w:r>
          </w:p>
        </w:tc>
      </w:tr>
      <w:tr w14:paraId="216FD3F4">
        <w:tblPrEx>
          <w:tblCellMar>
            <w:top w:w="0" w:type="dxa"/>
            <w:left w:w="108" w:type="dxa"/>
            <w:bottom w:w="0" w:type="dxa"/>
            <w:right w:w="108" w:type="dxa"/>
          </w:tblCellMar>
        </w:tblPrEx>
        <w:trPr>
          <w:trHeight w:val="494" w:hRule="atLeast"/>
          <w:jc w:val="center"/>
        </w:trPr>
        <w:tc>
          <w:tcPr>
            <w:tcW w:w="1004" w:type="pct"/>
            <w:vMerge w:val="continue"/>
            <w:tcBorders>
              <w:top w:val="single" w:color="auto" w:sz="4" w:space="0"/>
              <w:left w:val="single" w:color="auto" w:sz="4" w:space="0"/>
              <w:bottom w:val="single" w:color="auto" w:sz="4" w:space="0"/>
              <w:right w:val="single" w:color="auto" w:sz="4" w:space="0"/>
            </w:tcBorders>
            <w:noWrap/>
            <w:vAlign w:val="center"/>
          </w:tcPr>
          <w:p w14:paraId="073450A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1338" w:type="pct"/>
            <w:tcBorders>
              <w:top w:val="single" w:color="auto" w:sz="4" w:space="0"/>
              <w:left w:val="single" w:color="auto" w:sz="4" w:space="0"/>
              <w:bottom w:val="single" w:color="auto" w:sz="4" w:space="0"/>
              <w:right w:val="single" w:color="auto" w:sz="4" w:space="0"/>
            </w:tcBorders>
            <w:noWrap/>
            <w:vAlign w:val="center"/>
          </w:tcPr>
          <w:p w14:paraId="52DD1D2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工程垃圾</w:t>
            </w:r>
          </w:p>
        </w:tc>
        <w:tc>
          <w:tcPr>
            <w:tcW w:w="2657" w:type="pct"/>
            <w:tcBorders>
              <w:top w:val="single" w:color="auto" w:sz="4" w:space="0"/>
              <w:left w:val="single" w:color="auto" w:sz="4" w:space="0"/>
              <w:bottom w:val="single" w:color="auto" w:sz="4" w:space="0"/>
              <w:right w:val="single" w:color="auto" w:sz="4" w:space="0"/>
            </w:tcBorders>
            <w:noWrap/>
            <w:vAlign w:val="center"/>
          </w:tcPr>
          <w:p w14:paraId="48F068E7">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 xml:space="preserve">11.71 </w:t>
            </w:r>
          </w:p>
        </w:tc>
      </w:tr>
      <w:tr w14:paraId="66B65F91">
        <w:tblPrEx>
          <w:tblCellMar>
            <w:top w:w="0" w:type="dxa"/>
            <w:left w:w="108" w:type="dxa"/>
            <w:bottom w:w="0" w:type="dxa"/>
            <w:right w:w="108" w:type="dxa"/>
          </w:tblCellMar>
        </w:tblPrEx>
        <w:trPr>
          <w:trHeight w:val="494" w:hRule="atLeast"/>
          <w:jc w:val="center"/>
        </w:trPr>
        <w:tc>
          <w:tcPr>
            <w:tcW w:w="1004" w:type="pct"/>
            <w:vMerge w:val="continue"/>
            <w:tcBorders>
              <w:top w:val="single" w:color="auto" w:sz="4" w:space="0"/>
              <w:left w:val="single" w:color="auto" w:sz="4" w:space="0"/>
              <w:bottom w:val="single" w:color="auto" w:sz="4" w:space="0"/>
              <w:right w:val="single" w:color="auto" w:sz="4" w:space="0"/>
            </w:tcBorders>
            <w:noWrap/>
            <w:vAlign w:val="center"/>
          </w:tcPr>
          <w:p w14:paraId="349851F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1338" w:type="pct"/>
            <w:tcBorders>
              <w:top w:val="single" w:color="auto" w:sz="4" w:space="0"/>
              <w:left w:val="single" w:color="auto" w:sz="4" w:space="0"/>
              <w:bottom w:val="single" w:color="auto" w:sz="4" w:space="0"/>
              <w:right w:val="single" w:color="auto" w:sz="4" w:space="0"/>
            </w:tcBorders>
            <w:noWrap/>
            <w:vAlign w:val="center"/>
          </w:tcPr>
          <w:p w14:paraId="6C5E17B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拆除垃圾</w:t>
            </w:r>
          </w:p>
        </w:tc>
        <w:tc>
          <w:tcPr>
            <w:tcW w:w="2657" w:type="pct"/>
            <w:tcBorders>
              <w:top w:val="single" w:color="auto" w:sz="4" w:space="0"/>
              <w:left w:val="single" w:color="auto" w:sz="4" w:space="0"/>
              <w:bottom w:val="single" w:color="auto" w:sz="4" w:space="0"/>
              <w:right w:val="single" w:color="auto" w:sz="4" w:space="0"/>
            </w:tcBorders>
            <w:noWrap/>
            <w:vAlign w:val="center"/>
          </w:tcPr>
          <w:p w14:paraId="393DEAE8">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 xml:space="preserve">46.76 </w:t>
            </w:r>
          </w:p>
        </w:tc>
      </w:tr>
      <w:tr w14:paraId="7663D12D">
        <w:tblPrEx>
          <w:tblCellMar>
            <w:top w:w="0" w:type="dxa"/>
            <w:left w:w="108" w:type="dxa"/>
            <w:bottom w:w="0" w:type="dxa"/>
            <w:right w:w="108" w:type="dxa"/>
          </w:tblCellMar>
        </w:tblPrEx>
        <w:trPr>
          <w:trHeight w:val="516" w:hRule="atLeast"/>
          <w:jc w:val="center"/>
        </w:trPr>
        <w:tc>
          <w:tcPr>
            <w:tcW w:w="1004" w:type="pct"/>
            <w:vMerge w:val="continue"/>
            <w:tcBorders>
              <w:top w:val="single" w:color="auto" w:sz="4" w:space="0"/>
              <w:left w:val="single" w:color="auto" w:sz="4" w:space="0"/>
              <w:bottom w:val="single" w:color="auto" w:sz="4" w:space="0"/>
              <w:right w:val="single" w:color="auto" w:sz="4" w:space="0"/>
            </w:tcBorders>
            <w:noWrap/>
            <w:vAlign w:val="center"/>
          </w:tcPr>
          <w:p w14:paraId="14F6A27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1338" w:type="pct"/>
            <w:tcBorders>
              <w:top w:val="single" w:color="auto" w:sz="4" w:space="0"/>
              <w:left w:val="single" w:color="auto" w:sz="4" w:space="0"/>
              <w:bottom w:val="single" w:color="auto" w:sz="4" w:space="0"/>
              <w:right w:val="single" w:color="auto" w:sz="4" w:space="0"/>
            </w:tcBorders>
            <w:noWrap/>
            <w:vAlign w:val="center"/>
          </w:tcPr>
          <w:p w14:paraId="1D9B5830">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装修垃圾</w:t>
            </w:r>
          </w:p>
        </w:tc>
        <w:tc>
          <w:tcPr>
            <w:tcW w:w="2657" w:type="pct"/>
            <w:tcBorders>
              <w:top w:val="single" w:color="auto" w:sz="4" w:space="0"/>
              <w:left w:val="single" w:color="auto" w:sz="4" w:space="0"/>
              <w:bottom w:val="single" w:color="auto" w:sz="4" w:space="0"/>
              <w:right w:val="single" w:color="auto" w:sz="4" w:space="0"/>
            </w:tcBorders>
            <w:noWrap/>
            <w:vAlign w:val="center"/>
          </w:tcPr>
          <w:p w14:paraId="2A06C22D">
            <w:pPr>
              <w:keepNext w:val="0"/>
              <w:keepLines w:val="0"/>
              <w:widowControl/>
              <w:suppressLineNumbers w:val="0"/>
              <w:spacing w:line="240" w:lineRule="auto"/>
              <w:jc w:val="center"/>
              <w:textAlignment w:val="center"/>
              <w:rPr>
                <w:rFonts w:hint="eastAsia" w:ascii="仿宋_GB2312" w:hAnsi="仿宋_GB2312" w:eastAsia="仿宋_GB2312" w:cs="仿宋_GB2312"/>
                <w:i w:val="0"/>
                <w:iCs w:val="0"/>
                <w:color w:val="auto"/>
                <w:kern w:val="0"/>
                <w:sz w:val="28"/>
                <w:szCs w:val="24"/>
                <w:u w:val="none"/>
                <w:lang w:val="en-US" w:eastAsia="zh-CN" w:bidi="ar"/>
              </w:rPr>
            </w:pPr>
            <w:r>
              <w:rPr>
                <w:rFonts w:hint="eastAsia" w:ascii="仿宋_GB2312" w:hAnsi="仿宋_GB2312" w:eastAsia="仿宋_GB2312" w:cs="仿宋_GB2312"/>
                <w:i w:val="0"/>
                <w:iCs w:val="0"/>
                <w:color w:val="auto"/>
                <w:kern w:val="0"/>
                <w:sz w:val="28"/>
                <w:szCs w:val="24"/>
                <w:u w:val="none"/>
                <w:lang w:val="en-US" w:eastAsia="zh-CN" w:bidi="ar"/>
              </w:rPr>
              <w:t xml:space="preserve">14.62 </w:t>
            </w:r>
          </w:p>
        </w:tc>
      </w:tr>
    </w:tbl>
    <w:p w14:paraId="371DF8D6">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eastAsia" w:ascii="Times New Roman" w:hAnsi="Times New Roman" w:eastAsia="楷体_GB2312" w:cs="楷体_GB2312"/>
          <w:b/>
          <w:bCs w:val="0"/>
          <w:color w:val="auto"/>
          <w:spacing w:val="0"/>
          <w:kern w:val="2"/>
          <w:sz w:val="32"/>
          <w:szCs w:val="32"/>
          <w:highlight w:val="none"/>
          <w:lang w:val="en-US" w:eastAsia="zh-CN" w:bidi="ar-SA"/>
        </w:rPr>
      </w:pPr>
      <w:bookmarkStart w:id="27" w:name="_Toc11740"/>
      <w:r>
        <w:rPr>
          <w:rFonts w:hint="eastAsia" w:ascii="Times New Roman" w:hAnsi="Times New Roman" w:cs="楷体_GB2312"/>
          <w:b/>
          <w:bCs w:val="0"/>
          <w:color w:val="auto"/>
          <w:spacing w:val="0"/>
          <w:kern w:val="2"/>
          <w:sz w:val="32"/>
          <w:szCs w:val="32"/>
          <w:highlight w:val="none"/>
          <w:lang w:val="en-US" w:eastAsia="zh-CN" w:bidi="ar-SA"/>
        </w:rPr>
        <w:t>主要存在问题</w:t>
      </w:r>
      <w:bookmarkEnd w:id="27"/>
    </w:p>
    <w:p w14:paraId="64981443">
      <w:pPr>
        <w:pStyle w:val="65"/>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增城区的建筑垃圾产生量较大，</w:t>
      </w:r>
      <w:r>
        <w:rPr>
          <w:rFonts w:hint="eastAsia" w:ascii="仿宋_GB2312" w:hAnsi="仿宋_GB2312" w:cs="仿宋_GB2312"/>
          <w:color w:val="auto"/>
          <w:sz w:val="32"/>
          <w:szCs w:val="32"/>
          <w:highlight w:val="none"/>
          <w:lang w:val="en-US" w:eastAsia="zh-CN"/>
        </w:rPr>
        <w:t>虽消纳处置能力基本匹配</w:t>
      </w:r>
      <w:r>
        <w:rPr>
          <w:rFonts w:hint="eastAsia" w:ascii="仿宋_GB2312" w:hAnsi="仿宋_GB2312" w:cs="仿宋_GB2312"/>
          <w:color w:val="auto"/>
          <w:spacing w:val="0"/>
          <w:sz w:val="32"/>
          <w:szCs w:val="32"/>
          <w:highlight w:val="none"/>
          <w:lang w:val="en-US" w:eastAsia="zh-CN"/>
        </w:rPr>
        <w:t>，</w:t>
      </w:r>
      <w:r>
        <w:rPr>
          <w:rFonts w:hint="eastAsia" w:ascii="仿宋_GB2312" w:hAnsi="仿宋_GB2312" w:cs="仿宋_GB2312"/>
          <w:b w:val="0"/>
          <w:bCs w:val="0"/>
          <w:color w:val="auto"/>
          <w:spacing w:val="0"/>
          <w:kern w:val="2"/>
          <w:sz w:val="32"/>
          <w:szCs w:val="32"/>
          <w:highlight w:val="none"/>
          <w:lang w:val="en-US" w:eastAsia="zh-CN" w:bidi="ar-SA"/>
        </w:rPr>
        <w:t>但依然存在一些问题</w:t>
      </w:r>
      <w:r>
        <w:rPr>
          <w:rFonts w:hint="eastAsia" w:ascii="仿宋_GB2312" w:hAnsi="仿宋_GB2312" w:cs="仿宋_GB2312"/>
          <w:color w:val="auto"/>
          <w:sz w:val="32"/>
          <w:szCs w:val="32"/>
          <w:highlight w:val="none"/>
          <w:lang w:val="en-US" w:eastAsia="zh-CN"/>
        </w:rPr>
        <w:t>。</w:t>
      </w:r>
      <w:r>
        <w:rPr>
          <w:rFonts w:hint="eastAsia" w:ascii="仿宋_GB2312" w:hAnsi="仿宋_GB2312" w:cs="仿宋_GB2312"/>
          <w:color w:val="auto"/>
          <w:spacing w:val="0"/>
          <w:sz w:val="32"/>
          <w:szCs w:val="32"/>
          <w:highlight w:val="none"/>
          <w:lang w:val="en-US" w:eastAsia="zh-CN"/>
        </w:rPr>
        <w:t>目前</w:t>
      </w:r>
      <w:r>
        <w:rPr>
          <w:rFonts w:hint="eastAsia" w:ascii="仿宋_GB2312" w:hAnsi="仿宋_GB2312" w:eastAsia="仿宋_GB2312" w:cs="仿宋_GB2312"/>
          <w:color w:val="auto"/>
          <w:spacing w:val="0"/>
          <w:sz w:val="32"/>
          <w:szCs w:val="32"/>
          <w:highlight w:val="none"/>
          <w:lang w:val="en-US" w:eastAsia="zh-CN"/>
        </w:rPr>
        <w:t>增城区共有</w:t>
      </w:r>
      <w:r>
        <w:rPr>
          <w:rFonts w:hint="eastAsia" w:ascii="仿宋_GB2312" w:hAnsi="仿宋_GB2312" w:eastAsia="仿宋_GB2312" w:cs="仿宋_GB2312"/>
          <w:color w:val="auto"/>
          <w:spacing w:val="0"/>
          <w:kern w:val="2"/>
          <w:sz w:val="32"/>
          <w:szCs w:val="32"/>
          <w:highlight w:val="none"/>
          <w:lang w:val="en-US" w:eastAsia="zh-CN" w:bidi="ar-SA"/>
        </w:rPr>
        <w:t>资源化利用项目20个，总设计处理能力1081.1万立方米/年</w:t>
      </w:r>
      <w:r>
        <w:rPr>
          <w:rFonts w:hint="eastAsia" w:ascii="仿宋_GB2312" w:hAnsi="仿宋_GB2312" w:cs="仿宋_GB2312"/>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sz w:val="32"/>
          <w:szCs w:val="32"/>
          <w:highlight w:val="none"/>
          <w:lang w:val="en-US" w:eastAsia="zh-CN"/>
        </w:rPr>
        <w:t>共有建筑垃圾消纳场1座，总剩余库容499万立方米</w:t>
      </w:r>
      <w:r>
        <w:rPr>
          <w:rFonts w:hint="eastAsia" w:ascii="仿宋_GB2312" w:hAnsi="仿宋_GB2312" w:cs="仿宋_GB2312"/>
          <w:color w:val="auto"/>
          <w:spacing w:val="0"/>
          <w:sz w:val="32"/>
          <w:szCs w:val="32"/>
          <w:highlight w:val="none"/>
          <w:lang w:val="en-US" w:eastAsia="zh-CN"/>
        </w:rPr>
        <w:t>；据统计2020年至今，</w:t>
      </w:r>
      <w:r>
        <w:rPr>
          <w:rFonts w:hint="eastAsia" w:ascii="仿宋_GB2312" w:hAnsi="仿宋_GB2312" w:eastAsia="仿宋_GB2312" w:cs="仿宋_GB2312"/>
          <w:color w:val="auto"/>
          <w:spacing w:val="0"/>
          <w:sz w:val="32"/>
          <w:szCs w:val="32"/>
          <w:highlight w:val="none"/>
          <w:lang w:val="en-US" w:eastAsia="zh-CN"/>
        </w:rPr>
        <w:t>工程回填</w:t>
      </w:r>
      <w:r>
        <w:rPr>
          <w:rFonts w:hint="eastAsia" w:ascii="仿宋_GB2312" w:hAnsi="仿宋_GB2312" w:cs="仿宋_GB2312"/>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val="en-US" w:eastAsia="zh-CN"/>
        </w:rPr>
        <w:t>土地平整</w:t>
      </w:r>
      <w:r>
        <w:rPr>
          <w:rFonts w:hint="eastAsia" w:ascii="仿宋_GB2312" w:hAnsi="仿宋_GB2312" w:cs="仿宋_GB2312"/>
          <w:color w:val="auto"/>
          <w:spacing w:val="0"/>
          <w:sz w:val="32"/>
          <w:szCs w:val="32"/>
          <w:highlight w:val="none"/>
          <w:lang w:val="en-US" w:eastAsia="zh-CN"/>
        </w:rPr>
        <w:t>类项目工程渣土消纳量超过1000</w:t>
      </w:r>
      <w:r>
        <w:rPr>
          <w:rFonts w:hint="eastAsia" w:ascii="仿宋_GB2312" w:hAnsi="仿宋_GB2312" w:eastAsia="仿宋_GB2312" w:cs="仿宋_GB2312"/>
          <w:color w:val="auto"/>
          <w:spacing w:val="0"/>
          <w:sz w:val="32"/>
          <w:szCs w:val="32"/>
          <w:highlight w:val="none"/>
          <w:lang w:val="en-US" w:eastAsia="zh-CN"/>
        </w:rPr>
        <w:t>万立方米</w:t>
      </w:r>
      <w:r>
        <w:rPr>
          <w:rFonts w:hint="eastAsia" w:ascii="仿宋_GB2312" w:hAnsi="仿宋_GB2312" w:cs="仿宋_GB2312"/>
          <w:color w:val="auto"/>
          <w:spacing w:val="0"/>
          <w:sz w:val="32"/>
          <w:szCs w:val="32"/>
          <w:highlight w:val="none"/>
          <w:lang w:val="en-US" w:eastAsia="zh-CN"/>
        </w:rPr>
        <w:t>/年。</w:t>
      </w:r>
      <w:r>
        <w:rPr>
          <w:rFonts w:hint="eastAsia" w:ascii="仿宋_GB2312" w:hAnsi="仿宋_GB2312" w:eastAsia="仿宋_GB2312" w:cs="仿宋_GB2312"/>
          <w:color w:val="auto"/>
          <w:spacing w:val="0"/>
          <w:kern w:val="2"/>
          <w:sz w:val="32"/>
          <w:szCs w:val="32"/>
          <w:highlight w:val="none"/>
          <w:lang w:val="en-US" w:eastAsia="zh-CN" w:bidi="ar-SA"/>
        </w:rPr>
        <w:t>预测</w:t>
      </w:r>
      <w:r>
        <w:rPr>
          <w:rFonts w:hint="eastAsia" w:ascii="仿宋_GB2312" w:hAnsi="仿宋_GB2312" w:cs="仿宋_GB2312"/>
          <w:color w:val="auto"/>
          <w:spacing w:val="0"/>
          <w:kern w:val="2"/>
          <w:sz w:val="32"/>
          <w:szCs w:val="32"/>
          <w:highlight w:val="none"/>
          <w:lang w:val="en-US" w:eastAsia="zh-CN" w:bidi="ar-SA"/>
        </w:rPr>
        <w:t>2026年</w:t>
      </w:r>
      <w:r>
        <w:rPr>
          <w:rFonts w:hint="eastAsia" w:ascii="仿宋_GB2312" w:hAnsi="仿宋_GB2312" w:cs="仿宋_GB2312"/>
          <w:color w:val="auto"/>
          <w:spacing w:val="0"/>
          <w:sz w:val="32"/>
          <w:szCs w:val="32"/>
          <w:highlight w:val="none"/>
          <w:lang w:val="en-US" w:eastAsia="zh-CN"/>
        </w:rPr>
        <w:t>增城区</w:t>
      </w:r>
      <w:r>
        <w:rPr>
          <w:rFonts w:hint="eastAsia" w:ascii="仿宋_GB2312" w:hAnsi="仿宋_GB2312" w:eastAsia="仿宋_GB2312" w:cs="仿宋_GB2312"/>
          <w:color w:val="auto"/>
          <w:spacing w:val="0"/>
          <w:kern w:val="2"/>
          <w:sz w:val="32"/>
          <w:szCs w:val="32"/>
          <w:highlight w:val="none"/>
          <w:lang w:val="en-US" w:eastAsia="zh-CN" w:bidi="ar-SA"/>
        </w:rPr>
        <w:t>建筑垃圾产生量</w:t>
      </w:r>
      <w:r>
        <w:rPr>
          <w:rFonts w:hint="eastAsia" w:ascii="仿宋_GB2312" w:hAnsi="仿宋_GB2312" w:cs="仿宋_GB2312"/>
          <w:color w:val="auto"/>
          <w:spacing w:val="0"/>
          <w:kern w:val="2"/>
          <w:sz w:val="32"/>
          <w:szCs w:val="32"/>
          <w:highlight w:val="none"/>
          <w:lang w:val="en-US" w:eastAsia="zh-CN" w:bidi="ar-SA"/>
        </w:rPr>
        <w:t>1616.23</w:t>
      </w:r>
      <w:r>
        <w:rPr>
          <w:rFonts w:hint="eastAsia" w:ascii="仿宋_GB2312" w:hAnsi="仿宋_GB2312" w:eastAsia="仿宋_GB2312" w:cs="仿宋_GB2312"/>
          <w:color w:val="auto"/>
          <w:spacing w:val="0"/>
          <w:kern w:val="2"/>
          <w:sz w:val="32"/>
          <w:szCs w:val="32"/>
          <w:highlight w:val="none"/>
          <w:lang w:val="en-US" w:eastAsia="zh-CN" w:bidi="ar-SA"/>
        </w:rPr>
        <w:t>万立方米</w:t>
      </w:r>
      <w:r>
        <w:rPr>
          <w:rFonts w:hint="eastAsia" w:ascii="仿宋_GB2312" w:hAnsi="仿宋_GB2312" w:cs="仿宋_GB2312"/>
          <w:color w:val="auto"/>
          <w:spacing w:val="0"/>
          <w:kern w:val="2"/>
          <w:sz w:val="32"/>
          <w:szCs w:val="32"/>
          <w:highlight w:val="none"/>
          <w:lang w:val="en-US" w:eastAsia="zh-CN" w:bidi="ar-SA"/>
        </w:rPr>
        <w:t>/年</w:t>
      </w:r>
      <w:r>
        <w:rPr>
          <w:rFonts w:hint="eastAsia" w:ascii="仿宋_GB2312" w:hAnsi="仿宋_GB2312" w:cs="仿宋_GB2312"/>
          <w:color w:val="auto"/>
          <w:spacing w:val="0"/>
          <w:sz w:val="32"/>
          <w:szCs w:val="32"/>
          <w:highlight w:val="none"/>
          <w:lang w:val="en-US" w:eastAsia="zh-CN"/>
        </w:rPr>
        <w:t>，基于现有处置设施可总体达至产销平衡状态</w:t>
      </w:r>
      <w:r>
        <w:rPr>
          <w:rFonts w:hint="eastAsia" w:ascii="仿宋_GB2312" w:hAnsi="仿宋_GB2312" w:eastAsia="仿宋_GB2312" w:cs="仿宋_GB2312"/>
          <w:color w:val="auto"/>
          <w:spacing w:val="0"/>
          <w:kern w:val="2"/>
          <w:sz w:val="32"/>
          <w:szCs w:val="32"/>
          <w:highlight w:val="none"/>
          <w:lang w:val="en-US" w:eastAsia="zh-CN" w:bidi="ar-SA"/>
        </w:rPr>
        <w:t>。</w:t>
      </w:r>
    </w:p>
    <w:p w14:paraId="4C80EAE9">
      <w:pPr>
        <w:pStyle w:val="65"/>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eastAsia="zh-CN" w:bidi="ar-SA"/>
        </w:rPr>
      </w:pPr>
      <w:r>
        <w:rPr>
          <w:rFonts w:hint="eastAsia" w:ascii="仿宋_GB2312" w:hAnsi="仿宋_GB2312" w:cs="仿宋_GB2312"/>
          <w:b w:val="0"/>
          <w:bCs w:val="0"/>
          <w:color w:val="auto"/>
          <w:spacing w:val="0"/>
          <w:kern w:val="2"/>
          <w:sz w:val="32"/>
          <w:szCs w:val="32"/>
          <w:highlight w:val="none"/>
          <w:lang w:val="en-US" w:eastAsia="zh-CN" w:bidi="ar-SA"/>
        </w:rPr>
        <w:t>但是，</w:t>
      </w:r>
      <w:bookmarkStart w:id="28" w:name="_Toc25227"/>
      <w:bookmarkStart w:id="29" w:name="_Toc4846"/>
      <w:r>
        <w:rPr>
          <w:rFonts w:hint="eastAsia" w:ascii="仿宋_GB2312" w:hAnsi="仿宋_GB2312" w:eastAsia="仿宋_GB2312" w:cs="仿宋_GB2312"/>
          <w:b w:val="0"/>
          <w:bCs w:val="0"/>
          <w:color w:val="auto"/>
          <w:spacing w:val="0"/>
          <w:kern w:val="2"/>
          <w:sz w:val="32"/>
          <w:szCs w:val="32"/>
          <w:highlight w:val="none"/>
          <w:lang w:val="en-US" w:eastAsia="zh-CN" w:bidi="ar-SA"/>
        </w:rPr>
        <w:t>经现场踏勘及调查研究，发现增城区的资源化利用厂存在以下问题：</w:t>
      </w:r>
    </w:p>
    <w:p w14:paraId="1D6C14B0">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一是区域分布不均。</w:t>
      </w:r>
      <w:r>
        <w:rPr>
          <w:rFonts w:hint="eastAsia" w:ascii="仿宋_GB2312" w:hAnsi="仿宋_GB2312" w:eastAsia="仿宋_GB2312" w:cs="仿宋_GB2312"/>
          <w:b w:val="0"/>
          <w:bCs w:val="0"/>
          <w:color w:val="auto"/>
          <w:spacing w:val="0"/>
          <w:kern w:val="2"/>
          <w:sz w:val="32"/>
          <w:szCs w:val="32"/>
          <w:highlight w:val="none"/>
          <w:lang w:val="en-US" w:eastAsia="zh-CN" w:bidi="ar-SA"/>
        </w:rPr>
        <w:t>增城区</w:t>
      </w:r>
      <w:r>
        <w:rPr>
          <w:rFonts w:hint="eastAsia" w:ascii="仿宋_GB2312" w:hAnsi="仿宋_GB2312" w:eastAsia="仿宋_GB2312" w:cs="仿宋_GB2312"/>
          <w:color w:val="auto"/>
          <w:spacing w:val="0"/>
          <w:kern w:val="2"/>
          <w:sz w:val="32"/>
          <w:szCs w:val="32"/>
          <w:highlight w:val="none"/>
          <w:lang w:val="en-US" w:eastAsia="zh-CN" w:bidi="ar-SA"/>
        </w:rPr>
        <w:t>中部、中南部地区（朱村街道、宁西街道、新塘镇）临近黄埔区、交通要道附近地区的建筑垃圾资源化利用项目较多、较集中。北部山区（正果镇、小楼镇、派潭镇）设施缺失，导致北区的建废处置运距较远，成本较高。建筑垃圾资源化利用项目分布情况</w:t>
      </w:r>
      <w:r>
        <w:rPr>
          <w:rFonts w:hint="eastAsia" w:ascii="仿宋_GB2312" w:hAnsi="仿宋_GB2312" w:eastAsia="仿宋_GB2312" w:cs="仿宋_GB2312"/>
          <w:b w:val="0"/>
          <w:bCs w:val="0"/>
          <w:color w:val="auto"/>
          <w:spacing w:val="0"/>
          <w:kern w:val="2"/>
          <w:sz w:val="32"/>
          <w:szCs w:val="32"/>
          <w:highlight w:val="none"/>
          <w:lang w:val="en-US" w:eastAsia="zh-CN" w:bidi="ar-SA"/>
        </w:rPr>
        <w:t>详见下图：</w:t>
      </w:r>
    </w:p>
    <w:p w14:paraId="2CB68A80">
      <w:pPr>
        <w:keepNext w:val="0"/>
        <w:keepLines w:val="0"/>
        <w:pageBreakBefore w:val="0"/>
        <w:widowControl/>
        <w:kinsoku/>
        <w:wordWrap/>
        <w:overflowPunct w:val="0"/>
        <w:topLinePunct w:val="0"/>
        <w:autoSpaceDE/>
        <w:autoSpaceDN/>
        <w:bidi w:val="0"/>
        <w:adjustRightInd/>
        <w:snapToGrid/>
        <w:spacing w:line="240" w:lineRule="auto"/>
        <w:jc w:val="both"/>
        <w:textAlignment w:val="auto"/>
        <w:rPr>
          <w:rFonts w:hint="eastAsia" w:ascii="仿宋_GB2312" w:hAnsi="仿宋_GB2312" w:eastAsia="仿宋_GB2312" w:cs="仿宋_GB2312"/>
          <w:b/>
          <w:bCs/>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drawing>
          <wp:inline distT="0" distB="0" distL="114300" distR="114300">
            <wp:extent cx="5441950" cy="6793230"/>
            <wp:effectExtent l="0" t="0" r="6350" b="7620"/>
            <wp:docPr id="2" name="图片 2" descr="截屏2025-01-10 01.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5-01-10 01.28.09"/>
                    <pic:cNvPicPr>
                      <a:picLocks noChangeAspect="1"/>
                    </pic:cNvPicPr>
                  </pic:nvPicPr>
                  <pic:blipFill>
                    <a:blip r:embed="rId17"/>
                    <a:srcRect l="13726" t="3187" r="31141" b="2325"/>
                    <a:stretch>
                      <a:fillRect/>
                    </a:stretch>
                  </pic:blipFill>
                  <pic:spPr>
                    <a:xfrm>
                      <a:off x="0" y="0"/>
                      <a:ext cx="5441950" cy="6793230"/>
                    </a:xfrm>
                    <a:prstGeom prst="rect">
                      <a:avLst/>
                    </a:prstGeom>
                  </pic:spPr>
                </pic:pic>
              </a:graphicData>
            </a:graphic>
          </wp:inline>
        </w:drawing>
      </w:r>
    </w:p>
    <w:p w14:paraId="6612C74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center"/>
        <w:textAlignment w:val="auto"/>
        <w:rPr>
          <w:rFonts w:hint="default" w:ascii="仿宋_GB2312" w:hAnsi="仿宋_GB2312" w:eastAsia="仿宋_GB2312" w:cs="仿宋_GB2312"/>
          <w:b/>
          <w:bCs/>
          <w:color w:val="auto"/>
          <w:spacing w:val="0"/>
          <w:kern w:val="2"/>
          <w:sz w:val="32"/>
          <w:szCs w:val="32"/>
          <w:highlight w:val="none"/>
          <w:lang w:val="en-US" w:eastAsia="zh-CN" w:bidi="ar-SA"/>
        </w:rPr>
      </w:pPr>
      <w:r>
        <w:rPr>
          <w:rFonts w:hint="eastAsia" w:ascii="仿宋_GB2312" w:hAnsi="仿宋_GB2312" w:eastAsia="仿宋_GB2312" w:cs="仿宋_GB2312"/>
          <w:b w:val="0"/>
          <w:bCs w:val="0"/>
          <w:color w:val="auto"/>
          <w:spacing w:val="0"/>
          <w:kern w:val="2"/>
          <w:sz w:val="32"/>
          <w:szCs w:val="32"/>
          <w:highlight w:val="none"/>
          <w:lang w:val="en-US" w:eastAsia="zh-CN" w:bidi="ar-SA"/>
        </w:rPr>
        <w:t>图1:建筑垃圾资源化利用项目现状分布图</w:t>
      </w:r>
    </w:p>
    <w:p w14:paraId="18CEB936">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二是装修垃圾等低值建筑垃圾处置设施能力相对不足。</w:t>
      </w:r>
      <w:r>
        <w:rPr>
          <w:rFonts w:hint="eastAsia" w:ascii="仿宋_GB2312" w:hAnsi="仿宋_GB2312" w:eastAsia="仿宋_GB2312" w:cs="仿宋_GB2312"/>
          <w:color w:val="auto"/>
          <w:spacing w:val="0"/>
          <w:kern w:val="2"/>
          <w:sz w:val="32"/>
          <w:szCs w:val="32"/>
          <w:highlight w:val="none"/>
          <w:lang w:val="en-US" w:eastAsia="zh-CN" w:bidi="ar-SA"/>
        </w:rPr>
        <w:t>现有资源化利用项目以接收处置工程渣土、混凝土及砖瓦类建筑垃圾为主，具备装修垃圾等低值建筑垃圾处置能力的企业仅3家，设施覆盖范围不够广。</w:t>
      </w:r>
    </w:p>
    <w:p w14:paraId="7C568849">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三是资源化利用厂普遍存在建设标准低、运营管理粗放等问题。</w:t>
      </w:r>
      <w:r>
        <w:rPr>
          <w:rFonts w:hint="eastAsia" w:ascii="仿宋_GB2312" w:hAnsi="仿宋_GB2312" w:eastAsia="仿宋_GB2312" w:cs="仿宋_GB2312"/>
          <w:color w:val="auto"/>
          <w:spacing w:val="0"/>
          <w:kern w:val="2"/>
          <w:sz w:val="32"/>
          <w:szCs w:val="32"/>
          <w:highlight w:val="none"/>
          <w:lang w:val="en-US" w:eastAsia="zh-CN" w:bidi="ar-SA"/>
        </w:rPr>
        <w:t>主要问题为：（1）违规露天堆放装修垃圾、工程垃圾；（2）建筑垃圾堆垛过高过陡，存在安全隐患；（3）生产区道路硬底化标准低、厂区雨水导排设施不足，雨季时场地泥泞不堪；（4）作业车间密闭性不足或存在露天作业情况，无法有效控制扬尘污染。</w:t>
      </w:r>
    </w:p>
    <w:tbl>
      <w:tblPr>
        <w:tblStyle w:val="44"/>
        <w:tblW w:w="4995" w:type="pct"/>
        <w:jc w:val="center"/>
        <w:tblLayout w:type="autofit"/>
        <w:tblCellMar>
          <w:top w:w="0" w:type="dxa"/>
          <w:left w:w="108" w:type="dxa"/>
          <w:bottom w:w="0" w:type="dxa"/>
          <w:right w:w="108" w:type="dxa"/>
        </w:tblCellMar>
      </w:tblPr>
      <w:tblGrid>
        <w:gridCol w:w="4468"/>
        <w:gridCol w:w="4470"/>
      </w:tblGrid>
      <w:tr w14:paraId="1A344969">
        <w:tblPrEx>
          <w:tblCellMar>
            <w:top w:w="0" w:type="dxa"/>
            <w:left w:w="108" w:type="dxa"/>
            <w:bottom w:w="0" w:type="dxa"/>
            <w:right w:w="108" w:type="dxa"/>
          </w:tblCellMar>
        </w:tblPrEx>
        <w:trPr>
          <w:trHeight w:val="2627" w:hRule="atLeast"/>
          <w:jc w:val="center"/>
        </w:trPr>
        <w:tc>
          <w:tcPr>
            <w:tcW w:w="2499" w:type="pct"/>
            <w:vAlign w:val="center"/>
          </w:tcPr>
          <w:p w14:paraId="2B5521E7">
            <w:pPr>
              <w:pStyle w:val="123"/>
              <w:wordWrap/>
              <w:overflowPunct/>
              <w:topLinePunct w:val="0"/>
              <w:bidi w:val="0"/>
              <w:spacing w:line="240" w:lineRule="auto"/>
              <w:ind w:left="0" w:leftChars="0" w:right="0" w:rightChars="0" w:firstLine="0" w:firstLineChars="0"/>
              <w:jc w:val="center"/>
              <w:rPr>
                <w:rStyle w:val="103"/>
                <w:rFonts w:hint="eastAsia" w:ascii="Times New Roman" w:hAnsi="Times New Roman" w:eastAsia="微软雅黑" w:cs="Times New Roman"/>
                <w:color w:val="auto"/>
                <w:sz w:val="20"/>
                <w:szCs w:val="20"/>
                <w:highlight w:val="none"/>
                <w:lang w:eastAsia="zh-CN"/>
              </w:rPr>
            </w:pPr>
            <w:r>
              <w:rPr>
                <w:rFonts w:hint="default"/>
                <w:color w:val="auto"/>
                <w:lang w:val="en-US" w:eastAsia="zh-CN"/>
              </w:rPr>
              <w:drawing>
                <wp:inline distT="0" distB="0" distL="114300" distR="114300">
                  <wp:extent cx="2663825" cy="1800225"/>
                  <wp:effectExtent l="0" t="0" r="3175" b="9525"/>
                  <wp:docPr id="9" name="图片 9" descr="/Users/adi/Library/Containers/com.kingsoft.wpsoffice.mac/Data/tmp/picturecompress_20250108023232/output_1.pngoutput_1"/>
                  <wp:cNvGraphicFramePr/>
                  <a:graphic xmlns:a="http://schemas.openxmlformats.org/drawingml/2006/main">
                    <a:graphicData uri="http://schemas.openxmlformats.org/drawingml/2006/picture">
                      <pic:pic xmlns:pic="http://schemas.openxmlformats.org/drawingml/2006/picture">
                        <pic:nvPicPr>
                          <pic:cNvPr id="9" name="图片 9" descr="/Users/adi/Library/Containers/com.kingsoft.wpsoffice.mac/Data/tmp/picturecompress_20250108023232/output_1.pngoutput_1"/>
                          <pic:cNvPicPr/>
                        </pic:nvPicPr>
                        <pic:blipFill>
                          <a:blip r:embed="rId18"/>
                          <a:stretch>
                            <a:fillRect/>
                          </a:stretch>
                        </pic:blipFill>
                        <pic:spPr>
                          <a:xfrm>
                            <a:off x="0" y="0"/>
                            <a:ext cx="2663825" cy="1800225"/>
                          </a:xfrm>
                          <a:prstGeom prst="rect">
                            <a:avLst/>
                          </a:prstGeom>
                        </pic:spPr>
                      </pic:pic>
                    </a:graphicData>
                  </a:graphic>
                </wp:inline>
              </w:drawing>
            </w:r>
          </w:p>
        </w:tc>
        <w:tc>
          <w:tcPr>
            <w:tcW w:w="2500" w:type="pct"/>
            <w:vAlign w:val="center"/>
          </w:tcPr>
          <w:p w14:paraId="1C685DC3">
            <w:pPr>
              <w:pStyle w:val="123"/>
              <w:wordWrap/>
              <w:overflowPunct/>
              <w:topLinePunct w:val="0"/>
              <w:bidi w:val="0"/>
              <w:spacing w:line="240" w:lineRule="auto"/>
              <w:ind w:left="0" w:leftChars="0" w:right="0" w:rightChars="0" w:firstLine="0" w:firstLineChars="0"/>
              <w:jc w:val="center"/>
              <w:rPr>
                <w:rStyle w:val="103"/>
                <w:rFonts w:hint="eastAsia" w:ascii="Times New Roman" w:hAnsi="Times New Roman" w:eastAsia="微软雅黑" w:cs="Times New Roman"/>
                <w:color w:val="auto"/>
                <w:sz w:val="20"/>
                <w:szCs w:val="20"/>
                <w:highlight w:val="none"/>
                <w:lang w:eastAsia="zh-CN"/>
              </w:rPr>
            </w:pPr>
            <w:r>
              <w:rPr>
                <w:rFonts w:hint="eastAsia" w:ascii="仿宋_GB2312" w:hAnsi="仿宋_GB2312" w:eastAsia="仿宋_GB2312" w:cs="仿宋_GB2312"/>
                <w:color w:val="auto"/>
                <w:spacing w:val="0"/>
                <w:kern w:val="2"/>
                <w:sz w:val="32"/>
                <w:szCs w:val="32"/>
                <w:highlight w:val="none"/>
                <w:lang w:val="en-US" w:eastAsia="zh-CN" w:bidi="ar-SA"/>
              </w:rPr>
              <w:drawing>
                <wp:inline distT="0" distB="0" distL="114300" distR="114300">
                  <wp:extent cx="2663825" cy="1800225"/>
                  <wp:effectExtent l="0" t="0" r="3175" b="9525"/>
                  <wp:docPr id="11" name="图片 11" descr="/Users/adi/Library/Containers/com.kingsoft.wpsoffice.mac/Data/tmp/picturecompress_20250108023546/output_1.pngoutput_1"/>
                  <wp:cNvGraphicFramePr/>
                  <a:graphic xmlns:a="http://schemas.openxmlformats.org/drawingml/2006/main">
                    <a:graphicData uri="http://schemas.openxmlformats.org/drawingml/2006/picture">
                      <pic:pic xmlns:pic="http://schemas.openxmlformats.org/drawingml/2006/picture">
                        <pic:nvPicPr>
                          <pic:cNvPr id="11" name="图片 11" descr="/Users/adi/Library/Containers/com.kingsoft.wpsoffice.mac/Data/tmp/picturecompress_20250108023546/output_1.pngoutput_1"/>
                          <pic:cNvPicPr/>
                        </pic:nvPicPr>
                        <pic:blipFill>
                          <a:blip r:embed="rId19"/>
                          <a:stretch>
                            <a:fillRect/>
                          </a:stretch>
                        </pic:blipFill>
                        <pic:spPr>
                          <a:xfrm>
                            <a:off x="0" y="0"/>
                            <a:ext cx="2663825" cy="1800225"/>
                          </a:xfrm>
                          <a:prstGeom prst="rect">
                            <a:avLst/>
                          </a:prstGeom>
                        </pic:spPr>
                      </pic:pic>
                    </a:graphicData>
                  </a:graphic>
                </wp:inline>
              </w:drawing>
            </w:r>
          </w:p>
        </w:tc>
      </w:tr>
      <w:tr w14:paraId="1F830785">
        <w:tblPrEx>
          <w:tblCellMar>
            <w:top w:w="0" w:type="dxa"/>
            <w:left w:w="108" w:type="dxa"/>
            <w:bottom w:w="0" w:type="dxa"/>
            <w:right w:w="108" w:type="dxa"/>
          </w:tblCellMar>
        </w:tblPrEx>
        <w:trPr>
          <w:trHeight w:val="90" w:hRule="atLeast"/>
          <w:jc w:val="center"/>
        </w:trPr>
        <w:tc>
          <w:tcPr>
            <w:tcW w:w="2499" w:type="pct"/>
            <w:vAlign w:val="center"/>
          </w:tcPr>
          <w:p w14:paraId="4DBB2DF4">
            <w:pPr>
              <w:pStyle w:val="123"/>
              <w:wordWrap/>
              <w:overflowPunct/>
              <w:topLinePunct w:val="0"/>
              <w:bidi w:val="0"/>
              <w:spacing w:line="240" w:lineRule="auto"/>
              <w:ind w:left="0" w:leftChars="0" w:right="0" w:rightChars="0" w:firstLine="0" w:firstLineChars="0"/>
              <w:jc w:val="center"/>
              <w:rPr>
                <w:rFonts w:hint="eastAsia" w:ascii="Times New Roman" w:hAnsi="Times New Roman" w:eastAsia="仿宋"/>
                <w:color w:val="auto"/>
                <w:highlight w:val="none"/>
                <w:lang w:eastAsia="zh-CN"/>
              </w:rPr>
            </w:pPr>
            <w:r>
              <w:rPr>
                <w:rFonts w:hint="eastAsia" w:ascii="仿宋_GB2312" w:hAnsi="仿宋_GB2312" w:eastAsia="仿宋_GB2312" w:cs="仿宋_GB2312"/>
                <w:color w:val="auto"/>
                <w:spacing w:val="0"/>
                <w:kern w:val="2"/>
                <w:sz w:val="28"/>
                <w:szCs w:val="28"/>
                <w:highlight w:val="none"/>
                <w:lang w:val="en-US" w:eastAsia="zh-CN" w:bidi="ar-SA"/>
              </w:rPr>
              <w:t>现场图1:作业车间密闭性不足</w:t>
            </w:r>
          </w:p>
        </w:tc>
        <w:tc>
          <w:tcPr>
            <w:tcW w:w="2500" w:type="pct"/>
            <w:vAlign w:val="center"/>
          </w:tcPr>
          <w:p w14:paraId="5654F97B">
            <w:pPr>
              <w:pStyle w:val="123"/>
              <w:wordWrap/>
              <w:overflowPunct/>
              <w:topLinePunct w:val="0"/>
              <w:bidi w:val="0"/>
              <w:spacing w:line="240" w:lineRule="auto"/>
              <w:ind w:left="0" w:leftChars="0" w:right="0" w:rightChars="0" w:firstLine="0" w:firstLineChars="0"/>
              <w:jc w:val="center"/>
              <w:rPr>
                <w:rFonts w:hint="eastAsia" w:ascii="Times New Roman" w:hAnsi="Times New Roman" w:eastAsia="仿宋"/>
                <w:color w:val="auto"/>
                <w:sz w:val="28"/>
                <w:szCs w:val="28"/>
                <w:highlight w:val="none"/>
                <w:lang w:eastAsia="zh-CN"/>
              </w:rPr>
            </w:pPr>
            <w:r>
              <w:rPr>
                <w:rFonts w:hint="eastAsia" w:ascii="仿宋_GB2312" w:hAnsi="仿宋_GB2312" w:eastAsia="仿宋_GB2312" w:cs="仿宋_GB2312"/>
                <w:color w:val="auto"/>
                <w:spacing w:val="0"/>
                <w:kern w:val="2"/>
                <w:sz w:val="28"/>
                <w:szCs w:val="28"/>
                <w:highlight w:val="none"/>
                <w:lang w:val="en-US" w:eastAsia="zh-CN" w:bidi="ar-SA"/>
              </w:rPr>
              <w:t>现场图2:场地排水不畅</w:t>
            </w:r>
          </w:p>
        </w:tc>
      </w:tr>
      <w:tr w14:paraId="043F630A">
        <w:tblPrEx>
          <w:tblCellMar>
            <w:top w:w="0" w:type="dxa"/>
            <w:left w:w="108" w:type="dxa"/>
            <w:bottom w:w="0" w:type="dxa"/>
            <w:right w:w="108" w:type="dxa"/>
          </w:tblCellMar>
        </w:tblPrEx>
        <w:trPr>
          <w:trHeight w:val="2627" w:hRule="atLeast"/>
          <w:jc w:val="center"/>
        </w:trPr>
        <w:tc>
          <w:tcPr>
            <w:tcW w:w="2499" w:type="pct"/>
            <w:vAlign w:val="center"/>
          </w:tcPr>
          <w:p w14:paraId="5F146876">
            <w:pPr>
              <w:pStyle w:val="123"/>
              <w:wordWrap/>
              <w:overflowPunct/>
              <w:topLinePunct w:val="0"/>
              <w:bidi w:val="0"/>
              <w:spacing w:line="240" w:lineRule="auto"/>
              <w:ind w:left="0" w:leftChars="0" w:right="0" w:rightChars="0" w:firstLine="0" w:firstLineChars="0"/>
              <w:jc w:val="center"/>
              <w:rPr>
                <w:rFonts w:hint="eastAsia" w:ascii="Times New Roman" w:hAnsi="Times New Roman" w:eastAsia="仿宋"/>
                <w:color w:val="auto"/>
                <w:highlight w:val="none"/>
                <w:lang w:eastAsia="zh-CN"/>
              </w:rPr>
            </w:pPr>
            <w:r>
              <w:rPr>
                <w:rFonts w:hint="eastAsia" w:ascii="仿宋_GB2312" w:hAnsi="仿宋_GB2312" w:eastAsia="仿宋_GB2312" w:cs="仿宋_GB2312"/>
                <w:color w:val="auto"/>
                <w:spacing w:val="0"/>
                <w:kern w:val="2"/>
                <w:sz w:val="32"/>
                <w:szCs w:val="32"/>
                <w:highlight w:val="none"/>
                <w:lang w:val="en-US" w:eastAsia="zh-CN" w:bidi="ar-SA"/>
              </w:rPr>
              <w:drawing>
                <wp:inline distT="0" distB="0" distL="114300" distR="114300">
                  <wp:extent cx="2663825" cy="1800225"/>
                  <wp:effectExtent l="0" t="0" r="3175" b="9525"/>
                  <wp:docPr id="14" name="图片 14" descr="/Users/adi/Library/Containers/com.kingsoft.wpsoffice.mac/Data/tmp/picturecompress_20250108023657/output_1.pngoutput_1"/>
                  <wp:cNvGraphicFramePr/>
                  <a:graphic xmlns:a="http://schemas.openxmlformats.org/drawingml/2006/main">
                    <a:graphicData uri="http://schemas.openxmlformats.org/drawingml/2006/picture">
                      <pic:pic xmlns:pic="http://schemas.openxmlformats.org/drawingml/2006/picture">
                        <pic:nvPicPr>
                          <pic:cNvPr id="14" name="图片 14" descr="/Users/adi/Library/Containers/com.kingsoft.wpsoffice.mac/Data/tmp/picturecompress_20250108023657/output_1.pngoutput_1"/>
                          <pic:cNvPicPr/>
                        </pic:nvPicPr>
                        <pic:blipFill>
                          <a:blip r:embed="rId20"/>
                          <a:srcRect r="9874"/>
                          <a:stretch>
                            <a:fillRect/>
                          </a:stretch>
                        </pic:blipFill>
                        <pic:spPr>
                          <a:xfrm>
                            <a:off x="0" y="0"/>
                            <a:ext cx="2663825" cy="1800225"/>
                          </a:xfrm>
                          <a:prstGeom prst="rect">
                            <a:avLst/>
                          </a:prstGeom>
                        </pic:spPr>
                      </pic:pic>
                    </a:graphicData>
                  </a:graphic>
                </wp:inline>
              </w:drawing>
            </w:r>
          </w:p>
        </w:tc>
        <w:tc>
          <w:tcPr>
            <w:tcW w:w="2500" w:type="pct"/>
            <w:vAlign w:val="center"/>
          </w:tcPr>
          <w:p w14:paraId="58E2BCCC">
            <w:pPr>
              <w:pStyle w:val="123"/>
              <w:wordWrap/>
              <w:overflowPunct/>
              <w:topLinePunct w:val="0"/>
              <w:bidi w:val="0"/>
              <w:spacing w:line="240" w:lineRule="auto"/>
              <w:ind w:left="0" w:leftChars="0" w:right="0" w:rightChars="0" w:firstLine="0" w:firstLineChars="0"/>
              <w:jc w:val="center"/>
              <w:rPr>
                <w:rFonts w:hint="eastAsia" w:ascii="Times New Roman" w:hAnsi="Times New Roman" w:eastAsia="仿宋"/>
                <w:color w:val="auto"/>
                <w:sz w:val="28"/>
                <w:szCs w:val="28"/>
                <w:highlight w:val="none"/>
                <w:lang w:eastAsia="zh-CN"/>
              </w:rPr>
            </w:pPr>
            <w:r>
              <w:rPr>
                <w:rFonts w:hint="default" w:ascii="仿宋_GB2312" w:hAnsi="仿宋_GB2312" w:eastAsia="仿宋_GB2312" w:cs="仿宋_GB2312"/>
                <w:color w:val="auto"/>
                <w:spacing w:val="0"/>
                <w:kern w:val="2"/>
                <w:sz w:val="32"/>
                <w:szCs w:val="32"/>
                <w:highlight w:val="none"/>
                <w:lang w:val="en-US" w:eastAsia="zh-CN" w:bidi="ar-SA"/>
              </w:rPr>
              <w:drawing>
                <wp:inline distT="0" distB="0" distL="114300" distR="114300">
                  <wp:extent cx="2663825" cy="1800225"/>
                  <wp:effectExtent l="0" t="0" r="3175" b="9525"/>
                  <wp:docPr id="16" name="图片 16" descr="/Users/adi/Library/Containers/com.kingsoft.wpsoffice.mac/Data/tmp/picturecompress_20250108023818/output_1.pngoutput_1"/>
                  <wp:cNvGraphicFramePr/>
                  <a:graphic xmlns:a="http://schemas.openxmlformats.org/drawingml/2006/main">
                    <a:graphicData uri="http://schemas.openxmlformats.org/drawingml/2006/picture">
                      <pic:pic xmlns:pic="http://schemas.openxmlformats.org/drawingml/2006/picture">
                        <pic:nvPicPr>
                          <pic:cNvPr id="16" name="图片 16" descr="/Users/adi/Library/Containers/com.kingsoft.wpsoffice.mac/Data/tmp/picturecompress_20250108023818/output_1.pngoutput_1"/>
                          <pic:cNvPicPr/>
                        </pic:nvPicPr>
                        <pic:blipFill>
                          <a:blip r:embed="rId21"/>
                          <a:srcRect l="12350"/>
                          <a:stretch>
                            <a:fillRect/>
                          </a:stretch>
                        </pic:blipFill>
                        <pic:spPr>
                          <a:xfrm>
                            <a:off x="0" y="0"/>
                            <a:ext cx="2663825" cy="1800225"/>
                          </a:xfrm>
                          <a:prstGeom prst="rect">
                            <a:avLst/>
                          </a:prstGeom>
                        </pic:spPr>
                      </pic:pic>
                    </a:graphicData>
                  </a:graphic>
                </wp:inline>
              </w:drawing>
            </w:r>
          </w:p>
        </w:tc>
      </w:tr>
      <w:tr w14:paraId="2EFB9EBC">
        <w:tblPrEx>
          <w:tblCellMar>
            <w:top w:w="0" w:type="dxa"/>
            <w:left w:w="108" w:type="dxa"/>
            <w:bottom w:w="0" w:type="dxa"/>
            <w:right w:w="108" w:type="dxa"/>
          </w:tblCellMar>
        </w:tblPrEx>
        <w:trPr>
          <w:trHeight w:val="670" w:hRule="atLeast"/>
          <w:jc w:val="center"/>
        </w:trPr>
        <w:tc>
          <w:tcPr>
            <w:tcW w:w="2499" w:type="pct"/>
            <w:vAlign w:val="center"/>
          </w:tcPr>
          <w:p w14:paraId="4832BB27">
            <w:pPr>
              <w:pStyle w:val="123"/>
              <w:wordWrap/>
              <w:overflowPunct/>
              <w:topLinePunct w:val="0"/>
              <w:bidi w:val="0"/>
              <w:spacing w:line="360" w:lineRule="auto"/>
              <w:ind w:left="0" w:leftChars="0" w:right="0" w:rightChars="0" w:firstLine="0" w:firstLineChars="0"/>
              <w:jc w:val="center"/>
              <w:rPr>
                <w:rFonts w:hint="eastAsia" w:ascii="Times New Roman" w:hAnsi="Times New Roman" w:eastAsia="仿宋"/>
                <w:color w:val="auto"/>
                <w:highlight w:val="none"/>
                <w:lang w:eastAsia="zh-CN"/>
              </w:rPr>
            </w:pPr>
            <w:r>
              <w:rPr>
                <w:rFonts w:hint="eastAsia" w:ascii="仿宋_GB2312" w:hAnsi="仿宋_GB2312" w:eastAsia="仿宋_GB2312" w:cs="仿宋_GB2312"/>
                <w:color w:val="auto"/>
                <w:spacing w:val="0"/>
                <w:kern w:val="2"/>
                <w:sz w:val="28"/>
                <w:szCs w:val="28"/>
                <w:highlight w:val="none"/>
                <w:lang w:val="en-US" w:eastAsia="zh-CN" w:bidi="ar-SA"/>
              </w:rPr>
              <w:t>现场图3:违规露天堆放装修垃圾</w:t>
            </w:r>
          </w:p>
        </w:tc>
        <w:tc>
          <w:tcPr>
            <w:tcW w:w="2500" w:type="pct"/>
            <w:vAlign w:val="center"/>
          </w:tcPr>
          <w:p w14:paraId="776CDA33">
            <w:pPr>
              <w:pStyle w:val="123"/>
              <w:wordWrap/>
              <w:overflowPunct/>
              <w:topLinePunct w:val="0"/>
              <w:bidi w:val="0"/>
              <w:spacing w:line="240" w:lineRule="auto"/>
              <w:ind w:left="0" w:leftChars="0" w:right="0" w:rightChars="0" w:firstLine="0" w:firstLineChars="0"/>
              <w:jc w:val="center"/>
              <w:rPr>
                <w:rFonts w:hint="eastAsia" w:ascii="Times New Roman" w:hAnsi="Times New Roman" w:eastAsia="仿宋"/>
                <w:color w:val="auto"/>
                <w:sz w:val="28"/>
                <w:szCs w:val="28"/>
                <w:highlight w:val="none"/>
                <w:lang w:eastAsia="zh-CN"/>
              </w:rPr>
            </w:pPr>
            <w:r>
              <w:rPr>
                <w:rFonts w:hint="eastAsia" w:ascii="仿宋_GB2312" w:hAnsi="仿宋_GB2312" w:eastAsia="仿宋_GB2312" w:cs="仿宋_GB2312"/>
                <w:color w:val="auto"/>
                <w:spacing w:val="0"/>
                <w:kern w:val="2"/>
                <w:sz w:val="28"/>
                <w:szCs w:val="28"/>
                <w:highlight w:val="none"/>
                <w:lang w:val="en-US" w:eastAsia="zh-CN" w:bidi="ar-SA"/>
              </w:rPr>
              <w:t>现场图4:堆场硬底化标准低、雨水导排不畅</w:t>
            </w:r>
          </w:p>
        </w:tc>
      </w:tr>
      <w:tr w14:paraId="72D0CFBE">
        <w:tblPrEx>
          <w:tblCellMar>
            <w:top w:w="0" w:type="dxa"/>
            <w:left w:w="108" w:type="dxa"/>
            <w:bottom w:w="0" w:type="dxa"/>
            <w:right w:w="108" w:type="dxa"/>
          </w:tblCellMar>
        </w:tblPrEx>
        <w:trPr>
          <w:trHeight w:val="2627" w:hRule="atLeast"/>
          <w:jc w:val="center"/>
        </w:trPr>
        <w:tc>
          <w:tcPr>
            <w:tcW w:w="2499" w:type="pct"/>
            <w:vAlign w:val="center"/>
          </w:tcPr>
          <w:p w14:paraId="6223029D">
            <w:pPr>
              <w:pStyle w:val="123"/>
              <w:wordWrap/>
              <w:overflowPunct/>
              <w:topLinePunct w:val="0"/>
              <w:bidi w:val="0"/>
              <w:spacing w:line="240" w:lineRule="auto"/>
              <w:ind w:left="0" w:leftChars="0" w:right="0" w:rightChars="0" w:firstLine="0" w:firstLineChars="0"/>
              <w:jc w:val="center"/>
              <w:rPr>
                <w:rFonts w:hint="eastAsia" w:ascii="Times New Roman" w:hAnsi="Times New Roman" w:eastAsia="仿宋"/>
                <w:color w:val="auto"/>
                <w:highlight w:val="none"/>
                <w:lang w:eastAsia="zh-CN"/>
              </w:rPr>
            </w:pPr>
            <w:r>
              <w:rPr>
                <w:rFonts w:hint="eastAsia" w:ascii="仿宋_GB2312" w:hAnsi="仿宋_GB2312" w:eastAsia="仿宋_GB2312" w:cs="仿宋_GB2312"/>
                <w:color w:val="auto"/>
                <w:spacing w:val="0"/>
                <w:kern w:val="2"/>
                <w:sz w:val="32"/>
                <w:szCs w:val="32"/>
                <w:highlight w:val="none"/>
                <w:lang w:val="en-US" w:eastAsia="zh-CN" w:bidi="ar-SA"/>
              </w:rPr>
              <w:drawing>
                <wp:inline distT="0" distB="0" distL="114300" distR="114300">
                  <wp:extent cx="2663825" cy="1800225"/>
                  <wp:effectExtent l="0" t="0" r="3175" b="9525"/>
                  <wp:docPr id="17" name="图片 17" descr="/Users/adi/Library/Containers/com.kingsoft.wpsoffice.mac/Data/tmp/picturecompress_20250108024117/output_1.pngoutput_1"/>
                  <wp:cNvGraphicFramePr/>
                  <a:graphic xmlns:a="http://schemas.openxmlformats.org/drawingml/2006/main">
                    <a:graphicData uri="http://schemas.openxmlformats.org/drawingml/2006/picture">
                      <pic:pic xmlns:pic="http://schemas.openxmlformats.org/drawingml/2006/picture">
                        <pic:nvPicPr>
                          <pic:cNvPr id="17" name="图片 17" descr="/Users/adi/Library/Containers/com.kingsoft.wpsoffice.mac/Data/tmp/picturecompress_20250108024117/output_1.pngoutput_1"/>
                          <pic:cNvPicPr/>
                        </pic:nvPicPr>
                        <pic:blipFill>
                          <a:blip r:embed="rId22"/>
                          <a:srcRect b="9138"/>
                          <a:stretch>
                            <a:fillRect/>
                          </a:stretch>
                        </pic:blipFill>
                        <pic:spPr>
                          <a:xfrm>
                            <a:off x="0" y="0"/>
                            <a:ext cx="2663825" cy="1800225"/>
                          </a:xfrm>
                          <a:prstGeom prst="rect">
                            <a:avLst/>
                          </a:prstGeom>
                        </pic:spPr>
                      </pic:pic>
                    </a:graphicData>
                  </a:graphic>
                </wp:inline>
              </w:drawing>
            </w:r>
          </w:p>
        </w:tc>
        <w:tc>
          <w:tcPr>
            <w:tcW w:w="2500" w:type="pct"/>
            <w:vAlign w:val="center"/>
          </w:tcPr>
          <w:p w14:paraId="07C66BE2">
            <w:pPr>
              <w:pStyle w:val="123"/>
              <w:wordWrap/>
              <w:overflowPunct/>
              <w:topLinePunct w:val="0"/>
              <w:bidi w:val="0"/>
              <w:spacing w:line="240" w:lineRule="auto"/>
              <w:ind w:left="0" w:leftChars="0" w:right="0" w:rightChars="0" w:firstLine="0" w:firstLineChars="0"/>
              <w:jc w:val="center"/>
              <w:rPr>
                <w:rFonts w:ascii="Times New Roman" w:hAnsi="Times New Roman" w:eastAsia="仿宋"/>
                <w:color w:val="auto"/>
                <w:sz w:val="28"/>
                <w:szCs w:val="28"/>
                <w:highlight w:val="none"/>
              </w:rPr>
            </w:pPr>
            <w:r>
              <w:rPr>
                <w:rFonts w:hint="default" w:ascii="仿宋_GB2312" w:hAnsi="仿宋_GB2312" w:eastAsia="仿宋_GB2312" w:cs="仿宋_GB2312"/>
                <w:color w:val="auto"/>
                <w:spacing w:val="0"/>
                <w:kern w:val="2"/>
                <w:sz w:val="32"/>
                <w:szCs w:val="32"/>
                <w:highlight w:val="none"/>
                <w:lang w:val="en-US" w:eastAsia="zh-CN" w:bidi="ar-SA"/>
              </w:rPr>
              <w:drawing>
                <wp:inline distT="0" distB="0" distL="114300" distR="114300">
                  <wp:extent cx="2663825" cy="1800225"/>
                  <wp:effectExtent l="0" t="0" r="3175" b="9525"/>
                  <wp:docPr id="19" name="图片 19" descr="/Users/adi/Library/Containers/com.kingsoft.wpsoffice.mac/Data/tmp/picturecompress_20250108024351/output_1.pngoutput_1"/>
                  <wp:cNvGraphicFramePr/>
                  <a:graphic xmlns:a="http://schemas.openxmlformats.org/drawingml/2006/main">
                    <a:graphicData uri="http://schemas.openxmlformats.org/drawingml/2006/picture">
                      <pic:pic xmlns:pic="http://schemas.openxmlformats.org/drawingml/2006/picture">
                        <pic:nvPicPr>
                          <pic:cNvPr id="19" name="图片 19" descr="/Users/adi/Library/Containers/com.kingsoft.wpsoffice.mac/Data/tmp/picturecompress_20250108024351/output_1.pngoutput_1"/>
                          <pic:cNvPicPr/>
                        </pic:nvPicPr>
                        <pic:blipFill>
                          <a:blip r:embed="rId23"/>
                          <a:stretch>
                            <a:fillRect/>
                          </a:stretch>
                        </pic:blipFill>
                        <pic:spPr>
                          <a:xfrm>
                            <a:off x="0" y="0"/>
                            <a:ext cx="2663825" cy="1800225"/>
                          </a:xfrm>
                          <a:prstGeom prst="rect">
                            <a:avLst/>
                          </a:prstGeom>
                        </pic:spPr>
                      </pic:pic>
                    </a:graphicData>
                  </a:graphic>
                </wp:inline>
              </w:drawing>
            </w:r>
          </w:p>
        </w:tc>
      </w:tr>
      <w:tr w14:paraId="71E2867E">
        <w:tblPrEx>
          <w:tblCellMar>
            <w:top w:w="0" w:type="dxa"/>
            <w:left w:w="108" w:type="dxa"/>
            <w:bottom w:w="0" w:type="dxa"/>
            <w:right w:w="108" w:type="dxa"/>
          </w:tblCellMar>
        </w:tblPrEx>
        <w:trPr>
          <w:trHeight w:val="502" w:hRule="atLeast"/>
          <w:jc w:val="center"/>
        </w:trPr>
        <w:tc>
          <w:tcPr>
            <w:tcW w:w="2499" w:type="pct"/>
            <w:vAlign w:val="center"/>
          </w:tcPr>
          <w:p w14:paraId="28FF2389">
            <w:pPr>
              <w:pStyle w:val="123"/>
              <w:wordWrap/>
              <w:overflowPunct/>
              <w:topLinePunct w:val="0"/>
              <w:bidi w:val="0"/>
              <w:spacing w:line="240" w:lineRule="auto"/>
              <w:ind w:left="0" w:leftChars="0" w:right="0" w:rightChars="0" w:firstLine="0" w:firstLineChars="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kern w:val="2"/>
                <w:sz w:val="28"/>
                <w:szCs w:val="28"/>
                <w:highlight w:val="none"/>
                <w:lang w:val="en-US" w:eastAsia="zh-CN" w:bidi="ar-SA"/>
              </w:rPr>
              <w:t>现场</w:t>
            </w:r>
            <w:r>
              <w:rPr>
                <w:rFonts w:hint="eastAsia" w:ascii="仿宋_GB2312" w:hAnsi="仿宋_GB2312" w:eastAsia="仿宋_GB2312" w:cs="仿宋_GB2312"/>
                <w:color w:val="auto"/>
                <w:sz w:val="28"/>
                <w:szCs w:val="28"/>
                <w:highlight w:val="none"/>
              </w:rPr>
              <w:t>图5:作业车间简陋、排水不畅</w:t>
            </w:r>
          </w:p>
        </w:tc>
        <w:tc>
          <w:tcPr>
            <w:tcW w:w="2500" w:type="pct"/>
            <w:vAlign w:val="center"/>
          </w:tcPr>
          <w:p w14:paraId="06D90050">
            <w:pPr>
              <w:pStyle w:val="123"/>
              <w:wordWrap/>
              <w:overflowPunct/>
              <w:topLinePunct w:val="0"/>
              <w:bidi w:val="0"/>
              <w:spacing w:line="240" w:lineRule="auto"/>
              <w:ind w:left="0" w:leftChars="0" w:right="0" w:rightChars="0" w:firstLine="0" w:firstLineChars="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kern w:val="2"/>
                <w:sz w:val="28"/>
                <w:szCs w:val="28"/>
                <w:highlight w:val="none"/>
                <w:lang w:val="en-US" w:eastAsia="zh-CN" w:bidi="ar-SA"/>
              </w:rPr>
              <w:t>现场</w:t>
            </w:r>
            <w:r>
              <w:rPr>
                <w:rFonts w:hint="eastAsia" w:ascii="仿宋_GB2312" w:hAnsi="仿宋_GB2312" w:eastAsia="仿宋_GB2312" w:cs="仿宋_GB2312"/>
                <w:color w:val="auto"/>
                <w:sz w:val="28"/>
                <w:szCs w:val="28"/>
                <w:highlight w:val="none"/>
                <w:lang w:val="en-US" w:eastAsia="zh-CN"/>
              </w:rPr>
              <w:t>图6:建筑垃圾堆垛过高</w:t>
            </w:r>
          </w:p>
        </w:tc>
      </w:tr>
    </w:tbl>
    <w:p w14:paraId="5D0DBCD0">
      <w:pPr>
        <w:pStyle w:val="3"/>
        <w:bidi w:val="0"/>
        <w:ind w:left="420" w:leftChars="0" w:firstLine="220" w:firstLineChars="0"/>
        <w:rPr>
          <w:rFonts w:hint="default" w:ascii="Times New Roman" w:hAnsi="Times New Roman"/>
          <w:b/>
          <w:bCs/>
          <w:color w:val="auto"/>
          <w:spacing w:val="0"/>
          <w:highlight w:val="none"/>
          <w:lang w:val="en-US" w:eastAsia="zh-CN"/>
        </w:rPr>
      </w:pPr>
      <w:r>
        <w:rPr>
          <w:rFonts w:hint="eastAsia" w:ascii="Times New Roman" w:hAnsi="Times New Roman"/>
          <w:b/>
          <w:bCs/>
          <w:color w:val="auto"/>
          <w:spacing w:val="0"/>
          <w:highlight w:val="none"/>
          <w:lang w:val="en-US" w:eastAsia="zh-CN"/>
        </w:rPr>
        <w:t>总体思路</w:t>
      </w:r>
      <w:bookmarkEnd w:id="28"/>
      <w:bookmarkEnd w:id="29"/>
    </w:p>
    <w:p w14:paraId="3337FC23">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30" w:name="_Toc19620"/>
      <w:r>
        <w:rPr>
          <w:rFonts w:hint="eastAsia" w:ascii="Times New Roman" w:hAnsi="Times New Roman" w:cs="楷体_GB2312"/>
          <w:b/>
          <w:bCs w:val="0"/>
          <w:color w:val="auto"/>
          <w:spacing w:val="0"/>
          <w:kern w:val="2"/>
          <w:sz w:val="32"/>
          <w:szCs w:val="32"/>
          <w:highlight w:val="none"/>
          <w:lang w:val="en-US" w:eastAsia="zh-CN" w:bidi="ar-SA"/>
        </w:rPr>
        <w:t>指导思想</w:t>
      </w:r>
      <w:bookmarkEnd w:id="30"/>
    </w:p>
    <w:p w14:paraId="0127FB42">
      <w:pPr>
        <w:pStyle w:val="65"/>
        <w:keepNext w:val="0"/>
        <w:keepLines w:val="0"/>
        <w:pageBreakBefore w:val="0"/>
        <w:widowControl/>
        <w:kinsoku/>
        <w:wordWrap/>
        <w:overflowPunct w:val="0"/>
        <w:topLinePunct w:val="0"/>
        <w:autoSpaceDE/>
        <w:autoSpaceDN/>
        <w:bidi w:val="0"/>
        <w:adjustRightInd/>
        <w:snapToGrid/>
        <w:spacing w:line="600" w:lineRule="exact"/>
        <w:ind w:firstLine="624"/>
        <w:jc w:val="both"/>
        <w:textAlignment w:val="baseline"/>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以习近平新时代中国特色社会主义思想为指导，全面贯彻落实党的二十大精神，深入践行绿水青山就是金山银山的理念，以建筑垃圾减量化、资源化、无害化为导向，结合“无废城市”建设和“百县千镇万村高质量发展工程”实施，健全建筑垃圾污染环境防治工作机制，加强源头管控、运处规范、监管闭环，提高建筑垃圾处理减量化、资源化、无害化、数字化水平，建立“源头控制、就地利用、区域平衡、循环利用、安全消纳”的建筑垃圾治理体系，进一步促进城市建筑垃圾治理和再利用产业化发展，为</w:t>
      </w:r>
      <w:r>
        <w:rPr>
          <w:rFonts w:hint="eastAsia" w:ascii="仿宋_GB2312" w:hAnsi="仿宋_GB2312" w:cs="仿宋_GB2312"/>
          <w:color w:val="auto"/>
          <w:spacing w:val="0"/>
          <w:kern w:val="2"/>
          <w:sz w:val="32"/>
          <w:szCs w:val="32"/>
          <w:highlight w:val="none"/>
          <w:lang w:val="en-US" w:eastAsia="zh-CN" w:bidi="ar-SA"/>
        </w:rPr>
        <w:t>增城</w:t>
      </w:r>
      <w:r>
        <w:rPr>
          <w:rFonts w:hint="eastAsia" w:ascii="仿宋_GB2312" w:hAnsi="仿宋_GB2312" w:eastAsia="仿宋_GB2312" w:cs="仿宋_GB2312"/>
          <w:color w:val="auto"/>
          <w:spacing w:val="0"/>
          <w:kern w:val="2"/>
          <w:sz w:val="32"/>
          <w:szCs w:val="32"/>
          <w:highlight w:val="none"/>
          <w:lang w:val="en-US" w:eastAsia="zh-CN" w:bidi="ar-SA"/>
        </w:rPr>
        <w:t>区统筹推动城乡建设高质量发展提供有力支撑。</w:t>
      </w:r>
    </w:p>
    <w:p w14:paraId="153625EF">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31" w:name="_Toc7984"/>
      <w:r>
        <w:rPr>
          <w:rFonts w:hint="eastAsia" w:ascii="Times New Roman" w:hAnsi="Times New Roman" w:cs="楷体_GB2312"/>
          <w:b/>
          <w:bCs w:val="0"/>
          <w:color w:val="auto"/>
          <w:spacing w:val="0"/>
          <w:kern w:val="2"/>
          <w:sz w:val="32"/>
          <w:szCs w:val="32"/>
          <w:highlight w:val="none"/>
          <w:lang w:val="en-US" w:eastAsia="zh-CN" w:bidi="ar-SA"/>
        </w:rPr>
        <w:t>思路与原则</w:t>
      </w:r>
      <w:bookmarkEnd w:id="31"/>
    </w:p>
    <w:p w14:paraId="468632DD">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1.全面调研，深入分析。</w:t>
      </w:r>
      <w:r>
        <w:rPr>
          <w:rFonts w:hint="eastAsia" w:ascii="仿宋_GB2312" w:hAnsi="仿宋_GB2312" w:eastAsia="仿宋_GB2312" w:cs="仿宋_GB2312"/>
          <w:b w:val="0"/>
          <w:bCs w:val="0"/>
          <w:color w:val="auto"/>
          <w:spacing w:val="0"/>
          <w:sz w:val="32"/>
          <w:szCs w:val="32"/>
          <w:highlight w:val="none"/>
          <w:lang w:val="en-US" w:eastAsia="zh-CN"/>
        </w:rPr>
        <w:t>充分开展实地调研，全面了解掌握建筑垃圾的类型、产生量、利用量和处置量情况以及建筑垃圾消纳场、资源化利用项目等的规模和布局情况，梳理产销平衡数据，分析建筑垃圾利用和处置存在的问题。</w:t>
      </w:r>
    </w:p>
    <w:p w14:paraId="22FC9F9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2.目标导向，补齐短板。</w:t>
      </w:r>
      <w:r>
        <w:rPr>
          <w:rFonts w:hint="eastAsia" w:ascii="仿宋_GB2312" w:hAnsi="仿宋_GB2312" w:eastAsia="仿宋_GB2312" w:cs="仿宋_GB2312"/>
          <w:b w:val="0"/>
          <w:bCs w:val="0"/>
          <w:color w:val="auto"/>
          <w:spacing w:val="0"/>
          <w:sz w:val="32"/>
          <w:szCs w:val="32"/>
          <w:highlight w:val="none"/>
          <w:lang w:val="en-US" w:eastAsia="zh-CN"/>
        </w:rPr>
        <w:t>聚焦建筑垃圾源头减量、资源化利用和消纳兜底保障，以强化分类管理和全过程闭环管理、提升综合利用水平、促进资源化产业发展、防范建筑垃圾环境污染风险等方面为重点，加快补齐相关治理体系和基础设施短板</w:t>
      </w:r>
      <w:r>
        <w:rPr>
          <w:rFonts w:hint="eastAsia" w:ascii="仿宋_GB2312" w:hAnsi="仿宋_GB2312" w:eastAsia="仿宋_GB2312" w:cs="仿宋_GB2312"/>
          <w:color w:val="auto"/>
          <w:spacing w:val="0"/>
          <w:sz w:val="32"/>
          <w:szCs w:val="32"/>
          <w:highlight w:val="none"/>
          <w:lang w:val="en-US" w:eastAsia="zh-CN"/>
        </w:rPr>
        <w:t>。</w:t>
      </w:r>
    </w:p>
    <w:p w14:paraId="6FF8B16D">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3.因地制宜，科学规划。</w:t>
      </w:r>
      <w:r>
        <w:rPr>
          <w:rFonts w:hint="eastAsia" w:ascii="仿宋_GB2312" w:hAnsi="仿宋_GB2312" w:eastAsia="仿宋_GB2312" w:cs="仿宋_GB2312"/>
          <w:color w:val="auto"/>
          <w:spacing w:val="0"/>
          <w:sz w:val="32"/>
          <w:szCs w:val="32"/>
          <w:highlight w:val="none"/>
          <w:lang w:val="en-US" w:eastAsia="zh-CN"/>
        </w:rPr>
        <w:t>以立足当前需求，兼顾长远发展，充分考虑经济社会发展和生态环境状况，合理确定建筑垃圾转运调配、资源化利用、堆填、填埋等消纳处置设施、场所的建设目标和工程规模，确保所产生的建筑垃圾妥善利用和处置，达至产消平衡。</w:t>
      </w:r>
    </w:p>
    <w:p w14:paraId="29D10038">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4.全程谋划，推进分类。</w:t>
      </w:r>
      <w:r>
        <w:rPr>
          <w:rFonts w:hint="eastAsia" w:ascii="仿宋_GB2312" w:hAnsi="仿宋_GB2312" w:eastAsia="仿宋_GB2312" w:cs="仿宋_GB2312"/>
          <w:color w:val="auto"/>
          <w:spacing w:val="0"/>
          <w:sz w:val="32"/>
          <w:szCs w:val="32"/>
          <w:highlight w:val="none"/>
          <w:lang w:val="en-US" w:eastAsia="zh-CN"/>
        </w:rPr>
        <w:t>根据建筑垃圾分类利用情况，科学预测工程渣土、工程泥浆、拆除垃圾、装修垃圾、工程垃圾等各类建筑垃圾产生量，加强分类收集、分类运输、分类利用、分类处置等各环节的衔接，推进建筑垃圾精细化分类、分质利用和全过程管理，最大限度地减少堆填及填埋处置量。</w:t>
      </w:r>
    </w:p>
    <w:p w14:paraId="480D6B0A">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32" w:name="_Toc14645"/>
      <w:r>
        <w:rPr>
          <w:rFonts w:hint="eastAsia" w:ascii="Times New Roman" w:hAnsi="Times New Roman" w:cs="楷体_GB2312"/>
          <w:b/>
          <w:bCs w:val="0"/>
          <w:color w:val="auto"/>
          <w:spacing w:val="0"/>
          <w:kern w:val="2"/>
          <w:sz w:val="32"/>
          <w:szCs w:val="32"/>
          <w:highlight w:val="none"/>
          <w:lang w:val="en-US" w:eastAsia="zh-CN" w:bidi="ar-SA"/>
        </w:rPr>
        <w:t>规划目标</w:t>
      </w:r>
      <w:bookmarkEnd w:id="32"/>
    </w:p>
    <w:p w14:paraId="714DB6C6">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1.总体目标</w:t>
      </w:r>
    </w:p>
    <w:p w14:paraId="7ED7D6F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逐步健全建筑垃圾全过程管理体制机制，有效解决高质量发展建设需求与建筑垃圾处置能力之间的矛盾，倒逼工程建设生产管理模式转变，减少工程全生命周期的建筑垃圾排放，推动建筑垃圾治理迈向规范化管理、资源化利用、智慧化监管轨道。</w:t>
      </w:r>
    </w:p>
    <w:p w14:paraId="51483CA6">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2.指标体系</w:t>
      </w:r>
    </w:p>
    <w:p w14:paraId="3D84E26E">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共计8个规划指标，详见下表：</w:t>
      </w:r>
    </w:p>
    <w:p w14:paraId="27C588E4">
      <w:pP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br w:type="page"/>
      </w:r>
    </w:p>
    <w:p w14:paraId="3AFCF06C">
      <w:pPr>
        <w:pStyle w:val="65"/>
        <w:keepNext w:val="0"/>
        <w:keepLines w:val="0"/>
        <w:pageBreakBefore w:val="0"/>
        <w:widowControl/>
        <w:numPr>
          <w:ilvl w:val="0"/>
          <w:numId w:val="6"/>
        </w:numPr>
        <w:kinsoku/>
        <w:wordWrap/>
        <w:overflowPunct w:val="0"/>
        <w:topLinePunct w:val="0"/>
        <w:autoSpaceDE/>
        <w:autoSpaceDN/>
        <w:bidi w:val="0"/>
        <w:adjustRightInd/>
        <w:snapToGrid/>
        <w:spacing w:after="192" w:afterLines="50"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w:t>
      </w:r>
      <w:r>
        <w:rPr>
          <w:rFonts w:hint="eastAsia" w:ascii="仿宋_GB2312" w:hAnsi="仿宋_GB2312" w:cs="仿宋_GB2312"/>
          <w:b/>
          <w:bCs/>
          <w:color w:val="auto"/>
          <w:spacing w:val="0"/>
          <w:kern w:val="2"/>
          <w:sz w:val="28"/>
          <w:szCs w:val="28"/>
          <w:highlight w:val="none"/>
          <w:lang w:val="en-US" w:eastAsia="zh-CN" w:bidi="ar-SA"/>
        </w:rPr>
        <w:t>增城</w:t>
      </w:r>
      <w:r>
        <w:rPr>
          <w:rFonts w:hint="eastAsia" w:ascii="仿宋_GB2312" w:hAnsi="仿宋_GB2312" w:eastAsia="仿宋_GB2312" w:cs="仿宋_GB2312"/>
          <w:b/>
          <w:bCs/>
          <w:color w:val="auto"/>
          <w:spacing w:val="0"/>
          <w:kern w:val="2"/>
          <w:sz w:val="28"/>
          <w:szCs w:val="28"/>
          <w:highlight w:val="none"/>
          <w:lang w:val="en-US" w:eastAsia="zh-CN" w:bidi="ar-SA"/>
        </w:rPr>
        <w:t>区建筑垃圾污染环境防治工作规划指标体系</w:t>
      </w:r>
    </w:p>
    <w:tbl>
      <w:tblPr>
        <w:tblStyle w:val="44"/>
        <w:tblW w:w="8659" w:type="dxa"/>
        <w:jc w:val="center"/>
        <w:tblLayout w:type="fixed"/>
        <w:tblCellMar>
          <w:top w:w="0" w:type="dxa"/>
          <w:left w:w="108" w:type="dxa"/>
          <w:bottom w:w="0" w:type="dxa"/>
          <w:right w:w="108" w:type="dxa"/>
        </w:tblCellMar>
      </w:tblPr>
      <w:tblGrid>
        <w:gridCol w:w="939"/>
        <w:gridCol w:w="4698"/>
        <w:gridCol w:w="1851"/>
        <w:gridCol w:w="1171"/>
      </w:tblGrid>
      <w:tr w14:paraId="101C1F6B">
        <w:tblPrEx>
          <w:tblCellMar>
            <w:top w:w="0" w:type="dxa"/>
            <w:left w:w="108" w:type="dxa"/>
            <w:bottom w:w="0" w:type="dxa"/>
            <w:right w:w="108" w:type="dxa"/>
          </w:tblCellMar>
        </w:tblPrEx>
        <w:trPr>
          <w:trHeight w:val="1047" w:hRule="atLeast"/>
          <w:tblHeader/>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42B3080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bookmarkStart w:id="33" w:name="_Toc8854"/>
            <w:r>
              <w:rPr>
                <w:rFonts w:hint="eastAsia" w:ascii="仿宋_GB2312" w:hAnsi="仿宋_GB2312" w:eastAsia="仿宋_GB2312" w:cs="仿宋_GB2312"/>
                <w:b/>
                <w:bCs/>
                <w:color w:val="auto"/>
                <w:spacing w:val="0"/>
                <w:kern w:val="2"/>
                <w:sz w:val="28"/>
                <w:szCs w:val="28"/>
                <w:highlight w:val="none"/>
                <w:lang w:val="en-US" w:eastAsia="zh-CN" w:bidi="ar-SA"/>
              </w:rPr>
              <w:t>序号</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55F92DE9">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指标内容</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16C7C79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规划指标（2026年）</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07679ED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备注</w:t>
            </w:r>
          </w:p>
        </w:tc>
      </w:tr>
      <w:tr w14:paraId="17799FF1">
        <w:tblPrEx>
          <w:tblCellMar>
            <w:top w:w="0" w:type="dxa"/>
            <w:left w:w="108" w:type="dxa"/>
            <w:bottom w:w="0" w:type="dxa"/>
            <w:right w:w="108" w:type="dxa"/>
          </w:tblCellMar>
        </w:tblPrEx>
        <w:trPr>
          <w:trHeight w:val="1047" w:hRule="atLeast"/>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10FB834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1</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213133C7">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建筑垃圾安全处置率</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21409507">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100%</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161593F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约束性</w:t>
            </w:r>
          </w:p>
        </w:tc>
      </w:tr>
      <w:tr w14:paraId="0D5E767C">
        <w:tblPrEx>
          <w:tblCellMar>
            <w:top w:w="0" w:type="dxa"/>
            <w:left w:w="108" w:type="dxa"/>
            <w:bottom w:w="0" w:type="dxa"/>
            <w:right w:w="108" w:type="dxa"/>
          </w:tblCellMar>
        </w:tblPrEx>
        <w:trPr>
          <w:trHeight w:val="1047" w:hRule="atLeast"/>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494D60C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2</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6AD63319">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建筑垃圾综合利用率</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3B14253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75%</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4E4CCA6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预期性</w:t>
            </w:r>
          </w:p>
        </w:tc>
      </w:tr>
      <w:tr w14:paraId="0175B140">
        <w:tblPrEx>
          <w:tblCellMar>
            <w:top w:w="0" w:type="dxa"/>
            <w:left w:w="108" w:type="dxa"/>
            <w:bottom w:w="0" w:type="dxa"/>
            <w:right w:w="108" w:type="dxa"/>
          </w:tblCellMar>
        </w:tblPrEx>
        <w:trPr>
          <w:trHeight w:val="1047" w:hRule="atLeast"/>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29C3743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3</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6B8A65C1">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建筑垃圾资源化利用率</w:t>
            </w:r>
          </w:p>
          <w:p w14:paraId="792DFC7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（不含工程渣土、工程泥浆）</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6DDFAE1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70%</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6B83366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预期性</w:t>
            </w:r>
          </w:p>
        </w:tc>
      </w:tr>
      <w:tr w14:paraId="25CBF43B">
        <w:tblPrEx>
          <w:tblCellMar>
            <w:top w:w="0" w:type="dxa"/>
            <w:left w:w="108" w:type="dxa"/>
            <w:bottom w:w="0" w:type="dxa"/>
            <w:right w:w="108" w:type="dxa"/>
          </w:tblCellMar>
        </w:tblPrEx>
        <w:trPr>
          <w:trHeight w:val="1047" w:hRule="atLeast"/>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332B94FA">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4</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4D08F25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建筑垃圾在线监管率</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0AB9F98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90%</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64B19F8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预期性</w:t>
            </w:r>
          </w:p>
        </w:tc>
      </w:tr>
      <w:tr w14:paraId="1EC7234F">
        <w:tblPrEx>
          <w:tblCellMar>
            <w:top w:w="0" w:type="dxa"/>
            <w:left w:w="108" w:type="dxa"/>
            <w:bottom w:w="0" w:type="dxa"/>
            <w:right w:w="108" w:type="dxa"/>
          </w:tblCellMar>
        </w:tblPrEx>
        <w:trPr>
          <w:trHeight w:val="1047" w:hRule="atLeast"/>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6F754C3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5</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1075A63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建筑垃圾密闭化运输率</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702C3F7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100%</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76B159E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预期性</w:t>
            </w:r>
          </w:p>
        </w:tc>
      </w:tr>
      <w:tr w14:paraId="0143908D">
        <w:tblPrEx>
          <w:tblCellMar>
            <w:top w:w="0" w:type="dxa"/>
            <w:left w:w="108" w:type="dxa"/>
            <w:bottom w:w="0" w:type="dxa"/>
            <w:right w:w="108" w:type="dxa"/>
          </w:tblCellMar>
        </w:tblPrEx>
        <w:trPr>
          <w:trHeight w:val="1047" w:hRule="atLeast"/>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4FCE687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6</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796B0CE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新建建筑施工现场建筑垃圾排放量（不包括工程渣土、工程泥浆）</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1C61305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≤300</w:t>
            </w:r>
          </w:p>
          <w:p w14:paraId="3C3E54B0">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吨/万平方米</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12BAA8B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预期性</w:t>
            </w:r>
          </w:p>
        </w:tc>
      </w:tr>
      <w:tr w14:paraId="41484FAA">
        <w:tblPrEx>
          <w:tblCellMar>
            <w:top w:w="0" w:type="dxa"/>
            <w:left w:w="108" w:type="dxa"/>
            <w:bottom w:w="0" w:type="dxa"/>
            <w:right w:w="108" w:type="dxa"/>
          </w:tblCellMar>
        </w:tblPrEx>
        <w:trPr>
          <w:trHeight w:val="1047" w:hRule="atLeast"/>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35FEAAF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7</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179D4AE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装配式建筑施工现场建筑垃圾排放量（不包括工程渣土、工程泥浆）</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136BAD6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≤200</w:t>
            </w:r>
          </w:p>
          <w:p w14:paraId="0272EDA1">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吨/万平方米</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47483EB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预期性</w:t>
            </w:r>
          </w:p>
        </w:tc>
      </w:tr>
      <w:tr w14:paraId="43803EEC">
        <w:tblPrEx>
          <w:tblCellMar>
            <w:top w:w="0" w:type="dxa"/>
            <w:left w:w="108" w:type="dxa"/>
            <w:bottom w:w="0" w:type="dxa"/>
            <w:right w:w="108" w:type="dxa"/>
          </w:tblCellMar>
        </w:tblPrEx>
        <w:trPr>
          <w:trHeight w:val="1075" w:hRule="atLeast"/>
          <w:jc w:val="center"/>
        </w:trPr>
        <w:tc>
          <w:tcPr>
            <w:tcW w:w="939" w:type="dxa"/>
            <w:tcBorders>
              <w:top w:val="single" w:color="000000" w:sz="4" w:space="0"/>
              <w:left w:val="single" w:color="000000" w:sz="4" w:space="0"/>
              <w:bottom w:val="single" w:color="000000" w:sz="4" w:space="0"/>
              <w:right w:val="single" w:color="000000" w:sz="4" w:space="0"/>
            </w:tcBorders>
            <w:noWrap/>
            <w:vAlign w:val="center"/>
          </w:tcPr>
          <w:p w14:paraId="748F797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8</w:t>
            </w:r>
          </w:p>
        </w:tc>
        <w:tc>
          <w:tcPr>
            <w:tcW w:w="4698" w:type="dxa"/>
            <w:tcBorders>
              <w:top w:val="single" w:color="000000" w:sz="4" w:space="0"/>
              <w:left w:val="single" w:color="000000" w:sz="4" w:space="0"/>
              <w:bottom w:val="single" w:color="000000" w:sz="4" w:space="0"/>
              <w:right w:val="single" w:color="000000" w:sz="4" w:space="0"/>
            </w:tcBorders>
            <w:noWrap/>
            <w:vAlign w:val="center"/>
          </w:tcPr>
          <w:p w14:paraId="5507989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建筑垃圾运输车辆行驶及装卸</w:t>
            </w:r>
          </w:p>
          <w:p w14:paraId="6BB0D1E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记录仪安装率</w:t>
            </w:r>
          </w:p>
        </w:tc>
        <w:tc>
          <w:tcPr>
            <w:tcW w:w="1851" w:type="dxa"/>
            <w:tcBorders>
              <w:top w:val="single" w:color="000000" w:sz="4" w:space="0"/>
              <w:left w:val="single" w:color="000000" w:sz="4" w:space="0"/>
              <w:bottom w:val="single" w:color="000000" w:sz="4" w:space="0"/>
              <w:right w:val="single" w:color="000000" w:sz="4" w:space="0"/>
            </w:tcBorders>
            <w:noWrap/>
            <w:vAlign w:val="center"/>
          </w:tcPr>
          <w:p w14:paraId="3AC1F96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100%</w:t>
            </w:r>
          </w:p>
        </w:tc>
        <w:tc>
          <w:tcPr>
            <w:tcW w:w="1171" w:type="dxa"/>
            <w:tcBorders>
              <w:top w:val="single" w:color="000000" w:sz="4" w:space="0"/>
              <w:left w:val="single" w:color="000000" w:sz="4" w:space="0"/>
              <w:bottom w:val="single" w:color="000000" w:sz="4" w:space="0"/>
              <w:right w:val="single" w:color="000000" w:sz="4" w:space="0"/>
            </w:tcBorders>
            <w:noWrap/>
            <w:vAlign w:val="center"/>
          </w:tcPr>
          <w:p w14:paraId="12938847">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预期性</w:t>
            </w:r>
          </w:p>
        </w:tc>
      </w:tr>
    </w:tbl>
    <w:p w14:paraId="3AD0EC2C">
      <w:pPr>
        <w:keepNext w:val="0"/>
        <w:keepLines w:val="0"/>
        <w:pageBreakBefore w:val="0"/>
        <w:widowControl/>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注：</w:t>
      </w:r>
    </w:p>
    <w:p w14:paraId="21EE3302">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（1）建筑垃圾安全处置率</w:t>
      </w:r>
    </w:p>
    <w:p w14:paraId="4D5A03A2">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val="0"/>
          <w:bCs w:val="0"/>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 指标解析：</w:t>
      </w:r>
      <w:r>
        <w:rPr>
          <w:rFonts w:hint="default" w:ascii="仿宋_GB2312" w:hAnsi="仿宋_GB2312" w:eastAsia="仿宋_GB2312" w:cs="仿宋_GB2312"/>
          <w:b w:val="0"/>
          <w:bCs w:val="0"/>
          <w:color w:val="auto"/>
          <w:spacing w:val="0"/>
          <w:sz w:val="28"/>
          <w:szCs w:val="28"/>
          <w:highlight w:val="none"/>
          <w:lang w:val="en-US" w:eastAsia="zh-CN"/>
        </w:rPr>
        <w:t>本指标指不存在安全隐患且不发生安全事故的处理设施占所有处理设施的比例</w:t>
      </w:r>
      <w:r>
        <w:rPr>
          <w:rFonts w:hint="eastAsia" w:ascii="仿宋_GB2312" w:hAnsi="仿宋_GB2312" w:eastAsia="仿宋_GB2312" w:cs="仿宋_GB2312"/>
          <w:b w:val="0"/>
          <w:bCs w:val="0"/>
          <w:color w:val="auto"/>
          <w:spacing w:val="0"/>
          <w:sz w:val="28"/>
          <w:szCs w:val="28"/>
          <w:highlight w:val="none"/>
          <w:lang w:val="en-US" w:eastAsia="zh-CN"/>
        </w:rPr>
        <w:t>。</w:t>
      </w:r>
    </w:p>
    <w:p w14:paraId="3411B4A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val="0"/>
          <w:bCs w:val="0"/>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 计算方法：</w:t>
      </w:r>
      <w:r>
        <w:rPr>
          <w:rFonts w:hint="eastAsia" w:ascii="仿宋_GB2312" w:hAnsi="仿宋_GB2312" w:eastAsia="仿宋_GB2312" w:cs="仿宋_GB2312"/>
          <w:b w:val="0"/>
          <w:bCs w:val="0"/>
          <w:color w:val="auto"/>
          <w:spacing w:val="0"/>
          <w:sz w:val="28"/>
          <w:szCs w:val="28"/>
          <w:highlight w:val="none"/>
          <w:lang w:val="en-US" w:eastAsia="zh-CN"/>
        </w:rPr>
        <w:t>建筑垃圾安全处置率=</w:t>
      </w:r>
      <w:r>
        <w:rPr>
          <w:rFonts w:hint="default" w:ascii="仿宋_GB2312" w:hAnsi="仿宋_GB2312" w:eastAsia="仿宋_GB2312" w:cs="仿宋_GB2312"/>
          <w:b w:val="0"/>
          <w:bCs w:val="0"/>
          <w:color w:val="auto"/>
          <w:spacing w:val="0"/>
          <w:sz w:val="28"/>
          <w:szCs w:val="28"/>
          <w:highlight w:val="none"/>
          <w:lang w:val="en-US" w:eastAsia="zh-CN"/>
        </w:rPr>
        <w:t>不存在安全隐患且不发生安全事故的处理设施数</w:t>
      </w:r>
      <w:r>
        <w:rPr>
          <w:rFonts w:hint="eastAsia" w:ascii="仿宋_GB2312" w:hAnsi="仿宋_GB2312" w:eastAsia="仿宋_GB2312" w:cs="仿宋_GB2312"/>
          <w:b w:val="0"/>
          <w:bCs w:val="0"/>
          <w:color w:val="auto"/>
          <w:spacing w:val="0"/>
          <w:sz w:val="28"/>
          <w:szCs w:val="28"/>
          <w:highlight w:val="none"/>
          <w:lang w:val="en-US" w:eastAsia="zh-CN"/>
        </w:rPr>
        <w:t>量÷</w:t>
      </w:r>
      <w:r>
        <w:rPr>
          <w:rFonts w:hint="default" w:ascii="仿宋_GB2312" w:hAnsi="仿宋_GB2312" w:eastAsia="仿宋_GB2312" w:cs="仿宋_GB2312"/>
          <w:b w:val="0"/>
          <w:bCs w:val="0"/>
          <w:color w:val="auto"/>
          <w:spacing w:val="0"/>
          <w:sz w:val="28"/>
          <w:szCs w:val="28"/>
          <w:highlight w:val="none"/>
          <w:lang w:val="en-US" w:eastAsia="zh-CN"/>
        </w:rPr>
        <w:t>处理设施总数</w:t>
      </w:r>
      <w:r>
        <w:rPr>
          <w:rFonts w:hint="eastAsia" w:ascii="仿宋_GB2312" w:hAnsi="仿宋_GB2312" w:eastAsia="仿宋_GB2312" w:cs="仿宋_GB2312"/>
          <w:b w:val="0"/>
          <w:bCs w:val="0"/>
          <w:color w:val="auto"/>
          <w:spacing w:val="0"/>
          <w:sz w:val="28"/>
          <w:szCs w:val="28"/>
          <w:highlight w:val="none"/>
          <w:lang w:val="en-US" w:eastAsia="zh-CN"/>
        </w:rPr>
        <w:t>量。</w:t>
      </w:r>
    </w:p>
    <w:p w14:paraId="2C425BA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（2）建筑垃圾综合利用率</w:t>
      </w:r>
    </w:p>
    <w:p w14:paraId="6F7D0BFD">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 指标解析：</w:t>
      </w:r>
      <w:r>
        <w:rPr>
          <w:rFonts w:hint="eastAsia" w:ascii="仿宋_GB2312" w:hAnsi="仿宋_GB2312" w:eastAsia="仿宋_GB2312" w:cs="仿宋_GB2312"/>
          <w:color w:val="auto"/>
          <w:spacing w:val="0"/>
          <w:sz w:val="28"/>
          <w:szCs w:val="28"/>
          <w:highlight w:val="none"/>
          <w:lang w:val="en-US" w:eastAsia="zh-CN"/>
        </w:rPr>
        <w:t>建筑垃圾通过工程回填、土地平整、资源化利用、堆山造景、修基筑路等方式处置汇总的利用量，占建筑垃圾总排放产生量的百分比。</w:t>
      </w:r>
    </w:p>
    <w:p w14:paraId="03C9F640">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val="0"/>
          <w:bCs w:val="0"/>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 计算方法：</w:t>
      </w:r>
      <w:r>
        <w:rPr>
          <w:rFonts w:hint="eastAsia" w:ascii="仿宋_GB2312" w:hAnsi="仿宋_GB2312" w:eastAsia="仿宋_GB2312" w:cs="仿宋_GB2312"/>
          <w:b w:val="0"/>
          <w:bCs w:val="0"/>
          <w:color w:val="auto"/>
          <w:spacing w:val="0"/>
          <w:sz w:val="28"/>
          <w:szCs w:val="28"/>
          <w:highlight w:val="none"/>
          <w:lang w:val="en-US" w:eastAsia="zh-CN"/>
        </w:rPr>
        <w:t>建筑垃圾综合利用率=工程回填、土地平整、资源化利用、堆山造景、修基筑路等方式处置汇总的利用量÷建筑垃圾总排放产生量。</w:t>
      </w:r>
    </w:p>
    <w:p w14:paraId="60B8D78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（3）建筑垃圾资源化利用率</w:t>
      </w:r>
    </w:p>
    <w:p w14:paraId="6FA6CA32">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 指标解析：</w:t>
      </w:r>
      <w:r>
        <w:rPr>
          <w:rFonts w:hint="eastAsia" w:ascii="仿宋_GB2312" w:hAnsi="仿宋_GB2312" w:eastAsia="仿宋_GB2312" w:cs="仿宋_GB2312"/>
          <w:color w:val="auto"/>
          <w:spacing w:val="0"/>
          <w:sz w:val="28"/>
          <w:szCs w:val="28"/>
          <w:highlight w:val="none"/>
          <w:lang w:val="en-US" w:eastAsia="zh-CN"/>
        </w:rPr>
        <w:t>建筑垃圾中工程垃圾、装修垃圾和拆除垃圾的资源化利用量，占这三类建筑垃圾产生总量的百分比。资源化利用指通过资源化利用项目或移动式资源化利用设施设备，将建筑垃圾转化为有用的物质。</w:t>
      </w:r>
    </w:p>
    <w:p w14:paraId="06D8B37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val="0"/>
          <w:bCs w:val="0"/>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 计算方法：</w:t>
      </w:r>
      <w:r>
        <w:rPr>
          <w:rFonts w:hint="eastAsia" w:ascii="仿宋_GB2312" w:hAnsi="仿宋_GB2312" w:eastAsia="仿宋_GB2312" w:cs="仿宋_GB2312"/>
          <w:b w:val="0"/>
          <w:bCs w:val="0"/>
          <w:color w:val="auto"/>
          <w:spacing w:val="0"/>
          <w:sz w:val="28"/>
          <w:szCs w:val="28"/>
          <w:highlight w:val="none"/>
          <w:lang w:val="en-US" w:eastAsia="zh-CN"/>
        </w:rPr>
        <w:t>建筑垃圾资源化利用率=(工程垃圾+装修垃圾+拆除垃圾）资源化利用量÷建筑垃圾中工程垃圾、装修垃圾、拆除垃圾排放产生量(不含工程渣土、工程泥浆）。</w:t>
      </w:r>
    </w:p>
    <w:p w14:paraId="1AF5DF5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（4）建筑垃圾在线监管率</w:t>
      </w:r>
    </w:p>
    <w:p w14:paraId="7DA536C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 指标解析：</w:t>
      </w:r>
      <w:r>
        <w:rPr>
          <w:rFonts w:hint="eastAsia" w:ascii="仿宋_GB2312" w:hAnsi="仿宋_GB2312" w:eastAsia="仿宋_GB2312" w:cs="仿宋_GB2312"/>
          <w:b w:val="0"/>
          <w:bCs w:val="0"/>
          <w:color w:val="auto"/>
          <w:spacing w:val="0"/>
          <w:sz w:val="28"/>
          <w:szCs w:val="28"/>
          <w:highlight w:val="none"/>
          <w:lang w:val="en-US" w:eastAsia="zh-CN"/>
        </w:rPr>
        <w:t>实现建筑垃圾“产、运、消、利”全流程在线监控的比例</w:t>
      </w:r>
      <w:r>
        <w:rPr>
          <w:rFonts w:hint="eastAsia" w:ascii="仿宋_GB2312" w:hAnsi="仿宋_GB2312" w:eastAsia="仿宋_GB2312" w:cs="仿宋_GB2312"/>
          <w:color w:val="auto"/>
          <w:spacing w:val="0"/>
          <w:sz w:val="28"/>
          <w:szCs w:val="28"/>
          <w:highlight w:val="none"/>
          <w:lang w:val="en-US" w:eastAsia="zh-CN"/>
        </w:rPr>
        <w:t>。</w:t>
      </w:r>
    </w:p>
    <w:p w14:paraId="30A09F6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val="0"/>
          <w:bCs w:val="0"/>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 计算方法：</w:t>
      </w:r>
      <w:r>
        <w:rPr>
          <w:rFonts w:hint="eastAsia" w:ascii="仿宋_GB2312" w:hAnsi="仿宋_GB2312" w:eastAsia="仿宋_GB2312" w:cs="仿宋_GB2312"/>
          <w:b w:val="0"/>
          <w:bCs w:val="0"/>
          <w:color w:val="auto"/>
          <w:spacing w:val="0"/>
          <w:sz w:val="28"/>
          <w:szCs w:val="28"/>
          <w:highlight w:val="none"/>
          <w:lang w:val="en-US" w:eastAsia="zh-CN"/>
        </w:rPr>
        <w:t>建筑垃圾在线监管率=实现全流程在线监控的建筑垃圾量÷领取建筑垃圾处置核准手续的建筑垃圾总量×100%。</w:t>
      </w:r>
    </w:p>
    <w:p w14:paraId="0C3A64C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（5）建筑垃圾密闭化运输率</w:t>
      </w:r>
    </w:p>
    <w:p w14:paraId="0028EDD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 指标解析：</w:t>
      </w:r>
      <w:r>
        <w:rPr>
          <w:rFonts w:hint="eastAsia" w:ascii="仿宋_GB2312" w:hAnsi="仿宋_GB2312" w:eastAsia="仿宋_GB2312" w:cs="仿宋_GB2312"/>
          <w:b w:val="0"/>
          <w:bCs w:val="0"/>
          <w:color w:val="auto"/>
          <w:spacing w:val="0"/>
          <w:sz w:val="28"/>
          <w:szCs w:val="28"/>
          <w:highlight w:val="none"/>
          <w:lang w:val="en-US" w:eastAsia="zh-CN"/>
        </w:rPr>
        <w:t>使用保持密闭化的建筑垃圾运输车辆和船舶收运且规范处置建筑垃圾总量与建筑垃圾申报处置核准总量的比率。建筑垃圾收运总量基于建筑垃圾电子转移联单来计算。收运建筑垃圾总量及申报处置核准总量范围均为统计周期内完成处置的项目</w:t>
      </w:r>
      <w:r>
        <w:rPr>
          <w:rFonts w:hint="eastAsia" w:ascii="仿宋_GB2312" w:hAnsi="仿宋_GB2312" w:eastAsia="仿宋_GB2312" w:cs="仿宋_GB2312"/>
          <w:color w:val="auto"/>
          <w:spacing w:val="0"/>
          <w:sz w:val="28"/>
          <w:szCs w:val="28"/>
          <w:highlight w:val="none"/>
          <w:lang w:val="en-US" w:eastAsia="zh-CN"/>
        </w:rPr>
        <w:t>。</w:t>
      </w:r>
    </w:p>
    <w:p w14:paraId="20FFE7EC">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val="0"/>
          <w:bCs w:val="0"/>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 计算方法：</w:t>
      </w:r>
      <w:r>
        <w:rPr>
          <w:rFonts w:hint="eastAsia" w:ascii="仿宋_GB2312" w:hAnsi="仿宋_GB2312" w:eastAsia="仿宋_GB2312" w:cs="仿宋_GB2312"/>
          <w:b w:val="0"/>
          <w:bCs w:val="0"/>
          <w:color w:val="auto"/>
          <w:spacing w:val="0"/>
          <w:sz w:val="28"/>
          <w:szCs w:val="28"/>
          <w:highlight w:val="none"/>
          <w:lang w:val="en-US" w:eastAsia="zh-CN"/>
        </w:rPr>
        <w:t>建筑垃圾密闭化收运率（%）=使用保持密闭化的合法建筑垃圾运输车辆和船舶收运且规范处置的建筑垃圾总量÷领取建筑垃圾处置核准手续的建筑垃圾总量×100%。</w:t>
      </w:r>
    </w:p>
    <w:p w14:paraId="56FD7B2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（6）新建建筑施工现场建筑垃圾排放量</w:t>
      </w:r>
    </w:p>
    <w:p w14:paraId="39B8275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 指标解析：</w:t>
      </w:r>
      <w:r>
        <w:rPr>
          <w:rFonts w:hint="eastAsia" w:ascii="仿宋_GB2312" w:hAnsi="仿宋_GB2312" w:eastAsia="仿宋_GB2312" w:cs="仿宋_GB2312"/>
          <w:color w:val="auto"/>
          <w:spacing w:val="0"/>
          <w:sz w:val="28"/>
          <w:szCs w:val="28"/>
          <w:highlight w:val="none"/>
          <w:lang w:val="en-US" w:eastAsia="zh-CN"/>
        </w:rPr>
        <w:t>新建建筑施工现场建筑垃圾（不包括工程渣土、工程泥浆）排放量与施工现场面积的比值。</w:t>
      </w:r>
    </w:p>
    <w:p w14:paraId="77BE04F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 计算方法：</w:t>
      </w:r>
      <w:r>
        <w:rPr>
          <w:rFonts w:hint="eastAsia" w:ascii="仿宋_GB2312" w:hAnsi="仿宋_GB2312" w:eastAsia="仿宋_GB2312" w:cs="仿宋_GB2312"/>
          <w:color w:val="auto"/>
          <w:spacing w:val="0"/>
          <w:sz w:val="28"/>
          <w:szCs w:val="28"/>
          <w:highlight w:val="none"/>
          <w:lang w:val="en-US" w:eastAsia="zh-CN"/>
        </w:rPr>
        <w:t>新建建筑施工现场建筑垃圾排放量（不包括工程渣土、工程泥浆）（吨/万平方米）=新建建筑施工现场建筑垃圾（不包括工程渣土、工程泥浆）排放量（吨）÷施工现场面积（万平方米）。</w:t>
      </w:r>
    </w:p>
    <w:p w14:paraId="2668647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（7）装配式建筑施工现场建筑垃圾排放量</w:t>
      </w:r>
    </w:p>
    <w:p w14:paraId="13A0BE2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 指标解析：</w:t>
      </w:r>
      <w:r>
        <w:rPr>
          <w:rFonts w:hint="eastAsia" w:ascii="仿宋_GB2312" w:hAnsi="仿宋_GB2312" w:eastAsia="仿宋_GB2312" w:cs="仿宋_GB2312"/>
          <w:color w:val="auto"/>
          <w:spacing w:val="0"/>
          <w:sz w:val="28"/>
          <w:szCs w:val="28"/>
          <w:highlight w:val="none"/>
          <w:lang w:val="en-US" w:eastAsia="zh-CN"/>
        </w:rPr>
        <w:t>装配式建筑施工现场建筑垃圾（不包括工程渣土、工程泥浆）排放量与施工现场面积的比值。</w:t>
      </w:r>
    </w:p>
    <w:p w14:paraId="5F858C3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 计算方法：</w:t>
      </w:r>
      <w:r>
        <w:rPr>
          <w:rFonts w:hint="eastAsia" w:ascii="仿宋_GB2312" w:hAnsi="仿宋_GB2312" w:eastAsia="仿宋_GB2312" w:cs="仿宋_GB2312"/>
          <w:color w:val="auto"/>
          <w:spacing w:val="0"/>
          <w:sz w:val="28"/>
          <w:szCs w:val="28"/>
          <w:highlight w:val="none"/>
          <w:lang w:val="en-US" w:eastAsia="zh-CN"/>
        </w:rPr>
        <w:t>装配式建筑施工现场建筑垃圾排放量（不包括工程渣土、工程泥浆）（吨/万平方米）=装配式建筑施工现场建筑垃圾（不包括工程渣土、工程泥浆）排放量（吨）÷施工现场面积（万平方米）。</w:t>
      </w:r>
    </w:p>
    <w:p w14:paraId="05A882A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（8）建筑垃圾运输车辆行驶及装卸记录仪安装率</w:t>
      </w:r>
    </w:p>
    <w:p w14:paraId="651219E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1 指标解析：</w:t>
      </w:r>
      <w:r>
        <w:rPr>
          <w:rFonts w:hint="eastAsia" w:ascii="仿宋_GB2312" w:hAnsi="仿宋_GB2312" w:eastAsia="仿宋_GB2312" w:cs="仿宋_GB2312"/>
          <w:b w:val="0"/>
          <w:bCs w:val="0"/>
          <w:color w:val="auto"/>
          <w:spacing w:val="0"/>
          <w:sz w:val="28"/>
          <w:szCs w:val="28"/>
          <w:highlight w:val="none"/>
          <w:lang w:val="en-US" w:eastAsia="zh-CN"/>
        </w:rPr>
        <w:t>安装行驶及装卸记录仪的建筑垃圾运输车辆占全部建筑垃圾运输车辆的比例</w:t>
      </w:r>
      <w:r>
        <w:rPr>
          <w:rFonts w:hint="eastAsia" w:ascii="仿宋_GB2312" w:hAnsi="仿宋_GB2312" w:eastAsia="仿宋_GB2312" w:cs="仿宋_GB2312"/>
          <w:color w:val="auto"/>
          <w:spacing w:val="0"/>
          <w:sz w:val="28"/>
          <w:szCs w:val="28"/>
          <w:highlight w:val="none"/>
          <w:lang w:val="en-US" w:eastAsia="zh-CN"/>
        </w:rPr>
        <w:t>。</w:t>
      </w:r>
    </w:p>
    <w:p w14:paraId="76F1F105">
      <w:pPr>
        <w:keepNext w:val="0"/>
        <w:keepLines w:val="0"/>
        <w:pageBreakBefore w:val="0"/>
        <w:widowControl/>
        <w:kinsoku/>
        <w:wordWrap/>
        <w:overflowPunct w:val="0"/>
        <w:topLinePunct w:val="0"/>
        <w:autoSpaceDE/>
        <w:autoSpaceDN/>
        <w:bidi w:val="0"/>
        <w:adjustRightInd/>
        <w:snapToGrid/>
        <w:spacing w:line="600" w:lineRule="exact"/>
        <w:ind w:firstLine="562" w:firstLineChars="200"/>
        <w:jc w:val="both"/>
        <w:textAlignment w:val="auto"/>
        <w:rPr>
          <w:rFonts w:hint="eastAsia" w:ascii="仿宋_GB2312" w:hAnsi="仿宋_GB2312" w:eastAsia="仿宋_GB2312" w:cs="仿宋_GB2312"/>
          <w:b w:val="0"/>
          <w:bCs w:val="0"/>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2 计算方法：</w:t>
      </w:r>
      <w:r>
        <w:rPr>
          <w:rFonts w:hint="eastAsia" w:ascii="仿宋_GB2312" w:hAnsi="仿宋_GB2312" w:eastAsia="仿宋_GB2312" w:cs="仿宋_GB2312"/>
          <w:b w:val="0"/>
          <w:bCs w:val="0"/>
          <w:color w:val="auto"/>
          <w:spacing w:val="0"/>
          <w:sz w:val="28"/>
          <w:szCs w:val="28"/>
          <w:highlight w:val="none"/>
          <w:lang w:val="en-US" w:eastAsia="zh-CN"/>
        </w:rPr>
        <w:t>建筑垃圾运输车辆行驶及装卸记录仪安装率=安装行驶及装卸记录仪的建筑垃圾运输车数量÷全部建筑垃圾运输车数量×100%。</w:t>
      </w:r>
    </w:p>
    <w:p w14:paraId="6015C015">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3.指标可达性分析</w:t>
      </w:r>
    </w:p>
    <w:p w14:paraId="7EF44DAB">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本规划的规划指标可达性分析，详见下表：</w:t>
      </w:r>
    </w:p>
    <w:p w14:paraId="2B3E3056">
      <w:pPr>
        <w:pStyle w:val="65"/>
        <w:keepNext w:val="0"/>
        <w:keepLines w:val="0"/>
        <w:pageBreakBefore w:val="0"/>
        <w:widowControl/>
        <w:numPr>
          <w:ilvl w:val="0"/>
          <w:numId w:val="6"/>
        </w:numPr>
        <w:kinsoku/>
        <w:wordWrap/>
        <w:overflowPunct w:val="0"/>
        <w:topLinePunct w:val="0"/>
        <w:autoSpaceDE/>
        <w:autoSpaceDN/>
        <w:bidi w:val="0"/>
        <w:adjustRightInd/>
        <w:snapToGrid/>
        <w:spacing w:after="192" w:afterLines="50"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规划指标可达性分析一览表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2022"/>
        <w:gridCol w:w="6089"/>
      </w:tblGrid>
      <w:tr w14:paraId="7C4D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trPr>
        <w:tc>
          <w:tcPr>
            <w:tcW w:w="465" w:type="pct"/>
            <w:vAlign w:val="center"/>
          </w:tcPr>
          <w:p w14:paraId="31424BD4">
            <w:pPr>
              <w:spacing w:line="340" w:lineRule="exact"/>
              <w:jc w:val="center"/>
              <w:rPr>
                <w:rFonts w:ascii="Times New Roman" w:hAnsi="Times New Roman" w:eastAsia="仿宋_GB2312"/>
                <w:b/>
                <w:bCs/>
                <w:color w:val="auto"/>
                <w:sz w:val="28"/>
                <w:szCs w:val="28"/>
              </w:rPr>
            </w:pPr>
            <w:r>
              <w:rPr>
                <w:rFonts w:hint="eastAsia" w:ascii="Times New Roman" w:hAnsi="Times New Roman" w:eastAsia="仿宋_GB2312"/>
                <w:b/>
                <w:bCs/>
                <w:color w:val="auto"/>
                <w:sz w:val="28"/>
                <w:szCs w:val="28"/>
              </w:rPr>
              <w:t>序号</w:t>
            </w:r>
          </w:p>
        </w:tc>
        <w:tc>
          <w:tcPr>
            <w:tcW w:w="1130" w:type="pct"/>
            <w:vAlign w:val="center"/>
          </w:tcPr>
          <w:p w14:paraId="36C1EE12">
            <w:pPr>
              <w:spacing w:line="340" w:lineRule="exact"/>
              <w:jc w:val="center"/>
              <w:rPr>
                <w:rFonts w:ascii="Times New Roman" w:hAnsi="Times New Roman" w:eastAsia="仿宋_GB2312"/>
                <w:b/>
                <w:bCs/>
                <w:color w:val="auto"/>
                <w:sz w:val="28"/>
                <w:szCs w:val="28"/>
              </w:rPr>
            </w:pPr>
            <w:r>
              <w:rPr>
                <w:rFonts w:hint="eastAsia" w:ascii="Times New Roman" w:hAnsi="Times New Roman" w:eastAsia="仿宋_GB2312"/>
                <w:b/>
                <w:bCs/>
                <w:color w:val="auto"/>
                <w:sz w:val="28"/>
                <w:szCs w:val="28"/>
              </w:rPr>
              <w:t>内容</w:t>
            </w:r>
          </w:p>
        </w:tc>
        <w:tc>
          <w:tcPr>
            <w:tcW w:w="3403" w:type="pct"/>
            <w:vAlign w:val="center"/>
          </w:tcPr>
          <w:p w14:paraId="63A8447F">
            <w:pPr>
              <w:spacing w:line="340" w:lineRule="exact"/>
              <w:jc w:val="center"/>
              <w:rPr>
                <w:rFonts w:ascii="Times New Roman" w:hAnsi="Times New Roman" w:eastAsia="仿宋_GB2312"/>
                <w:b/>
                <w:bCs/>
                <w:color w:val="auto"/>
                <w:sz w:val="28"/>
                <w:szCs w:val="28"/>
              </w:rPr>
            </w:pPr>
            <w:r>
              <w:rPr>
                <w:rFonts w:hint="eastAsia" w:ascii="Times New Roman" w:hAnsi="Times New Roman" w:eastAsia="仿宋_GB2312"/>
                <w:b/>
                <w:bCs/>
                <w:color w:val="auto"/>
                <w:sz w:val="28"/>
                <w:szCs w:val="28"/>
              </w:rPr>
              <w:t>可达性分析</w:t>
            </w:r>
          </w:p>
        </w:tc>
      </w:tr>
      <w:tr w14:paraId="3249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465" w:type="pct"/>
            <w:vAlign w:val="center"/>
          </w:tcPr>
          <w:p w14:paraId="1159E536">
            <w:pPr>
              <w:spacing w:line="340" w:lineRule="exact"/>
              <w:jc w:val="center"/>
              <w:rPr>
                <w:rFonts w:ascii="Times New Roman" w:hAnsi="Times New Roman" w:eastAsia="仿宋_GB2312"/>
                <w:color w:val="auto"/>
                <w:sz w:val="28"/>
                <w:szCs w:val="28"/>
              </w:rPr>
            </w:pPr>
            <w:r>
              <w:rPr>
                <w:rFonts w:hint="eastAsia" w:ascii="Times New Roman" w:hAnsi="Times New Roman" w:eastAsia="仿宋_GB2312"/>
                <w:color w:val="auto"/>
                <w:sz w:val="28"/>
                <w:szCs w:val="28"/>
              </w:rPr>
              <w:t>1</w:t>
            </w:r>
          </w:p>
        </w:tc>
        <w:tc>
          <w:tcPr>
            <w:tcW w:w="1130" w:type="pct"/>
            <w:vAlign w:val="center"/>
          </w:tcPr>
          <w:p w14:paraId="7A83218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olor w:val="auto"/>
                <w:sz w:val="28"/>
                <w:szCs w:val="28"/>
              </w:rPr>
            </w:pPr>
            <w:r>
              <w:rPr>
                <w:rFonts w:hint="eastAsia" w:ascii="仿宋_GB2312" w:hAnsi="仿宋_GB2312" w:eastAsia="仿宋_GB2312" w:cs="仿宋_GB2312"/>
                <w:color w:val="auto"/>
                <w:spacing w:val="0"/>
                <w:kern w:val="2"/>
                <w:sz w:val="28"/>
                <w:szCs w:val="28"/>
                <w:highlight w:val="none"/>
                <w:lang w:val="en-US" w:eastAsia="zh-CN" w:bidi="ar-SA"/>
              </w:rPr>
              <w:t>建筑垃圾安全处置率</w:t>
            </w:r>
          </w:p>
        </w:tc>
        <w:tc>
          <w:tcPr>
            <w:tcW w:w="3403" w:type="pct"/>
            <w:vAlign w:val="center"/>
          </w:tcPr>
          <w:p w14:paraId="691F6C9A">
            <w:pPr>
              <w:spacing w:line="340" w:lineRule="exact"/>
              <w:jc w:val="both"/>
              <w:rPr>
                <w:rFonts w:hint="default" w:ascii="Times New Roman" w:hAnsi="Times New Roman" w:eastAsia="仿宋_GB2312"/>
                <w:color w:val="auto"/>
                <w:sz w:val="28"/>
                <w:szCs w:val="28"/>
                <w:lang w:val="en-US" w:eastAsia="zh-CN"/>
              </w:rPr>
            </w:pPr>
            <w:r>
              <w:rPr>
                <w:rFonts w:hint="eastAsia" w:ascii="Times New Roman" w:hAnsi="Times New Roman" w:eastAsia="仿宋_GB2312"/>
                <w:color w:val="auto"/>
                <w:sz w:val="28"/>
                <w:szCs w:val="28"/>
              </w:rPr>
              <w:t>可达，本次规划</w:t>
            </w:r>
            <w:r>
              <w:rPr>
                <w:rFonts w:hint="eastAsia" w:eastAsia="仿宋_GB2312"/>
                <w:color w:val="auto"/>
                <w:sz w:val="28"/>
                <w:szCs w:val="28"/>
                <w:lang w:val="en-US" w:eastAsia="zh-CN"/>
              </w:rPr>
              <w:t>将安全处置率作为约束性指标，通过进一步提高安全防范意识，落实</w:t>
            </w:r>
            <w:r>
              <w:rPr>
                <w:rFonts w:hint="eastAsia" w:eastAsia="仿宋_GB2312"/>
                <w:color w:val="auto"/>
                <w:sz w:val="28"/>
                <w:szCs w:val="24"/>
                <w:shd w:val="clear" w:color="auto" w:fill="FFFFFF"/>
              </w:rPr>
              <w:t>安全风险评估</w:t>
            </w:r>
            <w:r>
              <w:rPr>
                <w:rFonts w:hint="eastAsia" w:ascii="宋体" w:hAnsi="宋体" w:eastAsia="仿宋_GB2312" w:cs="宋体"/>
                <w:color w:val="auto"/>
                <w:sz w:val="28"/>
                <w:szCs w:val="24"/>
                <w:shd w:val="clear" w:color="auto" w:fill="FFFFFF"/>
              </w:rPr>
              <w:t>及风险防范措施</w:t>
            </w:r>
            <w:r>
              <w:rPr>
                <w:rFonts w:hint="eastAsia" w:ascii="宋体" w:hAnsi="宋体" w:eastAsia="仿宋_GB2312" w:cs="宋体"/>
                <w:color w:val="auto"/>
                <w:sz w:val="28"/>
                <w:szCs w:val="24"/>
                <w:shd w:val="clear" w:color="auto" w:fill="FFFFFF"/>
                <w:lang w:eastAsia="zh-CN"/>
              </w:rPr>
              <w:t>，确保达到</w:t>
            </w:r>
            <w:r>
              <w:rPr>
                <w:rStyle w:val="55"/>
                <w:rFonts w:hint="eastAsia" w:ascii="Times New Roman" w:hAnsi="Times New Roman" w:eastAsia="仿宋_GB2312"/>
                <w:color w:val="auto"/>
                <w:sz w:val="28"/>
                <w:szCs w:val="28"/>
                <w:highlight w:val="none"/>
                <w:lang w:val="en-US" w:eastAsia="zh-CN"/>
              </w:rPr>
              <w:t>建筑垃圾安全处置率100%的要求</w:t>
            </w:r>
            <w:r>
              <w:rPr>
                <w:rFonts w:hint="eastAsia" w:eastAsia="仿宋_GB2312"/>
                <w:color w:val="auto"/>
                <w:sz w:val="28"/>
                <w:szCs w:val="28"/>
                <w:lang w:val="en-US" w:eastAsia="zh-CN"/>
              </w:rPr>
              <w:t>。</w:t>
            </w:r>
          </w:p>
        </w:tc>
      </w:tr>
      <w:tr w14:paraId="7E6A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trPr>
        <w:tc>
          <w:tcPr>
            <w:tcW w:w="465" w:type="pct"/>
            <w:vAlign w:val="center"/>
          </w:tcPr>
          <w:p w14:paraId="0CD47F46">
            <w:pPr>
              <w:spacing w:line="340" w:lineRule="exact"/>
              <w:jc w:val="center"/>
              <w:rPr>
                <w:rFonts w:ascii="Times New Roman" w:hAnsi="Times New Roman" w:eastAsia="仿宋_GB2312"/>
                <w:color w:val="auto"/>
                <w:sz w:val="28"/>
                <w:szCs w:val="28"/>
              </w:rPr>
            </w:pPr>
            <w:r>
              <w:rPr>
                <w:rFonts w:hint="eastAsia" w:ascii="Times New Roman" w:hAnsi="Times New Roman" w:eastAsia="仿宋_GB2312"/>
                <w:color w:val="auto"/>
                <w:sz w:val="28"/>
                <w:szCs w:val="28"/>
              </w:rPr>
              <w:t>2</w:t>
            </w:r>
          </w:p>
        </w:tc>
        <w:tc>
          <w:tcPr>
            <w:tcW w:w="1130" w:type="pct"/>
            <w:vAlign w:val="center"/>
          </w:tcPr>
          <w:p w14:paraId="63BC6FB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olor w:val="auto"/>
                <w:sz w:val="28"/>
                <w:szCs w:val="28"/>
              </w:rPr>
            </w:pPr>
            <w:r>
              <w:rPr>
                <w:rFonts w:hint="eastAsia" w:ascii="仿宋_GB2312" w:hAnsi="仿宋_GB2312" w:eastAsia="仿宋_GB2312" w:cs="仿宋_GB2312"/>
                <w:color w:val="auto"/>
                <w:spacing w:val="0"/>
                <w:kern w:val="2"/>
                <w:sz w:val="28"/>
                <w:szCs w:val="28"/>
                <w:highlight w:val="none"/>
                <w:lang w:val="en-US" w:eastAsia="zh-CN" w:bidi="ar-SA"/>
              </w:rPr>
              <w:t>建筑垃圾综合利用率</w:t>
            </w:r>
          </w:p>
        </w:tc>
        <w:tc>
          <w:tcPr>
            <w:tcW w:w="3403" w:type="pct"/>
            <w:vAlign w:val="center"/>
          </w:tcPr>
          <w:p w14:paraId="164C90EE">
            <w:pPr>
              <w:spacing w:line="340" w:lineRule="exact"/>
              <w:jc w:val="both"/>
              <w:rPr>
                <w:rFonts w:hint="eastAsia" w:ascii="Times New Roman" w:hAnsi="Times New Roman" w:eastAsia="仿宋_GB2312"/>
                <w:color w:val="auto"/>
                <w:sz w:val="28"/>
                <w:szCs w:val="28"/>
                <w:lang w:eastAsia="zh-CN"/>
              </w:rPr>
            </w:pPr>
            <w:r>
              <w:rPr>
                <w:rFonts w:ascii="Times New Roman" w:hAnsi="Times New Roman" w:eastAsia="仿宋_GB2312"/>
                <w:color w:val="auto"/>
                <w:sz w:val="28"/>
                <w:szCs w:val="28"/>
              </w:rPr>
              <w:t>可达</w:t>
            </w:r>
            <w:r>
              <w:rPr>
                <w:rFonts w:hint="eastAsia" w:ascii="Times New Roman" w:hAnsi="Times New Roman" w:eastAsia="仿宋_GB2312"/>
                <w:color w:val="auto"/>
                <w:sz w:val="28"/>
                <w:szCs w:val="28"/>
              </w:rPr>
              <w:t>，</w:t>
            </w:r>
            <w:r>
              <w:rPr>
                <w:rFonts w:hint="eastAsia" w:ascii="Times New Roman" w:hAnsi="Times New Roman" w:eastAsia="仿宋_GB2312"/>
                <w:color w:val="auto"/>
                <w:sz w:val="28"/>
                <w:szCs w:val="28"/>
                <w:lang w:val="en-US" w:eastAsia="zh-CN"/>
              </w:rPr>
              <w:t>本指标指建筑垃圾通过工程回填、土地平整、资源化利用、堆山造景、修基筑路等方式处置汇总的利用量，占同期建筑垃圾总排放量的百分比</w:t>
            </w:r>
            <w:r>
              <w:rPr>
                <w:rFonts w:hint="eastAsia" w:eastAsia="仿宋_GB2312"/>
                <w:color w:val="auto"/>
                <w:sz w:val="28"/>
                <w:szCs w:val="28"/>
                <w:lang w:val="en-US" w:eastAsia="zh-CN"/>
              </w:rPr>
              <w:t>。根据现状数据不完全统计，基期值已达78%。通过进一步建立健全建筑垃圾治理和综合利用体系，规范建筑垃圾分类处理和跨区域平衡处置，</w:t>
            </w:r>
            <w:r>
              <w:rPr>
                <w:rFonts w:ascii="Times New Roman" w:hAnsi="Times New Roman" w:eastAsia="仿宋_GB2312"/>
                <w:color w:val="auto"/>
                <w:sz w:val="28"/>
                <w:szCs w:val="28"/>
              </w:rPr>
              <w:t>可</w:t>
            </w:r>
            <w:r>
              <w:rPr>
                <w:rFonts w:hint="eastAsia" w:eastAsia="仿宋_GB2312"/>
                <w:color w:val="auto"/>
                <w:sz w:val="28"/>
                <w:szCs w:val="28"/>
                <w:lang w:val="en-US" w:eastAsia="zh-CN"/>
              </w:rPr>
              <w:t>进一步</w:t>
            </w:r>
            <w:r>
              <w:rPr>
                <w:rFonts w:ascii="Times New Roman" w:hAnsi="Times New Roman" w:eastAsia="仿宋_GB2312"/>
                <w:color w:val="auto"/>
                <w:sz w:val="28"/>
                <w:szCs w:val="28"/>
              </w:rPr>
              <w:t>提高</w:t>
            </w:r>
            <w:r>
              <w:rPr>
                <w:rFonts w:hint="eastAsia" w:eastAsia="仿宋_GB2312"/>
                <w:color w:val="auto"/>
                <w:sz w:val="28"/>
                <w:szCs w:val="28"/>
                <w:lang w:val="en-US" w:eastAsia="zh-CN"/>
              </w:rPr>
              <w:t>建筑垃圾综合</w:t>
            </w:r>
            <w:r>
              <w:rPr>
                <w:rFonts w:ascii="Times New Roman" w:hAnsi="Times New Roman" w:eastAsia="仿宋_GB2312"/>
                <w:color w:val="auto"/>
                <w:sz w:val="28"/>
                <w:szCs w:val="28"/>
              </w:rPr>
              <w:t>利用率</w:t>
            </w:r>
            <w:r>
              <w:rPr>
                <w:rFonts w:hint="eastAsia" w:eastAsia="仿宋_GB2312"/>
                <w:color w:val="auto"/>
                <w:sz w:val="28"/>
                <w:szCs w:val="28"/>
                <w:lang w:eastAsia="zh-CN"/>
              </w:rPr>
              <w:t>，</w:t>
            </w:r>
            <w:r>
              <w:rPr>
                <w:rFonts w:hint="eastAsia" w:eastAsia="仿宋_GB2312"/>
                <w:color w:val="auto"/>
                <w:sz w:val="28"/>
                <w:szCs w:val="28"/>
                <w:lang w:val="en-US" w:eastAsia="zh-CN"/>
              </w:rPr>
              <w:t>确保达到规划指标要求</w:t>
            </w:r>
            <w:r>
              <w:rPr>
                <w:rFonts w:hint="eastAsia" w:eastAsia="仿宋_GB2312"/>
                <w:color w:val="auto"/>
                <w:sz w:val="28"/>
                <w:szCs w:val="28"/>
                <w:lang w:eastAsia="zh-CN"/>
              </w:rPr>
              <w:t>。</w:t>
            </w:r>
          </w:p>
        </w:tc>
      </w:tr>
      <w:tr w14:paraId="40C5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1" w:hRule="atLeast"/>
        </w:trPr>
        <w:tc>
          <w:tcPr>
            <w:tcW w:w="465" w:type="pct"/>
            <w:vAlign w:val="center"/>
          </w:tcPr>
          <w:p w14:paraId="1F616B69">
            <w:pPr>
              <w:spacing w:line="340" w:lineRule="exact"/>
              <w:jc w:val="center"/>
              <w:rPr>
                <w:rFonts w:ascii="Times New Roman" w:hAnsi="Times New Roman" w:eastAsia="仿宋_GB2312"/>
                <w:color w:val="auto"/>
                <w:sz w:val="28"/>
                <w:szCs w:val="28"/>
              </w:rPr>
            </w:pPr>
            <w:r>
              <w:rPr>
                <w:rFonts w:hint="eastAsia" w:ascii="Times New Roman" w:hAnsi="Times New Roman" w:eastAsia="仿宋_GB2312"/>
                <w:color w:val="auto"/>
                <w:sz w:val="28"/>
                <w:szCs w:val="28"/>
              </w:rPr>
              <w:t>3</w:t>
            </w:r>
          </w:p>
        </w:tc>
        <w:tc>
          <w:tcPr>
            <w:tcW w:w="1130" w:type="pct"/>
            <w:vAlign w:val="center"/>
          </w:tcPr>
          <w:p w14:paraId="3EDE9BA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olor w:val="auto"/>
                <w:sz w:val="28"/>
                <w:szCs w:val="28"/>
              </w:rPr>
            </w:pPr>
            <w:r>
              <w:rPr>
                <w:rFonts w:hint="eastAsia" w:ascii="仿宋_GB2312" w:hAnsi="仿宋_GB2312" w:eastAsia="仿宋_GB2312" w:cs="仿宋_GB2312"/>
                <w:color w:val="auto"/>
                <w:spacing w:val="0"/>
                <w:kern w:val="2"/>
                <w:sz w:val="28"/>
                <w:szCs w:val="28"/>
                <w:highlight w:val="none"/>
                <w:lang w:val="en-US" w:eastAsia="zh-CN" w:bidi="ar-SA"/>
              </w:rPr>
              <w:t>建筑垃圾资源化利用率</w:t>
            </w:r>
          </w:p>
        </w:tc>
        <w:tc>
          <w:tcPr>
            <w:tcW w:w="3403" w:type="pct"/>
            <w:vAlign w:val="center"/>
          </w:tcPr>
          <w:p w14:paraId="5110D462">
            <w:pPr>
              <w:spacing w:line="340" w:lineRule="exact"/>
              <w:jc w:val="both"/>
              <w:rPr>
                <w:rFonts w:hint="eastAsia" w:ascii="Times New Roman" w:hAnsi="Times New Roman" w:eastAsia="仿宋_GB2312"/>
                <w:color w:val="auto"/>
                <w:sz w:val="28"/>
                <w:szCs w:val="28"/>
                <w:lang w:eastAsia="zh-CN"/>
              </w:rPr>
            </w:pPr>
            <w:r>
              <w:rPr>
                <w:rFonts w:ascii="Times New Roman" w:hAnsi="Times New Roman" w:eastAsia="仿宋_GB2312"/>
                <w:color w:val="auto"/>
                <w:sz w:val="28"/>
                <w:szCs w:val="28"/>
              </w:rPr>
              <w:t>可达</w:t>
            </w:r>
            <w:r>
              <w:rPr>
                <w:rFonts w:hint="eastAsia" w:ascii="Times New Roman" w:hAnsi="Times New Roman" w:eastAsia="仿宋_GB2312"/>
                <w:color w:val="auto"/>
                <w:sz w:val="28"/>
                <w:szCs w:val="28"/>
              </w:rPr>
              <w:t>，</w:t>
            </w:r>
            <w:r>
              <w:rPr>
                <w:rFonts w:hint="eastAsia" w:ascii="Times New Roman" w:hAnsi="Times New Roman" w:eastAsia="仿宋_GB2312"/>
                <w:color w:val="auto"/>
                <w:sz w:val="28"/>
                <w:szCs w:val="28"/>
                <w:lang w:val="en-US" w:eastAsia="zh-CN"/>
              </w:rPr>
              <w:t>本指标指</w:t>
            </w:r>
            <w:r>
              <w:rPr>
                <w:rFonts w:hint="eastAsia" w:ascii="Times New Roman" w:hAnsi="Times New Roman" w:eastAsia="仿宋_GB2312"/>
                <w:color w:val="auto"/>
                <w:sz w:val="28"/>
                <w:szCs w:val="28"/>
                <w:lang w:eastAsia="zh-CN"/>
              </w:rPr>
              <w:t>建筑垃圾中工程垃圾、装修垃圾和拆除垃圾的资源化利用量，占这三类建筑垃圾产生总量</w:t>
            </w:r>
            <w:r>
              <w:rPr>
                <w:rFonts w:hint="eastAsia" w:eastAsia="仿宋_GB2312"/>
                <w:color w:val="auto"/>
                <w:sz w:val="28"/>
                <w:szCs w:val="28"/>
                <w:lang w:eastAsia="zh-CN"/>
              </w:rPr>
              <w:t>（</w:t>
            </w:r>
            <w:r>
              <w:rPr>
                <w:rFonts w:hint="eastAsia" w:ascii="Times New Roman" w:hAnsi="Times New Roman" w:eastAsia="仿宋_GB2312"/>
                <w:color w:val="auto"/>
                <w:sz w:val="28"/>
                <w:szCs w:val="28"/>
                <w:lang w:eastAsia="zh-CN"/>
              </w:rPr>
              <w:t>不含工程渣土、工程泥浆</w:t>
            </w:r>
            <w:r>
              <w:rPr>
                <w:rFonts w:hint="eastAsia" w:eastAsia="仿宋_GB2312"/>
                <w:color w:val="auto"/>
                <w:sz w:val="28"/>
                <w:szCs w:val="28"/>
                <w:lang w:eastAsia="zh-CN"/>
              </w:rPr>
              <w:t>）</w:t>
            </w:r>
            <w:r>
              <w:rPr>
                <w:rFonts w:hint="eastAsia" w:ascii="Times New Roman" w:hAnsi="Times New Roman" w:eastAsia="仿宋_GB2312"/>
                <w:color w:val="auto"/>
                <w:sz w:val="28"/>
                <w:szCs w:val="28"/>
                <w:lang w:eastAsia="zh-CN"/>
              </w:rPr>
              <w:t>的比值。</w:t>
            </w:r>
            <w:r>
              <w:rPr>
                <w:rFonts w:hint="eastAsia" w:eastAsia="仿宋_GB2312"/>
                <w:color w:val="auto"/>
                <w:sz w:val="28"/>
                <w:szCs w:val="28"/>
                <w:lang w:val="en-US" w:eastAsia="zh-CN"/>
              </w:rPr>
              <w:t>根据现状数据不完全统计，全省建筑垃圾资源化利用率已基本达50%以上。通过规范建筑垃圾分类收运处理、政策扶持建筑垃圾资源化利用企业以及积极推广再生产品应用等措施，将加速推进建筑垃圾资源化产业发展，可确保建筑</w:t>
            </w:r>
            <w:r>
              <w:rPr>
                <w:rFonts w:ascii="Times New Roman" w:hAnsi="Times New Roman" w:eastAsia="仿宋_GB2312"/>
                <w:color w:val="auto"/>
                <w:sz w:val="28"/>
                <w:szCs w:val="28"/>
              </w:rPr>
              <w:t>垃圾资源化利用率</w:t>
            </w:r>
            <w:r>
              <w:rPr>
                <w:rFonts w:hint="eastAsia" w:ascii="Times New Roman" w:hAnsi="Times New Roman" w:eastAsia="仿宋_GB2312"/>
                <w:color w:val="auto"/>
                <w:sz w:val="28"/>
                <w:szCs w:val="28"/>
                <w:lang w:val="en-US" w:eastAsia="zh-CN"/>
              </w:rPr>
              <w:t>达到要求。</w:t>
            </w:r>
          </w:p>
        </w:tc>
      </w:tr>
      <w:tr w14:paraId="3538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trPr>
        <w:tc>
          <w:tcPr>
            <w:tcW w:w="465" w:type="pct"/>
            <w:vAlign w:val="center"/>
          </w:tcPr>
          <w:p w14:paraId="6D003E77">
            <w:pPr>
              <w:spacing w:line="340" w:lineRule="exact"/>
              <w:jc w:val="center"/>
              <w:rPr>
                <w:rFonts w:ascii="Times New Roman" w:hAnsi="Times New Roman" w:eastAsia="仿宋_GB2312"/>
                <w:color w:val="auto"/>
                <w:sz w:val="28"/>
                <w:szCs w:val="28"/>
              </w:rPr>
            </w:pPr>
            <w:r>
              <w:rPr>
                <w:rFonts w:hint="eastAsia" w:ascii="Times New Roman" w:hAnsi="Times New Roman" w:eastAsia="仿宋_GB2312"/>
                <w:color w:val="auto"/>
                <w:sz w:val="28"/>
                <w:szCs w:val="28"/>
              </w:rPr>
              <w:t>4</w:t>
            </w:r>
          </w:p>
        </w:tc>
        <w:tc>
          <w:tcPr>
            <w:tcW w:w="1130" w:type="pct"/>
            <w:vAlign w:val="center"/>
          </w:tcPr>
          <w:p w14:paraId="0670381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olor w:val="auto"/>
                <w:sz w:val="28"/>
                <w:szCs w:val="28"/>
              </w:rPr>
            </w:pPr>
            <w:r>
              <w:rPr>
                <w:rFonts w:hint="eastAsia" w:ascii="仿宋_GB2312" w:hAnsi="仿宋_GB2312" w:eastAsia="仿宋_GB2312" w:cs="仿宋_GB2312"/>
                <w:color w:val="auto"/>
                <w:spacing w:val="0"/>
                <w:kern w:val="2"/>
                <w:sz w:val="28"/>
                <w:szCs w:val="28"/>
                <w:highlight w:val="none"/>
                <w:lang w:val="en-US" w:eastAsia="zh-CN" w:bidi="ar-SA"/>
              </w:rPr>
              <w:t>建筑垃圾在线监管率</w:t>
            </w:r>
          </w:p>
        </w:tc>
        <w:tc>
          <w:tcPr>
            <w:tcW w:w="3403" w:type="pct"/>
            <w:vAlign w:val="center"/>
          </w:tcPr>
          <w:p w14:paraId="356EB4EC">
            <w:pPr>
              <w:spacing w:line="340" w:lineRule="exact"/>
              <w:jc w:val="both"/>
              <w:rPr>
                <w:rFonts w:hint="eastAsia" w:ascii="Times New Roman" w:hAnsi="Times New Roman" w:eastAsia="仿宋_GB2312"/>
                <w:color w:val="auto"/>
                <w:sz w:val="28"/>
                <w:szCs w:val="28"/>
                <w:lang w:eastAsia="zh-CN"/>
              </w:rPr>
            </w:pPr>
            <w:r>
              <w:rPr>
                <w:rFonts w:ascii="Times New Roman" w:hAnsi="Times New Roman" w:eastAsia="仿宋_GB2312"/>
                <w:color w:val="auto"/>
                <w:sz w:val="28"/>
                <w:szCs w:val="28"/>
              </w:rPr>
              <w:t>可达</w:t>
            </w:r>
            <w:r>
              <w:rPr>
                <w:rFonts w:hint="eastAsia" w:ascii="Times New Roman" w:hAnsi="Times New Roman" w:eastAsia="仿宋_GB2312"/>
                <w:color w:val="auto"/>
                <w:sz w:val="28"/>
                <w:szCs w:val="28"/>
              </w:rPr>
              <w:t>，</w:t>
            </w:r>
            <w:r>
              <w:rPr>
                <w:rFonts w:hint="eastAsia" w:eastAsia="仿宋_GB2312"/>
                <w:color w:val="auto"/>
                <w:sz w:val="28"/>
                <w:szCs w:val="28"/>
                <w:lang w:val="en-US" w:eastAsia="zh-CN"/>
              </w:rPr>
              <w:t>目前广州市已建立智慧监管平台，通过构建建筑垃圾全过程监管体系、综合信息管理平台、行业信息化服务系统和资源化利用综合评价系统，可</w:t>
            </w:r>
            <w:r>
              <w:rPr>
                <w:rFonts w:hint="eastAsia" w:ascii="Times New Roman" w:hAnsi="Times New Roman" w:eastAsia="仿宋_GB2312"/>
                <w:color w:val="auto"/>
                <w:sz w:val="28"/>
                <w:szCs w:val="28"/>
              </w:rPr>
              <w:t>进一步完善</w:t>
            </w:r>
            <w:r>
              <w:rPr>
                <w:rFonts w:hint="eastAsia" w:ascii="Times New Roman" w:hAnsi="Times New Roman" w:eastAsia="仿宋_GB2312"/>
                <w:i w:val="0"/>
                <w:iCs w:val="0"/>
                <w:color w:val="auto"/>
                <w:sz w:val="28"/>
                <w:szCs w:val="28"/>
                <w:highlight w:val="none"/>
                <w:lang w:val="en-US" w:eastAsia="zh-CN"/>
              </w:rPr>
              <w:t>建筑垃圾“产、运、消、利”全流程在线监控</w:t>
            </w:r>
            <w:r>
              <w:rPr>
                <w:rFonts w:hint="eastAsia" w:eastAsia="仿宋_GB2312"/>
                <w:i w:val="0"/>
                <w:iCs w:val="0"/>
                <w:color w:val="auto"/>
                <w:sz w:val="28"/>
                <w:szCs w:val="28"/>
                <w:highlight w:val="none"/>
                <w:lang w:val="en-US" w:eastAsia="zh-CN"/>
              </w:rPr>
              <w:t>工作</w:t>
            </w:r>
            <w:r>
              <w:rPr>
                <w:rFonts w:hint="eastAsia" w:ascii="Times New Roman" w:hAnsi="Times New Roman" w:eastAsia="仿宋_GB2312"/>
                <w:color w:val="auto"/>
                <w:sz w:val="28"/>
                <w:szCs w:val="28"/>
              </w:rPr>
              <w:t>，</w:t>
            </w:r>
            <w:r>
              <w:rPr>
                <w:rFonts w:hint="eastAsia" w:eastAsia="仿宋_GB2312"/>
                <w:color w:val="auto"/>
                <w:sz w:val="28"/>
                <w:szCs w:val="28"/>
                <w:lang w:val="en-US" w:eastAsia="zh-CN"/>
              </w:rPr>
              <w:t>确保</w:t>
            </w:r>
            <w:r>
              <w:rPr>
                <w:rFonts w:hint="eastAsia" w:ascii="Times New Roman" w:hAnsi="Times New Roman" w:eastAsia="仿宋_GB2312"/>
                <w:color w:val="auto"/>
                <w:sz w:val="28"/>
                <w:szCs w:val="28"/>
                <w:lang w:val="en-US" w:eastAsia="zh-CN"/>
              </w:rPr>
              <w:t>建筑垃圾在线监管</w:t>
            </w:r>
            <w:r>
              <w:rPr>
                <w:rFonts w:hint="eastAsia" w:ascii="Times New Roman" w:hAnsi="Times New Roman" w:eastAsia="仿宋_GB2312"/>
                <w:color w:val="auto"/>
                <w:sz w:val="28"/>
                <w:szCs w:val="28"/>
              </w:rPr>
              <w:t>率</w:t>
            </w:r>
            <w:r>
              <w:rPr>
                <w:rFonts w:hint="eastAsia" w:eastAsia="仿宋_GB2312"/>
                <w:color w:val="auto"/>
                <w:sz w:val="28"/>
                <w:szCs w:val="28"/>
                <w:lang w:val="en-US" w:eastAsia="zh-CN"/>
              </w:rPr>
              <w:t>达到要求</w:t>
            </w:r>
            <w:r>
              <w:rPr>
                <w:rFonts w:hint="eastAsia" w:eastAsia="仿宋_GB2312"/>
                <w:color w:val="auto"/>
                <w:sz w:val="28"/>
                <w:szCs w:val="28"/>
                <w:lang w:eastAsia="zh-CN"/>
              </w:rPr>
              <w:t>。</w:t>
            </w:r>
          </w:p>
        </w:tc>
      </w:tr>
      <w:tr w14:paraId="6FBF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trPr>
        <w:tc>
          <w:tcPr>
            <w:tcW w:w="465" w:type="pct"/>
            <w:vAlign w:val="center"/>
          </w:tcPr>
          <w:p w14:paraId="43D79D15">
            <w:pPr>
              <w:spacing w:line="340" w:lineRule="exact"/>
              <w:jc w:val="center"/>
              <w:rPr>
                <w:rFonts w:ascii="Times New Roman" w:hAnsi="Times New Roman" w:eastAsia="仿宋_GB2312"/>
                <w:color w:val="auto"/>
                <w:sz w:val="28"/>
                <w:szCs w:val="28"/>
              </w:rPr>
            </w:pPr>
            <w:r>
              <w:rPr>
                <w:rFonts w:hint="eastAsia" w:ascii="Times New Roman" w:hAnsi="Times New Roman" w:eastAsia="仿宋_GB2312"/>
                <w:color w:val="auto"/>
                <w:sz w:val="28"/>
                <w:szCs w:val="28"/>
              </w:rPr>
              <w:t>5</w:t>
            </w:r>
          </w:p>
        </w:tc>
        <w:tc>
          <w:tcPr>
            <w:tcW w:w="1130" w:type="pct"/>
            <w:vAlign w:val="center"/>
          </w:tcPr>
          <w:p w14:paraId="70B6FE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olor w:val="auto"/>
                <w:sz w:val="28"/>
                <w:szCs w:val="28"/>
                <w:lang w:eastAsia="zh-TW"/>
              </w:rPr>
            </w:pPr>
            <w:r>
              <w:rPr>
                <w:rFonts w:hint="eastAsia" w:ascii="仿宋_GB2312" w:hAnsi="仿宋_GB2312" w:eastAsia="仿宋_GB2312" w:cs="仿宋_GB2312"/>
                <w:color w:val="auto"/>
                <w:spacing w:val="0"/>
                <w:kern w:val="2"/>
                <w:sz w:val="28"/>
                <w:szCs w:val="28"/>
                <w:highlight w:val="none"/>
                <w:lang w:val="en-US" w:eastAsia="zh-CN" w:bidi="ar-SA"/>
              </w:rPr>
              <w:t>建筑垃圾密闭化运输率</w:t>
            </w:r>
          </w:p>
        </w:tc>
        <w:tc>
          <w:tcPr>
            <w:tcW w:w="3403" w:type="pct"/>
            <w:vAlign w:val="center"/>
          </w:tcPr>
          <w:p w14:paraId="1CA850EF">
            <w:pPr>
              <w:spacing w:line="340" w:lineRule="exact"/>
              <w:jc w:val="both"/>
              <w:rPr>
                <w:rFonts w:hint="default" w:ascii="Times New Roman" w:hAnsi="Times New Roman" w:eastAsia="仿宋_GB2312"/>
                <w:color w:val="auto"/>
                <w:sz w:val="28"/>
                <w:szCs w:val="28"/>
                <w:lang w:val="en-US" w:eastAsia="zh-CN"/>
              </w:rPr>
            </w:pPr>
            <w:r>
              <w:rPr>
                <w:rFonts w:ascii="Times New Roman" w:hAnsi="Times New Roman" w:eastAsia="仿宋_GB2312"/>
                <w:color w:val="auto"/>
                <w:sz w:val="28"/>
                <w:szCs w:val="28"/>
              </w:rPr>
              <w:t>可达</w:t>
            </w:r>
            <w:r>
              <w:rPr>
                <w:rFonts w:hint="eastAsia" w:ascii="Times New Roman" w:hAnsi="Times New Roman" w:eastAsia="仿宋_GB2312"/>
                <w:color w:val="auto"/>
                <w:sz w:val="28"/>
                <w:szCs w:val="28"/>
              </w:rPr>
              <w:t>，</w:t>
            </w:r>
            <w:r>
              <w:rPr>
                <w:rFonts w:hint="eastAsia" w:ascii="Times New Roman" w:hAnsi="Times New Roman" w:eastAsia="仿宋_GB2312"/>
                <w:color w:val="auto"/>
                <w:sz w:val="28"/>
                <w:szCs w:val="28"/>
                <w:lang w:val="en-US" w:eastAsia="zh-CN"/>
              </w:rPr>
              <w:t>《建设部关于纳入国务院决定的十五项行政许可的条件的规定》</w:t>
            </w:r>
            <w:r>
              <w:rPr>
                <w:rFonts w:hint="eastAsia" w:eastAsia="仿宋_GB2312"/>
                <w:color w:val="auto"/>
                <w:sz w:val="28"/>
                <w:szCs w:val="28"/>
                <w:lang w:val="en-US" w:eastAsia="zh-CN"/>
              </w:rPr>
              <w:t>、</w:t>
            </w:r>
            <w:r>
              <w:rPr>
                <w:rFonts w:hint="eastAsia" w:ascii="Times New Roman" w:hAnsi="Times New Roman" w:eastAsia="仿宋_GB2312"/>
                <w:i w:val="0"/>
                <w:iCs w:val="0"/>
                <w:color w:val="auto"/>
                <w:sz w:val="28"/>
                <w:szCs w:val="28"/>
                <w:highlight w:val="none"/>
                <w:lang w:val="en-US" w:eastAsia="zh-CN"/>
              </w:rPr>
              <w:t>《广东省建筑垃圾管理条例》</w:t>
            </w:r>
            <w:r>
              <w:rPr>
                <w:rFonts w:hint="eastAsia" w:eastAsia="仿宋_GB2312"/>
                <w:i w:val="0"/>
                <w:iCs w:val="0"/>
                <w:color w:val="auto"/>
                <w:sz w:val="28"/>
                <w:szCs w:val="28"/>
                <w:highlight w:val="none"/>
                <w:lang w:val="en-US" w:eastAsia="zh-CN"/>
              </w:rPr>
              <w:t>及《关于进一步加强渣土运输车辆管理的通知》已做出明确规定，运输车辆应具备全密闭运输机械装置或密闭苫盖装置。</w:t>
            </w:r>
            <w:r>
              <w:rPr>
                <w:rFonts w:ascii="Times New Roman" w:hAnsi="Times New Roman" w:eastAsia="仿宋_GB2312"/>
                <w:color w:val="auto"/>
                <w:sz w:val="28"/>
                <w:szCs w:val="28"/>
              </w:rPr>
              <w:t>通过</w:t>
            </w:r>
            <w:r>
              <w:rPr>
                <w:rFonts w:hint="eastAsia" w:ascii="Times New Roman" w:hAnsi="Times New Roman" w:eastAsia="仿宋_GB2312"/>
                <w:color w:val="auto"/>
                <w:sz w:val="28"/>
                <w:szCs w:val="28"/>
                <w:lang w:val="en-US" w:eastAsia="zh-CN"/>
              </w:rPr>
              <w:t>进一步</w:t>
            </w:r>
            <w:r>
              <w:rPr>
                <w:rFonts w:ascii="Times New Roman" w:hAnsi="Times New Roman" w:eastAsia="仿宋_GB2312"/>
                <w:color w:val="auto"/>
                <w:sz w:val="28"/>
                <w:szCs w:val="28"/>
              </w:rPr>
              <w:t>提高</w:t>
            </w:r>
            <w:r>
              <w:rPr>
                <w:rFonts w:hint="eastAsia" w:ascii="Times New Roman" w:hAnsi="Times New Roman" w:eastAsia="仿宋_GB2312"/>
                <w:color w:val="auto"/>
                <w:sz w:val="28"/>
                <w:szCs w:val="28"/>
                <w:lang w:val="en-US" w:eastAsia="zh-CN"/>
              </w:rPr>
              <w:t>执法监督检查工作</w:t>
            </w:r>
            <w:r>
              <w:rPr>
                <w:rFonts w:hint="eastAsia" w:eastAsia="仿宋_GB2312"/>
                <w:color w:val="auto"/>
                <w:sz w:val="28"/>
                <w:szCs w:val="28"/>
                <w:lang w:val="en-US" w:eastAsia="zh-CN"/>
              </w:rPr>
              <w:t>，规范建筑垃圾运输环节</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可</w:t>
            </w:r>
            <w:r>
              <w:rPr>
                <w:rFonts w:hint="eastAsia" w:ascii="Times New Roman" w:hAnsi="Times New Roman" w:eastAsia="仿宋_GB2312"/>
                <w:color w:val="auto"/>
                <w:sz w:val="28"/>
                <w:szCs w:val="28"/>
                <w:lang w:val="en-US" w:eastAsia="zh-CN"/>
              </w:rPr>
              <w:t>满足</w:t>
            </w:r>
            <w:r>
              <w:rPr>
                <w:rFonts w:hint="eastAsia" w:eastAsia="仿宋_GB2312"/>
                <w:color w:val="auto"/>
                <w:sz w:val="28"/>
                <w:szCs w:val="28"/>
                <w:lang w:val="en-US" w:eastAsia="zh-CN"/>
              </w:rPr>
              <w:t>建筑垃圾</w:t>
            </w:r>
            <w:r>
              <w:rPr>
                <w:rFonts w:hint="eastAsia" w:ascii="Times New Roman" w:hAnsi="Times New Roman" w:eastAsia="仿宋_GB2312"/>
                <w:color w:val="auto"/>
                <w:sz w:val="28"/>
                <w:szCs w:val="28"/>
                <w:lang w:val="en-US" w:eastAsia="zh-CN"/>
              </w:rPr>
              <w:t>密闭化运输</w:t>
            </w:r>
            <w:r>
              <w:rPr>
                <w:rFonts w:hint="eastAsia" w:eastAsia="仿宋_GB2312"/>
                <w:color w:val="auto"/>
                <w:sz w:val="28"/>
                <w:szCs w:val="28"/>
                <w:lang w:val="en-US" w:eastAsia="zh-CN"/>
              </w:rPr>
              <w:t>率</w:t>
            </w:r>
            <w:r>
              <w:rPr>
                <w:rFonts w:hint="eastAsia" w:ascii="Times New Roman" w:hAnsi="Times New Roman" w:eastAsia="仿宋_GB2312"/>
                <w:color w:val="auto"/>
                <w:sz w:val="28"/>
                <w:szCs w:val="28"/>
                <w:lang w:val="en-US" w:eastAsia="zh-CN"/>
              </w:rPr>
              <w:t>要求</w:t>
            </w:r>
            <w:r>
              <w:rPr>
                <w:rFonts w:hint="eastAsia" w:eastAsia="仿宋_GB2312"/>
                <w:color w:val="auto"/>
                <w:sz w:val="28"/>
                <w:szCs w:val="28"/>
                <w:lang w:val="en-US" w:eastAsia="zh-CN"/>
              </w:rPr>
              <w:t>。</w:t>
            </w:r>
          </w:p>
        </w:tc>
      </w:tr>
      <w:tr w14:paraId="7D30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7" w:hRule="atLeast"/>
        </w:trPr>
        <w:tc>
          <w:tcPr>
            <w:tcW w:w="465" w:type="pct"/>
            <w:vAlign w:val="center"/>
          </w:tcPr>
          <w:p w14:paraId="2CCB1D6D">
            <w:pPr>
              <w:spacing w:line="340" w:lineRule="exact"/>
              <w:jc w:val="center"/>
              <w:rPr>
                <w:rFonts w:ascii="Times New Roman" w:hAnsi="Times New Roman" w:eastAsia="仿宋_GB2312"/>
                <w:color w:val="auto"/>
                <w:sz w:val="28"/>
                <w:szCs w:val="28"/>
              </w:rPr>
            </w:pPr>
            <w:r>
              <w:rPr>
                <w:rFonts w:hint="eastAsia" w:ascii="Times New Roman" w:hAnsi="Times New Roman" w:eastAsia="仿宋_GB2312"/>
                <w:color w:val="auto"/>
                <w:sz w:val="28"/>
                <w:szCs w:val="28"/>
              </w:rPr>
              <w:t>6</w:t>
            </w:r>
          </w:p>
        </w:tc>
        <w:tc>
          <w:tcPr>
            <w:tcW w:w="1130" w:type="pct"/>
            <w:vAlign w:val="center"/>
          </w:tcPr>
          <w:p w14:paraId="6115E71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olor w:val="auto"/>
                <w:sz w:val="28"/>
                <w:szCs w:val="28"/>
              </w:rPr>
            </w:pPr>
            <w:r>
              <w:rPr>
                <w:rFonts w:hint="eastAsia" w:ascii="仿宋_GB2312" w:hAnsi="仿宋_GB2312" w:eastAsia="仿宋_GB2312" w:cs="仿宋_GB2312"/>
                <w:color w:val="auto"/>
                <w:spacing w:val="0"/>
                <w:kern w:val="2"/>
                <w:sz w:val="28"/>
                <w:szCs w:val="28"/>
                <w:highlight w:val="none"/>
                <w:lang w:val="en-US" w:eastAsia="zh-CN" w:bidi="ar-SA"/>
              </w:rPr>
              <w:t>新建建筑施工现场建筑垃圾排放量（不包括  工程渣土、 工程泥浆）</w:t>
            </w:r>
          </w:p>
        </w:tc>
        <w:tc>
          <w:tcPr>
            <w:tcW w:w="3403" w:type="pct"/>
            <w:vAlign w:val="center"/>
          </w:tcPr>
          <w:p w14:paraId="5266A38A">
            <w:pPr>
              <w:spacing w:line="340" w:lineRule="exact"/>
              <w:jc w:val="both"/>
              <w:rPr>
                <w:rFonts w:hint="eastAsia" w:ascii="Times New Roman" w:hAnsi="Times New Roman" w:eastAsia="仿宋_GB2312"/>
                <w:color w:val="auto"/>
                <w:sz w:val="28"/>
                <w:szCs w:val="28"/>
                <w:lang w:eastAsia="zh-CN"/>
              </w:rPr>
            </w:pPr>
            <w:r>
              <w:rPr>
                <w:rFonts w:hint="eastAsia" w:ascii="Times New Roman" w:hAnsi="Times New Roman" w:eastAsia="仿宋_GB2312"/>
                <w:color w:val="auto"/>
                <w:sz w:val="28"/>
                <w:szCs w:val="28"/>
              </w:rPr>
              <w:t>可达，</w:t>
            </w:r>
            <w:r>
              <w:rPr>
                <w:rFonts w:hint="eastAsia" w:eastAsia="仿宋_GB2312"/>
                <w:color w:val="auto"/>
                <w:sz w:val="28"/>
                <w:szCs w:val="28"/>
                <w:lang w:val="en-US" w:eastAsia="zh-CN"/>
              </w:rPr>
              <w:t>根据《住房和城乡建设部关于推进建筑垃圾减量化的指导意见》《“十四五”建筑业发展规划》要求，新建建筑施工现场建筑垃圾（不包括工程渣土、工程泥浆）排放量每万平方米不高于300吨。</w:t>
            </w:r>
            <w:r>
              <w:rPr>
                <w:rFonts w:hint="eastAsia" w:ascii="Times New Roman" w:hAnsi="Times New Roman" w:eastAsia="仿宋_GB2312"/>
                <w:color w:val="auto"/>
                <w:sz w:val="28"/>
                <w:szCs w:val="28"/>
                <w:lang w:val="en-US" w:eastAsia="zh-CN"/>
              </w:rPr>
              <w:t>通过</w:t>
            </w:r>
            <w:r>
              <w:rPr>
                <w:rFonts w:hint="eastAsia" w:eastAsia="仿宋_GB2312"/>
                <w:color w:val="auto"/>
                <w:sz w:val="28"/>
                <w:szCs w:val="28"/>
                <w:lang w:val="en-US" w:eastAsia="zh-CN"/>
              </w:rPr>
              <w:t>建立施工现场建筑垃圾排放量公示制度</w:t>
            </w:r>
            <w:r>
              <w:rPr>
                <w:rFonts w:hint="eastAsia" w:ascii="Times New Roman" w:hAnsi="Times New Roman" w:eastAsia="仿宋_GB2312"/>
                <w:color w:val="auto"/>
                <w:sz w:val="28"/>
                <w:szCs w:val="28"/>
                <w:lang w:val="en-US" w:eastAsia="zh-CN"/>
              </w:rPr>
              <w:t>，</w:t>
            </w:r>
            <w:r>
              <w:rPr>
                <w:rFonts w:hint="eastAsia" w:eastAsia="仿宋_GB2312"/>
                <w:color w:val="auto"/>
                <w:sz w:val="28"/>
                <w:szCs w:val="28"/>
                <w:lang w:val="en-US" w:eastAsia="zh-CN"/>
              </w:rPr>
              <w:t>开展建筑垃圾减量化技术和管理创新研究，</w:t>
            </w:r>
            <w:r>
              <w:rPr>
                <w:rFonts w:hint="eastAsia" w:ascii="Times New Roman" w:hAnsi="Times New Roman" w:eastAsia="仿宋_GB2312"/>
                <w:color w:val="auto"/>
                <w:sz w:val="28"/>
                <w:szCs w:val="28"/>
                <w:lang w:val="en-US" w:eastAsia="zh-CN"/>
              </w:rPr>
              <w:t>完善</w:t>
            </w:r>
            <w:r>
              <w:rPr>
                <w:rFonts w:hint="eastAsia" w:eastAsia="仿宋_GB2312"/>
                <w:color w:val="auto"/>
                <w:sz w:val="28"/>
                <w:szCs w:val="28"/>
                <w:lang w:val="en-US" w:eastAsia="zh-CN"/>
              </w:rPr>
              <w:t>源头减量、资源利用制度体系和分类收集及再生利用标准体系，</w:t>
            </w:r>
            <w:r>
              <w:rPr>
                <w:rFonts w:hint="eastAsia" w:ascii="Times New Roman" w:hAnsi="Times New Roman" w:eastAsia="仿宋_GB2312"/>
                <w:color w:val="auto"/>
                <w:sz w:val="28"/>
                <w:szCs w:val="28"/>
              </w:rPr>
              <w:t>可满足</w:t>
            </w:r>
            <w:r>
              <w:rPr>
                <w:rStyle w:val="55"/>
                <w:rFonts w:hint="eastAsia" w:ascii="Times New Roman" w:hAnsi="Times New Roman" w:eastAsia="仿宋_GB2312"/>
                <w:color w:val="auto"/>
                <w:sz w:val="28"/>
                <w:szCs w:val="28"/>
                <w:highlight w:val="none"/>
                <w:lang w:val="en-US" w:eastAsia="zh-CN"/>
              </w:rPr>
              <w:t>新建建筑施工现场建筑垃圾排放量</w:t>
            </w:r>
            <w:r>
              <w:rPr>
                <w:rStyle w:val="55"/>
                <w:rFonts w:hint="eastAsia" w:eastAsia="仿宋_GB2312"/>
                <w:color w:val="auto"/>
                <w:sz w:val="28"/>
                <w:szCs w:val="28"/>
                <w:highlight w:val="none"/>
                <w:lang w:val="en-US" w:eastAsia="zh-CN"/>
              </w:rPr>
              <w:t>要</w:t>
            </w:r>
            <w:r>
              <w:rPr>
                <w:rFonts w:hint="eastAsia" w:ascii="Times New Roman" w:hAnsi="Times New Roman" w:eastAsia="仿宋_GB2312"/>
                <w:color w:val="auto"/>
                <w:sz w:val="28"/>
                <w:szCs w:val="28"/>
              </w:rPr>
              <w:t>求</w:t>
            </w:r>
            <w:r>
              <w:rPr>
                <w:rFonts w:hint="eastAsia" w:eastAsia="仿宋_GB2312"/>
                <w:color w:val="auto"/>
                <w:sz w:val="28"/>
                <w:szCs w:val="28"/>
                <w:lang w:eastAsia="zh-CN"/>
              </w:rPr>
              <w:t>。</w:t>
            </w:r>
          </w:p>
        </w:tc>
      </w:tr>
      <w:tr w14:paraId="67AE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3" w:hRule="atLeast"/>
        </w:trPr>
        <w:tc>
          <w:tcPr>
            <w:tcW w:w="465" w:type="pct"/>
            <w:vAlign w:val="center"/>
          </w:tcPr>
          <w:p w14:paraId="32FF25D1">
            <w:pPr>
              <w:spacing w:line="340" w:lineRule="exact"/>
              <w:jc w:val="center"/>
              <w:rPr>
                <w:rFonts w:ascii="Times New Roman" w:hAnsi="Times New Roman" w:eastAsia="仿宋_GB2312"/>
                <w:color w:val="auto"/>
                <w:sz w:val="28"/>
                <w:szCs w:val="28"/>
              </w:rPr>
            </w:pPr>
            <w:r>
              <w:rPr>
                <w:rFonts w:hint="eastAsia" w:ascii="Times New Roman" w:hAnsi="Times New Roman" w:eastAsia="仿宋_GB2312"/>
                <w:color w:val="auto"/>
                <w:sz w:val="28"/>
                <w:szCs w:val="28"/>
              </w:rPr>
              <w:t>7</w:t>
            </w:r>
          </w:p>
        </w:tc>
        <w:tc>
          <w:tcPr>
            <w:tcW w:w="1130" w:type="pct"/>
            <w:vAlign w:val="center"/>
          </w:tcPr>
          <w:p w14:paraId="6340E6C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olor w:val="auto"/>
                <w:sz w:val="28"/>
                <w:szCs w:val="28"/>
              </w:rPr>
            </w:pPr>
            <w:r>
              <w:rPr>
                <w:rFonts w:hint="eastAsia" w:ascii="仿宋_GB2312" w:hAnsi="仿宋_GB2312" w:eastAsia="仿宋_GB2312" w:cs="仿宋_GB2312"/>
                <w:color w:val="auto"/>
                <w:spacing w:val="0"/>
                <w:kern w:val="2"/>
                <w:sz w:val="28"/>
                <w:szCs w:val="28"/>
                <w:highlight w:val="none"/>
                <w:lang w:val="en-US" w:eastAsia="zh-CN" w:bidi="ar-SA"/>
              </w:rPr>
              <w:t>装配式建筑施工现场建筑垃圾排放量（不包括工程渣土、 工程泥浆）</w:t>
            </w:r>
          </w:p>
        </w:tc>
        <w:tc>
          <w:tcPr>
            <w:tcW w:w="3403" w:type="pct"/>
            <w:vAlign w:val="center"/>
          </w:tcPr>
          <w:p w14:paraId="62168C66">
            <w:pPr>
              <w:spacing w:line="340" w:lineRule="exact"/>
              <w:jc w:val="both"/>
              <w:rPr>
                <w:rFonts w:ascii="Times New Roman" w:hAnsi="Times New Roman" w:eastAsia="仿宋_GB2312"/>
                <w:color w:val="auto"/>
                <w:sz w:val="28"/>
                <w:szCs w:val="28"/>
              </w:rPr>
            </w:pPr>
            <w:r>
              <w:rPr>
                <w:rFonts w:hint="eastAsia" w:ascii="Times New Roman" w:hAnsi="Times New Roman" w:eastAsia="仿宋_GB2312"/>
                <w:color w:val="auto"/>
                <w:sz w:val="28"/>
                <w:szCs w:val="28"/>
              </w:rPr>
              <w:t>可达，</w:t>
            </w:r>
            <w:r>
              <w:rPr>
                <w:rFonts w:hint="eastAsia" w:eastAsia="仿宋_GB2312"/>
                <w:color w:val="auto"/>
                <w:sz w:val="28"/>
                <w:szCs w:val="28"/>
                <w:lang w:val="en-US" w:eastAsia="zh-CN"/>
              </w:rPr>
              <w:t>根据《住房和城乡建设部关于推进建筑垃圾减量化的指导意见》《“十四五”建筑业发展规划》要求，装配式建筑施工现场建筑垃圾（不包括工程渣土、工程泥浆）排放量每万平方米不高于200吨。</w:t>
            </w:r>
            <w:r>
              <w:rPr>
                <w:rFonts w:hint="eastAsia" w:ascii="Times New Roman" w:hAnsi="Times New Roman" w:eastAsia="仿宋_GB2312"/>
                <w:color w:val="auto"/>
                <w:sz w:val="28"/>
                <w:szCs w:val="28"/>
                <w:lang w:val="en-US" w:eastAsia="zh-CN"/>
              </w:rPr>
              <w:t>通过</w:t>
            </w:r>
            <w:r>
              <w:rPr>
                <w:rFonts w:hint="eastAsia" w:eastAsia="仿宋_GB2312"/>
                <w:color w:val="auto"/>
                <w:sz w:val="28"/>
                <w:szCs w:val="28"/>
                <w:lang w:val="en-US" w:eastAsia="zh-CN"/>
              </w:rPr>
              <w:t>建立施工现场建筑垃圾排放量公示制度</w:t>
            </w:r>
            <w:r>
              <w:rPr>
                <w:rFonts w:hint="eastAsia" w:ascii="Times New Roman" w:hAnsi="Times New Roman" w:eastAsia="仿宋_GB2312"/>
                <w:color w:val="auto"/>
                <w:sz w:val="28"/>
                <w:szCs w:val="28"/>
                <w:lang w:val="en-US" w:eastAsia="zh-CN"/>
              </w:rPr>
              <w:t>，</w:t>
            </w:r>
            <w:r>
              <w:rPr>
                <w:rFonts w:hint="eastAsia" w:eastAsia="仿宋_GB2312"/>
                <w:color w:val="auto"/>
                <w:sz w:val="28"/>
                <w:szCs w:val="28"/>
                <w:lang w:val="en-US" w:eastAsia="zh-CN"/>
              </w:rPr>
              <w:t>开展建筑垃圾减量化技术和管理创新研究，</w:t>
            </w:r>
            <w:r>
              <w:rPr>
                <w:rFonts w:hint="eastAsia" w:ascii="Times New Roman" w:hAnsi="Times New Roman" w:eastAsia="仿宋_GB2312"/>
                <w:color w:val="auto"/>
                <w:sz w:val="28"/>
                <w:szCs w:val="28"/>
                <w:lang w:val="en-US" w:eastAsia="zh-CN"/>
              </w:rPr>
              <w:t>完善</w:t>
            </w:r>
            <w:r>
              <w:rPr>
                <w:rFonts w:hint="eastAsia" w:eastAsia="仿宋_GB2312"/>
                <w:color w:val="auto"/>
                <w:sz w:val="28"/>
                <w:szCs w:val="28"/>
                <w:lang w:val="en-US" w:eastAsia="zh-CN"/>
              </w:rPr>
              <w:t>源头减量、资源利用制度体系和分类收集及再生利用标准体系，</w:t>
            </w:r>
            <w:r>
              <w:rPr>
                <w:rFonts w:hint="eastAsia" w:ascii="Times New Roman" w:hAnsi="Times New Roman" w:eastAsia="仿宋_GB2312"/>
                <w:color w:val="auto"/>
                <w:sz w:val="28"/>
                <w:szCs w:val="28"/>
              </w:rPr>
              <w:t>可满足</w:t>
            </w:r>
            <w:r>
              <w:rPr>
                <w:rStyle w:val="55"/>
                <w:rFonts w:hint="eastAsia" w:ascii="Times New Roman" w:hAnsi="Times New Roman" w:eastAsia="仿宋_GB2312"/>
                <w:color w:val="auto"/>
                <w:sz w:val="28"/>
                <w:szCs w:val="28"/>
                <w:highlight w:val="none"/>
                <w:lang w:val="en-US" w:eastAsia="zh-CN"/>
              </w:rPr>
              <w:t>装配式建筑施工现场建筑垃圾排放量</w:t>
            </w:r>
            <w:r>
              <w:rPr>
                <w:rStyle w:val="55"/>
                <w:rFonts w:hint="eastAsia" w:eastAsia="仿宋_GB2312"/>
                <w:color w:val="auto"/>
                <w:sz w:val="28"/>
                <w:szCs w:val="28"/>
                <w:highlight w:val="none"/>
                <w:lang w:val="en-US" w:eastAsia="zh-CN"/>
              </w:rPr>
              <w:t>要</w:t>
            </w:r>
            <w:r>
              <w:rPr>
                <w:rFonts w:hint="eastAsia" w:ascii="Times New Roman" w:hAnsi="Times New Roman" w:eastAsia="仿宋_GB2312"/>
                <w:color w:val="auto"/>
                <w:sz w:val="28"/>
                <w:szCs w:val="28"/>
              </w:rPr>
              <w:t>求。</w:t>
            </w:r>
          </w:p>
        </w:tc>
      </w:tr>
      <w:tr w14:paraId="3AB0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65" w:type="pct"/>
            <w:vAlign w:val="center"/>
          </w:tcPr>
          <w:p w14:paraId="2D93ECA2">
            <w:pPr>
              <w:spacing w:line="340" w:lineRule="exact"/>
              <w:jc w:val="center"/>
              <w:rPr>
                <w:rFonts w:ascii="Times New Roman" w:hAnsi="Times New Roman" w:eastAsia="仿宋_GB2312"/>
                <w:color w:val="auto"/>
                <w:sz w:val="28"/>
                <w:szCs w:val="28"/>
              </w:rPr>
            </w:pPr>
            <w:r>
              <w:rPr>
                <w:rFonts w:hint="eastAsia" w:ascii="Times New Roman" w:hAnsi="Times New Roman" w:eastAsia="仿宋_GB2312"/>
                <w:color w:val="auto"/>
                <w:sz w:val="28"/>
                <w:szCs w:val="28"/>
              </w:rPr>
              <w:t>8</w:t>
            </w:r>
          </w:p>
        </w:tc>
        <w:tc>
          <w:tcPr>
            <w:tcW w:w="1130" w:type="pct"/>
            <w:vAlign w:val="center"/>
          </w:tcPr>
          <w:p w14:paraId="3603C41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Times New Roman" w:hAnsi="Times New Roman" w:eastAsia="仿宋_GB2312"/>
                <w:color w:val="auto"/>
                <w:sz w:val="28"/>
                <w:szCs w:val="28"/>
              </w:rPr>
            </w:pPr>
            <w:r>
              <w:rPr>
                <w:rFonts w:hint="eastAsia" w:ascii="仿宋_GB2312" w:hAnsi="仿宋_GB2312" w:eastAsia="仿宋_GB2312" w:cs="仿宋_GB2312"/>
                <w:color w:val="auto"/>
                <w:spacing w:val="0"/>
                <w:kern w:val="2"/>
                <w:sz w:val="28"/>
                <w:szCs w:val="28"/>
                <w:highlight w:val="none"/>
                <w:lang w:val="en-US" w:eastAsia="zh-CN" w:bidi="ar-SA"/>
              </w:rPr>
              <w:t>建筑垃圾运输车辆行驶及装卸记录仪安装率</w:t>
            </w:r>
          </w:p>
        </w:tc>
        <w:tc>
          <w:tcPr>
            <w:tcW w:w="3403" w:type="pct"/>
            <w:vAlign w:val="center"/>
          </w:tcPr>
          <w:p w14:paraId="695D8BE0">
            <w:pPr>
              <w:spacing w:line="340" w:lineRule="exact"/>
              <w:jc w:val="both"/>
              <w:rPr>
                <w:rFonts w:hint="default" w:ascii="Times New Roman" w:hAnsi="Times New Roman" w:eastAsia="仿宋_GB2312"/>
                <w:color w:val="auto"/>
                <w:sz w:val="28"/>
                <w:szCs w:val="28"/>
                <w:lang w:val="en-US"/>
              </w:rPr>
            </w:pPr>
            <w:r>
              <w:rPr>
                <w:rFonts w:hint="eastAsia" w:ascii="Times New Roman" w:hAnsi="Times New Roman" w:eastAsia="仿宋_GB2312"/>
                <w:color w:val="auto"/>
                <w:sz w:val="28"/>
                <w:szCs w:val="28"/>
              </w:rPr>
              <w:t>可达，现状</w:t>
            </w:r>
            <w:r>
              <w:rPr>
                <w:rStyle w:val="55"/>
                <w:rFonts w:hint="eastAsia" w:ascii="Times New Roman" w:hAnsi="Times New Roman" w:eastAsia="仿宋_GB2312"/>
                <w:color w:val="auto"/>
                <w:sz w:val="28"/>
                <w:szCs w:val="28"/>
                <w:highlight w:val="none"/>
                <w:lang w:val="en-US" w:eastAsia="zh-CN"/>
              </w:rPr>
              <w:t>建筑垃圾运输车辆行驶及装卸记录仪安装率</w:t>
            </w:r>
            <w:r>
              <w:rPr>
                <w:rFonts w:hint="eastAsia" w:ascii="Times New Roman" w:hAnsi="Times New Roman" w:eastAsia="仿宋_GB2312"/>
                <w:color w:val="auto"/>
                <w:sz w:val="28"/>
                <w:szCs w:val="28"/>
              </w:rPr>
              <w:t>已</w:t>
            </w:r>
            <w:r>
              <w:rPr>
                <w:rFonts w:hint="eastAsia" w:eastAsia="仿宋_GB2312"/>
                <w:color w:val="auto"/>
                <w:sz w:val="28"/>
                <w:szCs w:val="28"/>
                <w:lang w:val="en-US" w:eastAsia="zh-CN"/>
              </w:rPr>
              <w:t>基本满足要求</w:t>
            </w:r>
            <w:r>
              <w:rPr>
                <w:rFonts w:hint="eastAsia" w:ascii="Times New Roman" w:hAnsi="Times New Roman" w:eastAsia="仿宋_GB2312"/>
                <w:color w:val="auto"/>
                <w:sz w:val="28"/>
                <w:szCs w:val="28"/>
              </w:rPr>
              <w:t>，本次规划</w:t>
            </w:r>
            <w:r>
              <w:rPr>
                <w:rFonts w:hint="eastAsia" w:eastAsia="仿宋_GB2312"/>
                <w:color w:val="auto"/>
                <w:sz w:val="28"/>
                <w:szCs w:val="28"/>
                <w:lang w:val="en-US" w:eastAsia="zh-CN"/>
              </w:rPr>
              <w:t>提出预期性指标，可进一步规范建筑垃圾运输环节。</w:t>
            </w:r>
          </w:p>
        </w:tc>
      </w:tr>
    </w:tbl>
    <w:p w14:paraId="1BB318BB">
      <w:pPr>
        <w:keepNext w:val="0"/>
        <w:keepLines w:val="0"/>
        <w:pageBreakBefore w:val="0"/>
        <w:widowControl/>
        <w:kinsoku/>
        <w:wordWrap/>
        <w:overflowPunct w:val="0"/>
        <w:topLinePunct w:val="0"/>
        <w:autoSpaceDE/>
        <w:autoSpaceDN/>
        <w:bidi w:val="0"/>
        <w:adjustRightInd/>
        <w:snapToGrid/>
        <w:spacing w:line="20" w:lineRule="exact"/>
        <w:ind w:firstLine="560" w:firstLineChars="200"/>
        <w:jc w:val="both"/>
        <w:textAlignment w:val="auto"/>
        <w:rPr>
          <w:rFonts w:hint="eastAsia" w:ascii="仿宋_GB2312" w:hAnsi="仿宋_GB2312" w:eastAsia="仿宋_GB2312" w:cs="仿宋_GB2312"/>
          <w:b w:val="0"/>
          <w:bCs w:val="0"/>
          <w:color w:val="auto"/>
          <w:spacing w:val="0"/>
          <w:sz w:val="28"/>
          <w:szCs w:val="28"/>
          <w:highlight w:val="none"/>
          <w:lang w:val="en-US" w:eastAsia="zh-CN"/>
        </w:rPr>
      </w:pPr>
    </w:p>
    <w:p w14:paraId="5FF7B734">
      <w:pPr>
        <w:pStyle w:val="3"/>
        <w:bidi w:val="0"/>
        <w:ind w:left="420" w:leftChars="0" w:firstLine="220" w:firstLineChars="0"/>
        <w:rPr>
          <w:rFonts w:hint="default" w:ascii="Times New Roman" w:hAnsi="Times New Roman"/>
          <w:b/>
          <w:bCs/>
          <w:color w:val="auto"/>
          <w:spacing w:val="0"/>
          <w:highlight w:val="none"/>
          <w:lang w:val="en-US" w:eastAsia="zh-CN"/>
        </w:rPr>
      </w:pPr>
      <w:bookmarkStart w:id="34" w:name="_Toc17430"/>
      <w:r>
        <w:rPr>
          <w:rFonts w:hint="eastAsia" w:ascii="Times New Roman" w:hAnsi="Times New Roman" w:eastAsia="黑体" w:cs="黑体"/>
          <w:b/>
          <w:bCs/>
          <w:color w:val="auto"/>
          <w:spacing w:val="0"/>
          <w:sz w:val="32"/>
          <w:szCs w:val="32"/>
          <w:highlight w:val="none"/>
          <w:lang w:val="en-US" w:eastAsia="zh-CN"/>
        </w:rPr>
        <w:t>全流程污染防治监督管理规划</w:t>
      </w:r>
      <w:bookmarkEnd w:id="33"/>
      <w:bookmarkEnd w:id="34"/>
    </w:p>
    <w:p w14:paraId="4D3134B4">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35" w:name="_Toc20337"/>
      <w:bookmarkStart w:id="36" w:name="_Toc22311"/>
      <w:bookmarkStart w:id="37" w:name="_Toc16814"/>
      <w:bookmarkStart w:id="38" w:name="_Toc1923"/>
      <w:bookmarkStart w:id="39" w:name="_Toc11988"/>
      <w:bookmarkStart w:id="40" w:name="_Toc18920"/>
      <w:r>
        <w:rPr>
          <w:rFonts w:hint="eastAsia" w:ascii="Times New Roman" w:hAnsi="Times New Roman" w:cs="楷体_GB2312"/>
          <w:b/>
          <w:bCs w:val="0"/>
          <w:color w:val="auto"/>
          <w:spacing w:val="0"/>
          <w:kern w:val="2"/>
          <w:sz w:val="32"/>
          <w:szCs w:val="32"/>
          <w:highlight w:val="none"/>
          <w:lang w:val="en-US" w:eastAsia="zh-CN" w:bidi="ar-SA"/>
        </w:rPr>
        <w:t>管理制度机制建设</w:t>
      </w:r>
      <w:bookmarkEnd w:id="35"/>
      <w:bookmarkEnd w:id="36"/>
      <w:bookmarkEnd w:id="37"/>
      <w:bookmarkEnd w:id="38"/>
      <w:bookmarkEnd w:id="39"/>
    </w:p>
    <w:p w14:paraId="5244E88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1.主管部门：</w:t>
      </w:r>
      <w:r>
        <w:rPr>
          <w:rFonts w:hint="eastAsia" w:ascii="仿宋_GB2312" w:hAnsi="仿宋_GB2312" w:eastAsia="仿宋_GB2312" w:cs="仿宋_GB2312"/>
          <w:color w:val="auto"/>
          <w:spacing w:val="0"/>
          <w:kern w:val="2"/>
          <w:sz w:val="32"/>
          <w:szCs w:val="32"/>
          <w:highlight w:val="none"/>
          <w:lang w:val="en-US" w:eastAsia="zh-CN" w:bidi="ar-SA"/>
        </w:rPr>
        <w:t>广州市增城区建筑垃圾处置主管部门为增城区城市管理和综合执法局</w:t>
      </w:r>
      <w:r>
        <w:rPr>
          <w:rFonts w:hint="eastAsia" w:ascii="仿宋_GB2312" w:hAnsi="仿宋_GB2312" w:eastAsia="仿宋_GB2312" w:cs="仿宋_GB2312"/>
          <w:color w:val="auto"/>
          <w:spacing w:val="0"/>
          <w:sz w:val="32"/>
          <w:szCs w:val="32"/>
          <w:highlight w:val="none"/>
          <w:lang w:val="en-US" w:eastAsia="zh-CN"/>
        </w:rPr>
        <w:t>。</w:t>
      </w:r>
    </w:p>
    <w:p w14:paraId="1744775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2.建筑垃圾地方管理法规规章：</w:t>
      </w:r>
      <w:r>
        <w:rPr>
          <w:rFonts w:hint="eastAsia" w:ascii="仿宋_GB2312" w:hAnsi="仿宋_GB2312" w:eastAsia="仿宋_GB2312" w:cs="仿宋_GB2312"/>
          <w:color w:val="auto"/>
          <w:spacing w:val="0"/>
          <w:sz w:val="32"/>
          <w:szCs w:val="32"/>
          <w:highlight w:val="none"/>
          <w:lang w:val="en-US" w:eastAsia="zh-CN"/>
        </w:rPr>
        <w:t>2012年6月，出台《广州市建筑废弃物管理条例》。</w:t>
      </w:r>
    </w:p>
    <w:p w14:paraId="24ED6C42">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3.建筑垃圾相关的地方文件及标准：</w:t>
      </w:r>
      <w:r>
        <w:rPr>
          <w:rFonts w:hint="eastAsia" w:ascii="仿宋_GB2312" w:hAnsi="仿宋_GB2312" w:eastAsia="仿宋_GB2312" w:cs="仿宋_GB2312"/>
          <w:color w:val="auto"/>
          <w:spacing w:val="0"/>
          <w:sz w:val="32"/>
          <w:szCs w:val="32"/>
          <w:highlight w:val="none"/>
          <w:lang w:val="en-US" w:eastAsia="zh-CN"/>
        </w:rPr>
        <w:t>（1）2023年8月，印发《广州市建筑废弃物处置核准办事指南和内部指引的通知》；（2）2023年4月，印发《广州市建筑垃圾循环利用项目建设工作指引》；（3）2023年3月，印发《建筑废弃物运输车辆标志与监控终端、车厢规格与密闭》（DB4401/T 206）；（4）2022年5月，印发</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lang w:val="en-US" w:eastAsia="zh-CN"/>
        </w:rPr>
        <w:t>建筑垃圾循环利用技术规范</w:t>
      </w:r>
      <w:r>
        <w:rPr>
          <w:rFonts w:hint="eastAsia" w:ascii="仿宋_GB2312" w:hAnsi="仿宋_GB2312" w:eastAsia="仿宋_GB2312" w:cs="仿宋_GB2312"/>
          <w:color w:val="auto"/>
          <w:spacing w:val="0"/>
          <w:sz w:val="32"/>
          <w:szCs w:val="32"/>
          <w:highlight w:val="none"/>
          <w:lang w:eastAsia="zh-CN"/>
        </w:rPr>
        <w:t>》</w:t>
      </w:r>
      <w:r>
        <w:rPr>
          <w:rFonts w:hint="eastAsia" w:ascii="仿宋_GB2312" w:hAnsi="仿宋_GB2312" w:eastAsia="仿宋_GB2312" w:cs="仿宋_GB2312"/>
          <w:color w:val="auto"/>
          <w:spacing w:val="0"/>
          <w:sz w:val="32"/>
          <w:szCs w:val="32"/>
          <w:highlight w:val="none"/>
          <w:lang w:val="en-US" w:eastAsia="zh-CN"/>
        </w:rPr>
        <w:t>（DB4401/T 162）；（5）2022年5月，印发《关于本市中心城区建筑废弃物运输时间的通告》；（6）2022年3月，印发《广州市装饰装修废弃物管理办法》；（7）2020年12月，印发《广州市建筑废弃物运输企业及车辆诚信综合评价管理办法》；（8）2019年11月，印发《关于严厉打击在本市水域非法装卸排放建筑废弃物行为的通告》；（9）2018年9月，印发《广州市建筑废弃物水运中转码头备案管理办法》；（10）2016年11月，印发《广州市建筑废弃物车辆运输联单管理办法》。</w:t>
      </w:r>
    </w:p>
    <w:p w14:paraId="61DCA6F7">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r>
        <w:rPr>
          <w:rFonts w:hint="eastAsia" w:ascii="Times New Roman" w:hAnsi="Times New Roman" w:cs="楷体_GB2312"/>
          <w:b/>
          <w:bCs w:val="0"/>
          <w:color w:val="auto"/>
          <w:spacing w:val="0"/>
          <w:kern w:val="2"/>
          <w:sz w:val="32"/>
          <w:szCs w:val="32"/>
          <w:highlight w:val="none"/>
          <w:lang w:val="en-US" w:eastAsia="zh-CN" w:bidi="ar-SA"/>
        </w:rPr>
        <w:t>部门职责分工</w:t>
      </w:r>
      <w:bookmarkEnd w:id="40"/>
    </w:p>
    <w:p w14:paraId="0D36A9F6">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1.排放环节主要职责分工</w:t>
      </w:r>
    </w:p>
    <w:p w14:paraId="2CF49567">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城管部门：</w:t>
      </w:r>
      <w:r>
        <w:rPr>
          <w:rFonts w:hint="eastAsia" w:ascii="仿宋_GB2312" w:hAnsi="仿宋_GB2312" w:eastAsia="仿宋_GB2312" w:cs="仿宋_GB2312"/>
          <w:color w:val="auto"/>
          <w:spacing w:val="0"/>
          <w:sz w:val="32"/>
          <w:szCs w:val="32"/>
          <w:highlight w:val="none"/>
          <w:lang w:val="en-US" w:eastAsia="zh-CN"/>
        </w:rPr>
        <w:t>负责对排放建筑垃圾的施工工地核发《广州市建筑废弃物处置证（排放）》，对核准排放工地出入口保洁设施有效使用情况实施监管。</w:t>
      </w:r>
    </w:p>
    <w:p w14:paraId="18923998">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各建设工程主管部门（住建、交通、水务、林业园林等）、土地开发及城市更新部门：</w:t>
      </w:r>
      <w:r>
        <w:rPr>
          <w:rFonts w:hint="eastAsia" w:ascii="仿宋_GB2312" w:hAnsi="仿宋_GB2312" w:eastAsia="仿宋_GB2312" w:cs="仿宋_GB2312"/>
          <w:color w:val="auto"/>
          <w:spacing w:val="0"/>
          <w:sz w:val="32"/>
          <w:szCs w:val="32"/>
          <w:highlight w:val="none"/>
          <w:lang w:val="en-US" w:eastAsia="zh-CN"/>
        </w:rPr>
        <w:t>负责指导本部门监管的施工现场建筑垃圾源头减量、分类排放、建立排放消纳管理台账和安全生产监管，以及建筑垃圾再生产品在相关领域的推广应用，督促建设、施工单位落实建筑垃圾处置核准制度、建筑垃圾处理方案备案制度、全过程（排放端）联单管理制度及“一不准进、三不准出”管理制度等。</w:t>
      </w:r>
    </w:p>
    <w:p w14:paraId="10A33A8B">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2.陆路运输环节主要职责分工</w:t>
      </w:r>
    </w:p>
    <w:p w14:paraId="05EC8A8E">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城管部门：</w:t>
      </w:r>
      <w:r>
        <w:rPr>
          <w:rFonts w:hint="eastAsia" w:ascii="仿宋_GB2312" w:hAnsi="仿宋_GB2312" w:eastAsia="仿宋_GB2312" w:cs="仿宋_GB2312"/>
          <w:color w:val="auto"/>
          <w:spacing w:val="0"/>
          <w:sz w:val="32"/>
          <w:szCs w:val="32"/>
          <w:highlight w:val="none"/>
          <w:lang w:val="en-US" w:eastAsia="zh-CN"/>
        </w:rPr>
        <w:t>负责对从事建筑垃圾运输的企业核发《广州市建筑废弃物处置证（运输）》并对企业所属车辆发放《广州市建筑废弃物运输车辆标识》；负责对核准企业所属车辆按照地方技术标准每半年进行一次车容车貌及密闭性能审验；负责指导督促属地街镇对建筑垃圾撒漏污染道路的保洁工作。</w:t>
      </w:r>
    </w:p>
    <w:p w14:paraId="458805DE">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公安、交通部门：</w:t>
      </w:r>
      <w:r>
        <w:rPr>
          <w:rFonts w:hint="eastAsia" w:ascii="仿宋_GB2312" w:hAnsi="仿宋_GB2312" w:eastAsia="仿宋_GB2312" w:cs="仿宋_GB2312"/>
          <w:b w:val="0"/>
          <w:bCs w:val="0"/>
          <w:color w:val="auto"/>
          <w:spacing w:val="0"/>
          <w:sz w:val="32"/>
          <w:szCs w:val="32"/>
          <w:highlight w:val="none"/>
          <w:lang w:val="en-US" w:eastAsia="zh-CN"/>
        </w:rPr>
        <w:t>负责建筑垃圾运输车辆的道路交通安全管理工作</w:t>
      </w:r>
      <w:r>
        <w:rPr>
          <w:rFonts w:hint="eastAsia" w:ascii="仿宋_GB2312" w:hAnsi="仿宋_GB2312" w:eastAsia="仿宋_GB2312" w:cs="仿宋_GB2312"/>
          <w:color w:val="auto"/>
          <w:spacing w:val="0"/>
          <w:sz w:val="32"/>
          <w:szCs w:val="32"/>
          <w:highlight w:val="none"/>
          <w:lang w:val="en-US" w:eastAsia="zh-CN"/>
        </w:rPr>
        <w:t>，包括对</w:t>
      </w:r>
      <w:r>
        <w:rPr>
          <w:rFonts w:hint="eastAsia" w:ascii="仿宋_GB2312" w:hAnsi="仿宋_GB2312" w:eastAsia="仿宋_GB2312" w:cs="仿宋_GB2312"/>
          <w:b w:val="0"/>
          <w:bCs w:val="0"/>
          <w:color w:val="auto"/>
          <w:spacing w:val="0"/>
          <w:sz w:val="32"/>
          <w:szCs w:val="32"/>
          <w:highlight w:val="none"/>
          <w:lang w:val="en-US" w:eastAsia="zh-CN"/>
        </w:rPr>
        <w:t>建筑垃圾运输车辆</w:t>
      </w:r>
      <w:r>
        <w:rPr>
          <w:rFonts w:hint="eastAsia" w:ascii="仿宋_GB2312" w:hAnsi="仿宋_GB2312" w:eastAsia="仿宋_GB2312" w:cs="仿宋_GB2312"/>
          <w:color w:val="auto"/>
          <w:spacing w:val="0"/>
          <w:sz w:val="32"/>
          <w:szCs w:val="32"/>
          <w:highlight w:val="none"/>
          <w:lang w:val="en-US" w:eastAsia="zh-CN"/>
        </w:rPr>
        <w:t>超载、超速、闯红灯、违反道路通行规定等的监管。</w:t>
      </w:r>
    </w:p>
    <w:p w14:paraId="326E3F33">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3.水路运输环节主要职责分工</w:t>
      </w:r>
    </w:p>
    <w:p w14:paraId="058C7A1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
          <w:bCs/>
          <w:color w:val="auto"/>
          <w:spacing w:val="0"/>
          <w:sz w:val="32"/>
          <w:szCs w:val="32"/>
          <w:highlight w:val="none"/>
          <w:lang w:val="en-US" w:eastAsia="zh-CN"/>
        </w:rPr>
        <w:t>城管部门：</w:t>
      </w:r>
      <w:r>
        <w:rPr>
          <w:rFonts w:hint="eastAsia" w:ascii="仿宋_GB2312" w:hAnsi="仿宋_GB2312" w:eastAsia="仿宋_GB2312" w:cs="仿宋_GB2312"/>
          <w:color w:val="auto"/>
          <w:spacing w:val="0"/>
          <w:sz w:val="32"/>
          <w:szCs w:val="32"/>
          <w:highlight w:val="none"/>
          <w:lang w:val="en-US" w:eastAsia="zh-CN"/>
        </w:rPr>
        <w:t>市城管部门负责对从事建筑垃圾运输的船舶核发《广州市建筑废弃物处置证（水上运输）》；区城管部门负责受理经营</w:t>
      </w:r>
      <w:r>
        <w:rPr>
          <w:rFonts w:hint="eastAsia" w:ascii="仿宋_GB2312" w:hAnsi="仿宋_GB2312" w:eastAsia="仿宋_GB2312" w:cs="仿宋_GB2312"/>
          <w:b w:val="0"/>
          <w:bCs w:val="0"/>
          <w:color w:val="auto"/>
          <w:spacing w:val="0"/>
          <w:sz w:val="32"/>
          <w:szCs w:val="32"/>
          <w:highlight w:val="none"/>
          <w:lang w:val="en-US" w:eastAsia="zh-CN"/>
        </w:rPr>
        <w:t>建筑垃圾</w:t>
      </w:r>
      <w:r>
        <w:rPr>
          <w:rFonts w:hint="eastAsia" w:ascii="仿宋_GB2312" w:hAnsi="仿宋_GB2312" w:eastAsia="仿宋_GB2312" w:cs="仿宋_GB2312"/>
          <w:color w:val="auto"/>
          <w:spacing w:val="0"/>
          <w:sz w:val="32"/>
          <w:szCs w:val="32"/>
          <w:highlight w:val="none"/>
          <w:lang w:val="en-US" w:eastAsia="zh-CN"/>
        </w:rPr>
        <w:t>水运中转码头备案申请</w:t>
      </w:r>
      <w:r>
        <w:rPr>
          <w:rFonts w:hint="eastAsia" w:ascii="仿宋_GB2312" w:hAnsi="仿宋_GB2312" w:eastAsia="仿宋_GB2312" w:cs="仿宋_GB2312"/>
          <w:bCs/>
          <w:color w:val="auto"/>
          <w:sz w:val="32"/>
          <w:szCs w:val="32"/>
          <w:highlight w:val="none"/>
          <w:lang w:eastAsia="zh-CN"/>
        </w:rPr>
        <w:t>。</w:t>
      </w:r>
    </w:p>
    <w:p w14:paraId="5795A89C">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港务部门：</w:t>
      </w:r>
      <w:r>
        <w:rPr>
          <w:rFonts w:hint="eastAsia" w:ascii="仿宋_GB2312" w:hAnsi="仿宋_GB2312" w:eastAsia="仿宋_GB2312" w:cs="仿宋_GB2312"/>
          <w:b w:val="0"/>
          <w:bCs w:val="0"/>
          <w:color w:val="auto"/>
          <w:spacing w:val="0"/>
          <w:sz w:val="32"/>
          <w:szCs w:val="32"/>
          <w:highlight w:val="none"/>
          <w:lang w:val="en-US" w:eastAsia="zh-CN"/>
        </w:rPr>
        <w:t>负责水运码头及码头类水运中转临时装卸点的日常作业监管工作</w:t>
      </w:r>
      <w:r>
        <w:rPr>
          <w:rFonts w:hint="eastAsia" w:ascii="仿宋_GB2312" w:hAnsi="仿宋_GB2312" w:eastAsia="仿宋_GB2312" w:cs="仿宋_GB2312"/>
          <w:color w:val="auto"/>
          <w:spacing w:val="0"/>
          <w:sz w:val="32"/>
          <w:szCs w:val="32"/>
          <w:highlight w:val="none"/>
          <w:lang w:val="en-US" w:eastAsia="zh-CN"/>
        </w:rPr>
        <w:t>。</w:t>
      </w:r>
    </w:p>
    <w:p w14:paraId="0CD39D4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水务部门：</w:t>
      </w:r>
      <w:r>
        <w:rPr>
          <w:rFonts w:hint="eastAsia" w:ascii="仿宋_GB2312" w:hAnsi="仿宋_GB2312" w:eastAsia="仿宋_GB2312" w:cs="仿宋_GB2312"/>
          <w:color w:val="auto"/>
          <w:spacing w:val="0"/>
          <w:sz w:val="32"/>
          <w:szCs w:val="32"/>
          <w:highlight w:val="none"/>
          <w:lang w:val="en-US" w:eastAsia="zh-CN"/>
        </w:rPr>
        <w:t>负责堤岸类水运中转临时装卸点的安全生产监管工作。</w:t>
      </w:r>
    </w:p>
    <w:p w14:paraId="53A0E5E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海事部门：</w:t>
      </w:r>
      <w:r>
        <w:rPr>
          <w:rFonts w:hint="eastAsia" w:ascii="仿宋_GB2312" w:hAnsi="仿宋_GB2312" w:eastAsia="仿宋_GB2312" w:cs="仿宋_GB2312"/>
          <w:color w:val="auto"/>
          <w:spacing w:val="0"/>
          <w:sz w:val="32"/>
          <w:szCs w:val="32"/>
          <w:highlight w:val="none"/>
          <w:lang w:val="en-US" w:eastAsia="zh-CN"/>
        </w:rPr>
        <w:t>负责水上运输交通安全工作；负责运输船舶进出港记录。</w:t>
      </w:r>
    </w:p>
    <w:p w14:paraId="635D035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根据《广州市建筑废弃物水运中转临时装卸点管理工作机制（试行）》，联席会议牵头单位为市城市管理综合执法局，成员单位为市水务局、港务局，广州海事局，各区人民政府。市城市管理综合执法局负责收集汇总临时装卸点申请报告，组织各成员单位开展选址现场调研，召开联席会议研究讨论并明确选址建设、运营等事项；各单位分别按照职责做好服务保障和监管工作。</w:t>
      </w:r>
    </w:p>
    <w:p w14:paraId="2822851A">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4.综合利用和消纳环节主要职责分工</w:t>
      </w:r>
    </w:p>
    <w:p w14:paraId="2B01CB74">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城管部门：</w:t>
      </w:r>
      <w:r>
        <w:rPr>
          <w:rFonts w:hint="eastAsia" w:ascii="仿宋_GB2312" w:hAnsi="仿宋_GB2312" w:eastAsia="仿宋_GB2312" w:cs="仿宋_GB2312"/>
          <w:color w:val="auto"/>
          <w:spacing w:val="0"/>
          <w:sz w:val="32"/>
          <w:szCs w:val="32"/>
          <w:highlight w:val="none"/>
          <w:lang w:val="en-US" w:eastAsia="zh-CN"/>
        </w:rPr>
        <w:t>负责对从事建筑垃圾综合利用、消纳的单位核发《广州市建筑废弃物处置证（消纳）》；指导建筑垃圾资源化项目企业及消纳场运营单位落实安全生产和生态环境保护主体责任，确保消纳场所规范、安全运行。</w:t>
      </w:r>
    </w:p>
    <w:p w14:paraId="69A6B495">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各建设工程主管部门（住建、交通、水务、林业园林等）：</w:t>
      </w:r>
      <w:r>
        <w:rPr>
          <w:rFonts w:hint="default" w:ascii="仿宋_GB2312" w:hAnsi="仿宋_GB2312" w:eastAsia="仿宋_GB2312" w:cs="仿宋_GB2312"/>
          <w:b w:val="0"/>
          <w:bCs w:val="0"/>
          <w:color w:val="auto"/>
          <w:spacing w:val="0"/>
          <w:sz w:val="32"/>
          <w:szCs w:val="32"/>
          <w:highlight w:val="none"/>
          <w:lang w:val="en-US" w:eastAsia="zh-CN"/>
        </w:rPr>
        <w:t>负责本部门监管的建筑工地用地红线范围内建筑垃圾用于工程回填、土地平整及现场就地资源化利用的安全生产监管工作</w:t>
      </w:r>
      <w:r>
        <w:rPr>
          <w:rFonts w:hint="eastAsia" w:ascii="仿宋_GB2312" w:hAnsi="仿宋_GB2312" w:eastAsia="仿宋_GB2312" w:cs="仿宋_GB2312"/>
          <w:color w:val="auto"/>
          <w:spacing w:val="0"/>
          <w:sz w:val="32"/>
          <w:szCs w:val="32"/>
          <w:highlight w:val="none"/>
          <w:lang w:val="en-US" w:eastAsia="zh-CN"/>
        </w:rPr>
        <w:t>。</w:t>
      </w:r>
    </w:p>
    <w:p w14:paraId="274C4EC8">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规自部门：</w:t>
      </w:r>
      <w:r>
        <w:rPr>
          <w:rFonts w:hint="eastAsia" w:ascii="仿宋_GB2312" w:hAnsi="仿宋_GB2312" w:eastAsia="仿宋_GB2312" w:cs="仿宋_GB2312"/>
          <w:color w:val="auto"/>
          <w:spacing w:val="0"/>
          <w:sz w:val="32"/>
          <w:szCs w:val="32"/>
          <w:highlight w:val="none"/>
          <w:lang w:val="en-US" w:eastAsia="zh-CN"/>
        </w:rPr>
        <w:t>负责建筑垃圾</w:t>
      </w:r>
      <w:r>
        <w:rPr>
          <w:rFonts w:hint="eastAsia" w:ascii="仿宋_GB2312" w:hAnsi="仿宋_GB2312" w:eastAsia="仿宋_GB2312" w:cs="仿宋_GB2312"/>
          <w:b w:val="0"/>
          <w:bCs w:val="0"/>
          <w:color w:val="auto"/>
          <w:spacing w:val="0"/>
          <w:sz w:val="32"/>
          <w:szCs w:val="32"/>
          <w:highlight w:val="none"/>
          <w:lang w:val="en-US" w:eastAsia="zh-CN"/>
        </w:rPr>
        <w:t>综合利用和消纳设施（包括消纳场、资源化利用项目等）</w:t>
      </w:r>
      <w:r>
        <w:rPr>
          <w:rFonts w:hint="eastAsia" w:ascii="仿宋_GB2312" w:hAnsi="仿宋_GB2312" w:eastAsia="仿宋_GB2312" w:cs="仿宋_GB2312"/>
          <w:color w:val="auto"/>
          <w:spacing w:val="0"/>
          <w:sz w:val="32"/>
          <w:szCs w:val="32"/>
          <w:highlight w:val="none"/>
          <w:lang w:val="en-US" w:eastAsia="zh-CN"/>
        </w:rPr>
        <w:t>用地和规划审批</w:t>
      </w:r>
      <w:r>
        <w:rPr>
          <w:rFonts w:hint="eastAsia" w:ascii="仿宋_GB2312" w:hAnsi="仿宋_GB2312" w:eastAsia="仿宋_GB2312" w:cs="仿宋_GB2312"/>
          <w:b w:val="0"/>
          <w:bCs w:val="0"/>
          <w:color w:val="auto"/>
          <w:spacing w:val="0"/>
          <w:sz w:val="32"/>
          <w:szCs w:val="32"/>
          <w:highlight w:val="none"/>
          <w:lang w:val="en-US" w:eastAsia="zh-CN"/>
        </w:rPr>
        <w:t>，以及</w:t>
      </w:r>
      <w:r>
        <w:rPr>
          <w:rFonts w:hint="default" w:ascii="仿宋_GB2312" w:hAnsi="仿宋_GB2312" w:eastAsia="仿宋_GB2312" w:cs="仿宋_GB2312"/>
          <w:b w:val="0"/>
          <w:bCs w:val="0"/>
          <w:color w:val="auto"/>
          <w:spacing w:val="0"/>
          <w:sz w:val="32"/>
          <w:szCs w:val="32"/>
          <w:highlight w:val="none"/>
          <w:lang w:val="en-US" w:eastAsia="zh-CN"/>
        </w:rPr>
        <w:t>土地违法查处工作</w:t>
      </w:r>
      <w:r>
        <w:rPr>
          <w:rFonts w:hint="eastAsia" w:ascii="仿宋_GB2312" w:hAnsi="仿宋_GB2312" w:eastAsia="仿宋_GB2312" w:cs="仿宋_GB2312"/>
          <w:color w:val="auto"/>
          <w:spacing w:val="0"/>
          <w:sz w:val="32"/>
          <w:szCs w:val="32"/>
          <w:highlight w:val="none"/>
          <w:lang w:val="en-US" w:eastAsia="zh-CN"/>
        </w:rPr>
        <w:t>。</w:t>
      </w:r>
    </w:p>
    <w:p w14:paraId="0D6155F7">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生态部门：</w:t>
      </w:r>
      <w:r>
        <w:rPr>
          <w:rFonts w:hint="eastAsia" w:ascii="仿宋_GB2312" w:hAnsi="仿宋_GB2312" w:eastAsia="仿宋_GB2312" w:cs="仿宋_GB2312"/>
          <w:color w:val="auto"/>
          <w:spacing w:val="0"/>
          <w:sz w:val="32"/>
          <w:szCs w:val="32"/>
          <w:highlight w:val="none"/>
          <w:lang w:val="en-US" w:eastAsia="zh-CN"/>
        </w:rPr>
        <w:t>负责建筑垃圾</w:t>
      </w:r>
      <w:r>
        <w:rPr>
          <w:rFonts w:hint="eastAsia" w:ascii="仿宋_GB2312" w:hAnsi="仿宋_GB2312" w:eastAsia="仿宋_GB2312" w:cs="仿宋_GB2312"/>
          <w:b w:val="0"/>
          <w:bCs w:val="0"/>
          <w:color w:val="auto"/>
          <w:spacing w:val="0"/>
          <w:sz w:val="32"/>
          <w:szCs w:val="32"/>
          <w:highlight w:val="none"/>
          <w:lang w:val="en-US" w:eastAsia="zh-CN"/>
        </w:rPr>
        <w:t>综合利用和消纳设施（包括消纳场、资源化利用项目等）</w:t>
      </w:r>
      <w:r>
        <w:rPr>
          <w:rFonts w:hint="eastAsia" w:ascii="仿宋_GB2312" w:hAnsi="仿宋_GB2312" w:eastAsia="仿宋_GB2312" w:cs="仿宋_GB2312"/>
          <w:color w:val="auto"/>
          <w:spacing w:val="0"/>
          <w:sz w:val="32"/>
          <w:szCs w:val="32"/>
          <w:highlight w:val="none"/>
          <w:lang w:val="en-US" w:eastAsia="zh-CN"/>
        </w:rPr>
        <w:t>的环评审批工作，以及环境违法查处和监管工作。</w:t>
      </w:r>
    </w:p>
    <w:p w14:paraId="1848C2D7">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41" w:name="_Toc11891"/>
      <w:r>
        <w:rPr>
          <w:rFonts w:hint="eastAsia" w:ascii="Times New Roman" w:hAnsi="Times New Roman" w:cs="楷体_GB2312"/>
          <w:b/>
          <w:bCs w:val="0"/>
          <w:color w:val="auto"/>
          <w:spacing w:val="0"/>
          <w:kern w:val="2"/>
          <w:sz w:val="32"/>
          <w:szCs w:val="32"/>
          <w:highlight w:val="none"/>
          <w:lang w:val="en-US" w:eastAsia="zh-CN" w:bidi="ar-SA"/>
        </w:rPr>
        <w:t>排放核准及污染防治措施要求</w:t>
      </w:r>
      <w:bookmarkEnd w:id="41"/>
    </w:p>
    <w:p w14:paraId="1C069F73">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1.排放环节核准要求</w:t>
      </w:r>
    </w:p>
    <w:p w14:paraId="5033CE5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建筑垃圾排放环节核准相关工作应符合</w:t>
      </w:r>
      <w:r>
        <w:rPr>
          <w:rFonts w:hint="eastAsia" w:ascii="仿宋_GB2312" w:hAnsi="仿宋_GB2312" w:eastAsia="仿宋_GB2312" w:cs="仿宋_GB2312"/>
          <w:color w:val="auto"/>
          <w:spacing w:val="0"/>
          <w:sz w:val="32"/>
          <w:szCs w:val="32"/>
          <w:highlight w:val="none"/>
          <w:lang w:eastAsia="zh-CN"/>
        </w:rPr>
        <w:t>《城市建筑垃圾管理规定》</w:t>
      </w:r>
      <w:r>
        <w:rPr>
          <w:rFonts w:hint="eastAsia" w:ascii="仿宋_GB2312" w:hAnsi="仿宋_GB2312" w:eastAsia="仿宋_GB2312" w:cs="仿宋_GB2312"/>
          <w:color w:val="auto"/>
          <w:spacing w:val="0"/>
          <w:sz w:val="32"/>
          <w:szCs w:val="32"/>
          <w:highlight w:val="none"/>
        </w:rPr>
        <w:t>《广东省建筑垃圾管理条例》</w:t>
      </w:r>
      <w:r>
        <w:rPr>
          <w:rFonts w:hint="eastAsia" w:ascii="仿宋_GB2312" w:hAnsi="仿宋_GB2312" w:eastAsia="仿宋_GB2312" w:cs="仿宋_GB2312"/>
          <w:color w:val="auto"/>
          <w:spacing w:val="0"/>
          <w:sz w:val="32"/>
          <w:szCs w:val="32"/>
          <w:highlight w:val="none"/>
          <w:lang w:eastAsia="zh-CN"/>
        </w:rPr>
        <w:t>《广州市建筑废弃物管理条例》等</w:t>
      </w:r>
      <w:r>
        <w:rPr>
          <w:rFonts w:hint="eastAsia" w:ascii="仿宋_GB2312" w:hAnsi="仿宋_GB2312" w:eastAsia="仿宋_GB2312" w:cs="仿宋_GB2312"/>
          <w:color w:val="auto"/>
          <w:spacing w:val="0"/>
          <w:kern w:val="2"/>
          <w:sz w:val="32"/>
          <w:szCs w:val="32"/>
          <w:highlight w:val="none"/>
          <w:lang w:val="en-US" w:eastAsia="zh-CN" w:bidi="ar-SA"/>
        </w:rPr>
        <w:t>规定。建筑垃圾排放人（指排放建筑垃圾的建设单位、施工单位和个人）应当依法向建筑垃圾主管部门申请办理《广州市建筑废弃物处置证（排放）》，居民住宅装饰装修排放建筑垃圾的除外</w:t>
      </w:r>
      <w:r>
        <w:rPr>
          <w:rFonts w:hint="eastAsia" w:ascii="仿宋_GB2312" w:hAnsi="仿宋_GB2312" w:eastAsia="仿宋_GB2312" w:cs="仿宋_GB2312"/>
          <w:color w:val="auto"/>
          <w:spacing w:val="0"/>
          <w:sz w:val="32"/>
          <w:szCs w:val="32"/>
          <w:highlight w:val="none"/>
          <w:lang w:val="en-US" w:eastAsia="zh-CN"/>
        </w:rPr>
        <w:t>。</w:t>
      </w:r>
    </w:p>
    <w:p w14:paraId="643F5E74">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依据《广州市装饰装修废弃物管理办法》，住宅、门店、办公楼、厂房、公共建筑等场所内部装饰装修、修缮维护等依法不需要办理施工许可证的装饰装修工程，装修垃圾排放人应将装修垃圾投放至符合规定的临时堆放点，或委托具有《广州市建筑废弃物处置证》的运输单位运输装修垃圾。装饰装修工程的施工单位应当依据《中华人民共和国固体废物污染环境防治法》有关规定，编制装修垃圾处理方案，采取环境污染防治措施，并报</w:t>
      </w:r>
      <w:r>
        <w:rPr>
          <w:rFonts w:hint="eastAsia" w:ascii="仿宋_GB2312" w:hAnsi="仿宋_GB2312" w:eastAsia="仿宋_GB2312" w:cs="仿宋_GB2312"/>
          <w:color w:val="auto"/>
          <w:sz w:val="32"/>
          <w:szCs w:val="32"/>
          <w:highlight w:val="none"/>
          <w:lang w:val="en-US" w:eastAsia="zh-CN"/>
        </w:rPr>
        <w:t>区级建筑垃圾主管部门</w:t>
      </w:r>
      <w:r>
        <w:rPr>
          <w:rFonts w:hint="eastAsia" w:ascii="仿宋_GB2312" w:hAnsi="仿宋_GB2312" w:eastAsia="仿宋_GB2312" w:cs="仿宋_GB2312"/>
          <w:color w:val="auto"/>
          <w:spacing w:val="0"/>
          <w:sz w:val="32"/>
          <w:szCs w:val="32"/>
          <w:highlight w:val="none"/>
          <w:lang w:val="en-US" w:eastAsia="zh-CN"/>
        </w:rPr>
        <w:t>备案。</w:t>
      </w:r>
    </w:p>
    <w:p w14:paraId="0C77A16A">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2.排放环节污染防治要求</w:t>
      </w:r>
    </w:p>
    <w:p w14:paraId="65E1C12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各建设工程主管部门（住建、交通、水务、林业园林等）督察指导建设单位、施工单位落实《广州市建设工程扬尘防治“6个100%”管理标准细化措施》等要求，确保施工现场100%围蔽、工地路面100%硬化、工地砂土、物料100%覆盖、施工作业100%洒水、出工地车辆100%冲净车轮车身、长期裸土100%覆盖或绿化；督促本行业本领域内施工单位编制建筑垃圾处置方案并加强监管。</w:t>
      </w:r>
    </w:p>
    <w:p w14:paraId="0A07340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施工单位应当建立建筑垃圾管理台账，分类收集、贮存和及时清运施工过程中产生的建筑垃圾，采取有效措施防止混合已分类的建筑垃圾。</w:t>
      </w:r>
    </w:p>
    <w:p w14:paraId="716BEDF2">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禁止在道路、桥梁、公共场地、公共绿地、供排水设施、农田水利设施、江河、湖泊、运河、渠道、水库及其最高水位线以下的滩地和岸坡等地点以及其他非指定场地倾倒、抛撒、堆放建筑垃圾。</w:t>
      </w:r>
    </w:p>
    <w:p w14:paraId="43243BBF">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禁止将生活垃圾、工业垃圾、污泥、淤泥、危险废物等与建筑垃圾混合。</w:t>
      </w:r>
    </w:p>
    <w:p w14:paraId="5CF64463">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3.排放环节监管与执法</w:t>
      </w:r>
    </w:p>
    <w:p w14:paraId="018296D7">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镇人民政府、街道办事处：</w:t>
      </w:r>
      <w:r>
        <w:rPr>
          <w:rFonts w:hint="eastAsia" w:ascii="仿宋_GB2312" w:hAnsi="仿宋_GB2312" w:eastAsia="仿宋_GB2312" w:cs="仿宋_GB2312"/>
          <w:color w:val="auto"/>
          <w:spacing w:val="0"/>
          <w:sz w:val="32"/>
          <w:szCs w:val="32"/>
          <w:highlight w:val="none"/>
          <w:lang w:val="en-US" w:eastAsia="zh-CN"/>
        </w:rPr>
        <w:t>负责对未办理《</w:t>
      </w:r>
      <w:r>
        <w:rPr>
          <w:rFonts w:hint="eastAsia" w:ascii="仿宋_GB2312" w:hAnsi="仿宋_GB2312" w:eastAsia="仿宋_GB2312" w:cs="仿宋_GB2312"/>
          <w:color w:val="auto"/>
          <w:spacing w:val="0"/>
          <w:kern w:val="2"/>
          <w:sz w:val="32"/>
          <w:szCs w:val="32"/>
          <w:highlight w:val="none"/>
          <w:lang w:val="en-US" w:eastAsia="zh-CN" w:bidi="ar-SA"/>
        </w:rPr>
        <w:t>广州市建筑废弃物处置证（排放）</w:t>
      </w:r>
      <w:r>
        <w:rPr>
          <w:rFonts w:hint="eastAsia" w:ascii="仿宋_GB2312" w:hAnsi="仿宋_GB2312" w:eastAsia="仿宋_GB2312" w:cs="仿宋_GB2312"/>
          <w:color w:val="auto"/>
          <w:spacing w:val="0"/>
          <w:sz w:val="32"/>
          <w:szCs w:val="32"/>
          <w:highlight w:val="none"/>
          <w:lang w:val="en-US" w:eastAsia="zh-CN"/>
        </w:rPr>
        <w:t>》以及使用不具备《广州市建筑废弃物运输车辆标识》的排放工地进行处罚；对车辆装载后不符合密闭要求，未冲洗干净，或者未保持工地出入口清洁的行为进行处罚。</w:t>
      </w:r>
    </w:p>
    <w:p w14:paraId="267D0B65">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涉及排放工地的其他违法施工行为，由各建设工程主管部门（住建、交通、水务、林业园林等）依照各自领域的法律法规进行监管处罚。</w:t>
      </w:r>
    </w:p>
    <w:p w14:paraId="6FF957FB">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42" w:name="_Toc18544"/>
      <w:r>
        <w:rPr>
          <w:rFonts w:hint="eastAsia" w:ascii="Times New Roman" w:hAnsi="Times New Roman" w:cs="楷体_GB2312"/>
          <w:b/>
          <w:bCs w:val="0"/>
          <w:color w:val="auto"/>
          <w:spacing w:val="0"/>
          <w:kern w:val="2"/>
          <w:sz w:val="32"/>
          <w:szCs w:val="32"/>
          <w:highlight w:val="none"/>
          <w:lang w:val="en-US" w:eastAsia="zh-CN" w:bidi="ar-SA"/>
        </w:rPr>
        <w:t>陆路运输核准及污染防治措施要求</w:t>
      </w:r>
      <w:bookmarkEnd w:id="42"/>
    </w:p>
    <w:p w14:paraId="299C09D4">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1.陆路运输环节核准要求</w:t>
      </w:r>
    </w:p>
    <w:p w14:paraId="0E69EA73">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建筑垃圾运输环节核准相关工作应符合</w:t>
      </w:r>
      <w:r>
        <w:rPr>
          <w:rFonts w:hint="eastAsia" w:ascii="仿宋_GB2312" w:hAnsi="仿宋_GB2312" w:eastAsia="仿宋_GB2312" w:cs="仿宋_GB2312"/>
          <w:color w:val="auto"/>
          <w:spacing w:val="0"/>
          <w:sz w:val="32"/>
          <w:szCs w:val="32"/>
          <w:highlight w:val="none"/>
          <w:lang w:eastAsia="zh-CN"/>
        </w:rPr>
        <w:t>《城市建筑垃圾管理规定》</w:t>
      </w:r>
      <w:r>
        <w:rPr>
          <w:rFonts w:hint="eastAsia" w:ascii="仿宋_GB2312" w:hAnsi="仿宋_GB2312" w:eastAsia="仿宋_GB2312" w:cs="仿宋_GB2312"/>
          <w:color w:val="auto"/>
          <w:spacing w:val="0"/>
          <w:sz w:val="32"/>
          <w:szCs w:val="32"/>
          <w:highlight w:val="none"/>
        </w:rPr>
        <w:t>《广东省建筑垃圾管理条例》</w:t>
      </w:r>
      <w:r>
        <w:rPr>
          <w:rFonts w:hint="eastAsia" w:ascii="仿宋_GB2312" w:hAnsi="仿宋_GB2312" w:eastAsia="仿宋_GB2312" w:cs="仿宋_GB2312"/>
          <w:color w:val="auto"/>
          <w:spacing w:val="0"/>
          <w:sz w:val="32"/>
          <w:szCs w:val="32"/>
          <w:highlight w:val="none"/>
          <w:lang w:eastAsia="zh-CN"/>
        </w:rPr>
        <w:t>《广州市建筑废弃物管理条例》等</w:t>
      </w:r>
      <w:r>
        <w:rPr>
          <w:rFonts w:hint="eastAsia" w:ascii="仿宋_GB2312" w:hAnsi="仿宋_GB2312" w:eastAsia="仿宋_GB2312" w:cs="仿宋_GB2312"/>
          <w:color w:val="auto"/>
          <w:spacing w:val="0"/>
          <w:kern w:val="2"/>
          <w:sz w:val="32"/>
          <w:szCs w:val="32"/>
          <w:highlight w:val="none"/>
          <w:lang w:val="en-US" w:eastAsia="zh-CN" w:bidi="ar-SA"/>
        </w:rPr>
        <w:t>规定。陆路运输建筑垃圾的单位应当依法向建筑垃圾主管部门申请办理《广州市建筑废弃物处置证（陆路运输）》</w:t>
      </w:r>
      <w:r>
        <w:rPr>
          <w:rFonts w:hint="eastAsia" w:ascii="仿宋_GB2312" w:hAnsi="仿宋_GB2312" w:eastAsia="仿宋_GB2312" w:cs="仿宋_GB2312"/>
          <w:color w:val="auto"/>
          <w:spacing w:val="0"/>
          <w:sz w:val="32"/>
          <w:szCs w:val="32"/>
          <w:highlight w:val="none"/>
          <w:lang w:val="en-US" w:eastAsia="zh-CN"/>
        </w:rPr>
        <w:t>。</w:t>
      </w:r>
    </w:p>
    <w:p w14:paraId="22DCB12F">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2.陆路运输污染防治要求</w:t>
      </w:r>
    </w:p>
    <w:p w14:paraId="201ED387">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建筑垃圾运输车辆应</w:t>
      </w:r>
      <w:r>
        <w:rPr>
          <w:rFonts w:hint="eastAsia" w:ascii="仿宋_GB2312" w:hAnsi="仿宋_GB2312" w:eastAsia="仿宋_GB2312" w:cs="仿宋_GB2312"/>
          <w:color w:val="auto"/>
          <w:spacing w:val="0"/>
          <w:kern w:val="2"/>
          <w:sz w:val="32"/>
          <w:szCs w:val="32"/>
          <w:highlight w:val="none"/>
          <w:lang w:val="en-US" w:eastAsia="zh-CN" w:bidi="ar-SA"/>
        </w:rPr>
        <w:t>符合</w:t>
      </w:r>
      <w:r>
        <w:rPr>
          <w:rFonts w:hint="eastAsia" w:ascii="仿宋_GB2312" w:hAnsi="仿宋_GB2312" w:eastAsia="仿宋_GB2312" w:cs="仿宋_GB2312"/>
          <w:color w:val="auto"/>
          <w:spacing w:val="0"/>
          <w:sz w:val="32"/>
          <w:szCs w:val="32"/>
          <w:highlight w:val="none"/>
          <w:lang w:val="en-US" w:eastAsia="zh-CN"/>
        </w:rPr>
        <w:t>《建筑废弃物运输车辆标志与监控终端、车厢规格与密闭》（DB4401/T 206）</w:t>
      </w:r>
      <w:r>
        <w:rPr>
          <w:rFonts w:hint="eastAsia" w:ascii="仿宋_GB2312" w:hAnsi="仿宋_GB2312" w:eastAsia="仿宋_GB2312" w:cs="仿宋_GB2312"/>
          <w:color w:val="auto"/>
          <w:spacing w:val="0"/>
          <w:sz w:val="32"/>
          <w:szCs w:val="32"/>
          <w:highlight w:val="none"/>
          <w:lang w:eastAsia="zh-CN"/>
        </w:rPr>
        <w:t>等</w:t>
      </w:r>
      <w:r>
        <w:rPr>
          <w:rFonts w:hint="eastAsia" w:ascii="仿宋_GB2312" w:hAnsi="仿宋_GB2312" w:eastAsia="仿宋_GB2312" w:cs="仿宋_GB2312"/>
          <w:color w:val="auto"/>
          <w:spacing w:val="0"/>
          <w:kern w:val="2"/>
          <w:sz w:val="32"/>
          <w:szCs w:val="32"/>
          <w:highlight w:val="none"/>
          <w:lang w:val="en-US" w:eastAsia="zh-CN" w:bidi="ar-SA"/>
        </w:rPr>
        <w:t>要求，且应当遵守下列规定：（1）建立建筑垃圾运输管理台账；（2）禁止采用擅自改装车辆运输；（3）运输车辆应当安装并保持行驶记录、卫星定位等电子装置正常使用；（4）按照建筑垃圾分类标准实行分类运输，工程泥浆应当使用专用罐装器具装载运输；（5）道路运输应当保持运输车辆整洁，禁止车轮、车厢外侧带泥行驶，并采取密闭或者其他措施防止运输车辆撒漏、泄露建筑垃圾；（6）将建筑垃圾运输至合法处理场所</w:t>
      </w:r>
      <w:r>
        <w:rPr>
          <w:rFonts w:hint="eastAsia" w:ascii="仿宋_GB2312" w:hAnsi="仿宋_GB2312" w:eastAsia="仿宋_GB2312" w:cs="仿宋_GB2312"/>
          <w:color w:val="auto"/>
          <w:spacing w:val="0"/>
          <w:sz w:val="32"/>
          <w:szCs w:val="32"/>
          <w:highlight w:val="none"/>
          <w:lang w:val="en-US" w:eastAsia="zh-CN"/>
        </w:rPr>
        <w:t>；（7）中转设施建筑垃圾堆放时间不宜超过30天。</w:t>
      </w:r>
    </w:p>
    <w:p w14:paraId="40294CC1">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3.陆路运输环节监管与执法</w:t>
      </w:r>
    </w:p>
    <w:p w14:paraId="7854C7C7">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镇人民政府、街道办事处：</w:t>
      </w:r>
      <w:r>
        <w:rPr>
          <w:rFonts w:hint="eastAsia" w:ascii="仿宋_GB2312" w:hAnsi="仿宋_GB2312" w:eastAsia="仿宋_GB2312" w:cs="仿宋_GB2312"/>
          <w:color w:val="auto"/>
          <w:spacing w:val="0"/>
          <w:sz w:val="32"/>
          <w:szCs w:val="32"/>
          <w:highlight w:val="none"/>
          <w:lang w:val="en-US" w:eastAsia="zh-CN"/>
        </w:rPr>
        <w:t>负责对未办理《广州市建筑废弃物处置证（陆路运输）》、运输建筑垃圾的车辆不整洁、不密闭装载，沿途泄漏、遗撒，车轮、车厢外侧带泥行驶，运输建筑垃圾造成道路污染等行为进行处罚；</w:t>
      </w:r>
      <w:r>
        <w:rPr>
          <w:rFonts w:hint="eastAsia" w:ascii="仿宋_GB2312" w:hAnsi="仿宋_GB2312" w:eastAsia="仿宋_GB2312" w:cs="仿宋_GB2312"/>
          <w:color w:val="auto"/>
          <w:sz w:val="32"/>
          <w:szCs w:val="32"/>
          <w:highlight w:val="none"/>
        </w:rPr>
        <w:t>负责对本辖区内临时装卸点的日常监督和检查工作，督促经营单位落实安全生产主体责任，完善日常管理制度和相关工作台账；负责督促临时装卸点及时整改存在的问题；负责查处非法装卸点及利用非法装卸点转运的车辆和工地</w:t>
      </w:r>
      <w:r>
        <w:rPr>
          <w:rFonts w:hint="eastAsia" w:ascii="仿宋_GB2312" w:hAnsi="仿宋_GB2312" w:eastAsia="仿宋_GB2312" w:cs="仿宋_GB2312"/>
          <w:color w:val="auto"/>
          <w:sz w:val="32"/>
          <w:szCs w:val="32"/>
          <w:highlight w:val="none"/>
          <w:lang w:eastAsia="zh-CN"/>
        </w:rPr>
        <w:t>。</w:t>
      </w:r>
    </w:p>
    <w:p w14:paraId="5DB53E28">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建筑垃圾的道路运输行为，由公安、交通部门依照道路交通安全法等有关法律法规进行监管处罚。</w:t>
      </w:r>
    </w:p>
    <w:p w14:paraId="57869B9F">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43" w:name="_Toc10442"/>
      <w:r>
        <w:rPr>
          <w:rFonts w:hint="eastAsia" w:ascii="Times New Roman" w:hAnsi="Times New Roman" w:cs="楷体_GB2312"/>
          <w:b/>
          <w:bCs w:val="0"/>
          <w:color w:val="auto"/>
          <w:spacing w:val="0"/>
          <w:kern w:val="2"/>
          <w:sz w:val="32"/>
          <w:szCs w:val="32"/>
          <w:highlight w:val="none"/>
          <w:lang w:val="en-US" w:eastAsia="zh-CN" w:bidi="ar-SA"/>
        </w:rPr>
        <w:t>水路运输核准及污染防治措施要求</w:t>
      </w:r>
      <w:bookmarkEnd w:id="43"/>
    </w:p>
    <w:p w14:paraId="52338133">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1.水路运输环节核准要求</w:t>
      </w:r>
    </w:p>
    <w:p w14:paraId="013DBD15">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建筑垃圾运输环节核准相关工作应符合</w:t>
      </w:r>
      <w:r>
        <w:rPr>
          <w:rFonts w:hint="eastAsia" w:ascii="仿宋_GB2312" w:hAnsi="仿宋_GB2312" w:eastAsia="仿宋_GB2312" w:cs="仿宋_GB2312"/>
          <w:color w:val="auto"/>
          <w:spacing w:val="0"/>
          <w:sz w:val="32"/>
          <w:szCs w:val="32"/>
          <w:highlight w:val="none"/>
          <w:lang w:eastAsia="zh-CN"/>
        </w:rPr>
        <w:t>《城市建筑垃圾管理规定》</w:t>
      </w:r>
      <w:r>
        <w:rPr>
          <w:rFonts w:hint="eastAsia" w:ascii="仿宋_GB2312" w:hAnsi="仿宋_GB2312" w:eastAsia="仿宋_GB2312" w:cs="仿宋_GB2312"/>
          <w:color w:val="auto"/>
          <w:spacing w:val="0"/>
          <w:sz w:val="32"/>
          <w:szCs w:val="32"/>
          <w:highlight w:val="none"/>
        </w:rPr>
        <w:t>《广东省建筑垃圾管理条例》</w:t>
      </w:r>
      <w:r>
        <w:rPr>
          <w:rFonts w:hint="eastAsia" w:ascii="仿宋_GB2312" w:hAnsi="仿宋_GB2312" w:eastAsia="仿宋_GB2312" w:cs="仿宋_GB2312"/>
          <w:color w:val="auto"/>
          <w:spacing w:val="0"/>
          <w:sz w:val="32"/>
          <w:szCs w:val="32"/>
          <w:highlight w:val="none"/>
          <w:lang w:eastAsia="zh-CN"/>
        </w:rPr>
        <w:t>《广州市建筑废弃物管理条例》</w:t>
      </w:r>
      <w:r>
        <w:rPr>
          <w:rFonts w:hint="eastAsia" w:ascii="仿宋_GB2312" w:hAnsi="仿宋_GB2312" w:eastAsia="仿宋_GB2312" w:cs="仿宋_GB2312"/>
          <w:color w:val="auto"/>
          <w:spacing w:val="0"/>
          <w:sz w:val="32"/>
          <w:szCs w:val="32"/>
          <w:highlight w:val="none"/>
          <w:lang w:val="en-US" w:eastAsia="zh-CN"/>
        </w:rPr>
        <w:t>《广州市水域市容环境卫生管理条例》</w:t>
      </w:r>
      <w:r>
        <w:rPr>
          <w:rFonts w:hint="eastAsia" w:ascii="仿宋_GB2312" w:hAnsi="仿宋_GB2312" w:eastAsia="仿宋_GB2312" w:cs="仿宋_GB2312"/>
          <w:color w:val="auto"/>
          <w:spacing w:val="0"/>
          <w:sz w:val="32"/>
          <w:szCs w:val="32"/>
          <w:highlight w:val="none"/>
          <w:lang w:eastAsia="zh-CN"/>
        </w:rPr>
        <w:t>等</w:t>
      </w:r>
      <w:r>
        <w:rPr>
          <w:rFonts w:hint="eastAsia" w:ascii="仿宋_GB2312" w:hAnsi="仿宋_GB2312" w:eastAsia="仿宋_GB2312" w:cs="仿宋_GB2312"/>
          <w:color w:val="auto"/>
          <w:spacing w:val="0"/>
          <w:kern w:val="2"/>
          <w:sz w:val="32"/>
          <w:szCs w:val="32"/>
          <w:highlight w:val="none"/>
          <w:lang w:val="en-US" w:eastAsia="zh-CN" w:bidi="ar-SA"/>
        </w:rPr>
        <w:t>规定。水路运输建筑垃圾的单位应当依法向建筑垃圾主管部门申请办理《广州市建筑废弃物处置证（水路运输）》</w:t>
      </w:r>
      <w:r>
        <w:rPr>
          <w:rFonts w:hint="eastAsia" w:ascii="仿宋_GB2312" w:hAnsi="仿宋_GB2312" w:eastAsia="仿宋_GB2312" w:cs="仿宋_GB2312"/>
          <w:color w:val="auto"/>
          <w:spacing w:val="0"/>
          <w:sz w:val="32"/>
          <w:szCs w:val="32"/>
          <w:highlight w:val="none"/>
          <w:lang w:val="en-US" w:eastAsia="zh-CN"/>
        </w:rPr>
        <w:t>。</w:t>
      </w:r>
    </w:p>
    <w:p w14:paraId="3A61EE64">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2.水路运输污染防治要求</w:t>
      </w:r>
    </w:p>
    <w:p w14:paraId="54ACAF4E">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建筑垃圾</w:t>
      </w:r>
      <w:r>
        <w:rPr>
          <w:rFonts w:hint="eastAsia" w:ascii="仿宋_GB2312" w:hAnsi="仿宋_GB2312" w:eastAsia="仿宋_GB2312" w:cs="仿宋_GB2312"/>
          <w:color w:val="auto"/>
          <w:spacing w:val="0"/>
          <w:sz w:val="32"/>
          <w:szCs w:val="32"/>
          <w:highlight w:val="none"/>
          <w:lang w:val="en-US" w:eastAsia="zh-CN"/>
        </w:rPr>
        <w:t>运输船舶应当符合载运技术条件，具备开底功能的船舶不得参与运输。运输单位应建立建筑垃圾运输管理台账。运输船舶应当到具备合法手续的建筑垃圾倾倒区或者消纳点卸载，不得沿途泄漏、遗撒、倾倒</w:t>
      </w:r>
      <w:r>
        <w:rPr>
          <w:rFonts w:hint="eastAsia" w:ascii="仿宋_GB2312" w:hAnsi="仿宋_GB2312" w:eastAsia="仿宋_GB2312" w:cs="仿宋_GB2312"/>
          <w:b w:val="0"/>
          <w:bCs w:val="0"/>
          <w:color w:val="auto"/>
          <w:spacing w:val="0"/>
          <w:sz w:val="32"/>
          <w:szCs w:val="32"/>
          <w:highlight w:val="none"/>
          <w:lang w:val="en-US" w:eastAsia="zh-CN"/>
        </w:rPr>
        <w:t>建筑垃圾</w:t>
      </w:r>
      <w:r>
        <w:rPr>
          <w:rFonts w:hint="eastAsia" w:ascii="仿宋_GB2312" w:hAnsi="仿宋_GB2312" w:eastAsia="仿宋_GB2312" w:cs="仿宋_GB2312"/>
          <w:color w:val="auto"/>
          <w:spacing w:val="0"/>
          <w:sz w:val="32"/>
          <w:szCs w:val="32"/>
          <w:highlight w:val="none"/>
          <w:lang w:val="en-US" w:eastAsia="zh-CN"/>
        </w:rPr>
        <w:t>，必须确保建筑垃圾被安全、合法地处理。</w:t>
      </w:r>
    </w:p>
    <w:p w14:paraId="7D19B470">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3.水路运输环节监管与执法</w:t>
      </w:r>
    </w:p>
    <w:p w14:paraId="3E27D6AD">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根据《广州市建筑垃圾污染环境防治工作规划（2024-2026）》，水路运输环节监管与执法由市建筑垃圾主管部门应当建立执法协作长效机制，定期组织交通、水务、生态环境、海事、港务等行政管理部门开展建筑垃圾水上运输联合检查，发现违反</w:t>
      </w:r>
      <w:r>
        <w:rPr>
          <w:rFonts w:hint="eastAsia" w:ascii="仿宋_GB2312" w:hAnsi="仿宋_GB2312" w:eastAsia="仿宋_GB2312" w:cs="仿宋_GB2312"/>
          <w:color w:val="auto"/>
          <w:spacing w:val="0"/>
          <w:sz w:val="32"/>
          <w:szCs w:val="32"/>
          <w:highlight w:val="none"/>
          <w:lang w:val="en-US" w:eastAsia="zh-CN"/>
        </w:rPr>
        <w:t>《广州市水域市容环境卫生管理条例》第二十七条和第二十八条规定的违法行为的，应当及时依法处理。</w:t>
      </w:r>
    </w:p>
    <w:p w14:paraId="046A9FD2">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44" w:name="_Toc11577"/>
      <w:r>
        <w:rPr>
          <w:rFonts w:hint="eastAsia" w:ascii="Times New Roman" w:hAnsi="Times New Roman" w:cs="楷体_GB2312"/>
          <w:b/>
          <w:bCs w:val="0"/>
          <w:color w:val="auto"/>
          <w:spacing w:val="0"/>
          <w:kern w:val="2"/>
          <w:sz w:val="32"/>
          <w:szCs w:val="32"/>
          <w:highlight w:val="none"/>
          <w:lang w:val="en-US" w:eastAsia="zh-CN" w:bidi="ar-SA"/>
        </w:rPr>
        <w:t>综合利用和消纳核准及污染防治措施要求</w:t>
      </w:r>
      <w:bookmarkEnd w:id="44"/>
    </w:p>
    <w:p w14:paraId="7846ADC7">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1.综合利用和消纳环节核准要求</w:t>
      </w:r>
    </w:p>
    <w:p w14:paraId="5FB2B336">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建筑垃圾综合利用、消纳核准相关工作应符合</w:t>
      </w:r>
      <w:r>
        <w:rPr>
          <w:rFonts w:hint="eastAsia" w:ascii="仿宋_GB2312" w:hAnsi="仿宋_GB2312" w:eastAsia="仿宋_GB2312" w:cs="仿宋_GB2312"/>
          <w:color w:val="auto"/>
          <w:spacing w:val="0"/>
          <w:sz w:val="32"/>
          <w:szCs w:val="32"/>
          <w:highlight w:val="none"/>
          <w:lang w:eastAsia="zh-CN"/>
        </w:rPr>
        <w:t>《城市建筑垃圾管理规定》</w:t>
      </w:r>
      <w:r>
        <w:rPr>
          <w:rFonts w:hint="eastAsia" w:ascii="仿宋_GB2312" w:hAnsi="仿宋_GB2312" w:eastAsia="仿宋_GB2312" w:cs="仿宋_GB2312"/>
          <w:color w:val="auto"/>
          <w:spacing w:val="0"/>
          <w:sz w:val="32"/>
          <w:szCs w:val="32"/>
          <w:highlight w:val="none"/>
        </w:rPr>
        <w:t>《广东省建筑垃圾管理条例》</w:t>
      </w:r>
      <w:r>
        <w:rPr>
          <w:rFonts w:hint="eastAsia" w:ascii="仿宋_GB2312" w:hAnsi="仿宋_GB2312" w:eastAsia="仿宋_GB2312" w:cs="仿宋_GB2312"/>
          <w:color w:val="auto"/>
          <w:spacing w:val="0"/>
          <w:sz w:val="32"/>
          <w:szCs w:val="32"/>
          <w:highlight w:val="none"/>
          <w:lang w:eastAsia="zh-CN"/>
        </w:rPr>
        <w:t>《广州市建筑废弃物管理条例》等</w:t>
      </w:r>
      <w:r>
        <w:rPr>
          <w:rFonts w:hint="eastAsia" w:ascii="仿宋_GB2312" w:hAnsi="仿宋_GB2312" w:eastAsia="仿宋_GB2312" w:cs="仿宋_GB2312"/>
          <w:color w:val="auto"/>
          <w:spacing w:val="0"/>
          <w:kern w:val="2"/>
          <w:sz w:val="32"/>
          <w:szCs w:val="32"/>
          <w:highlight w:val="none"/>
          <w:lang w:val="en-US" w:eastAsia="zh-CN" w:bidi="ar-SA"/>
        </w:rPr>
        <w:t>规定。建筑垃圾消纳人（指提供消纳场的产权单位、经营单位和个人以及回填工地的建设单位、施工单位和个人）应当依法向</w:t>
      </w:r>
      <w:r>
        <w:rPr>
          <w:rFonts w:hint="eastAsia" w:ascii="仿宋_GB2312" w:hAnsi="仿宋_GB2312" w:eastAsia="仿宋_GB2312" w:cs="仿宋_GB2312"/>
          <w:color w:val="auto"/>
          <w:sz w:val="32"/>
          <w:szCs w:val="32"/>
          <w:highlight w:val="none"/>
          <w:lang w:val="en-US" w:eastAsia="zh-CN"/>
        </w:rPr>
        <w:t>建筑垃圾主管部门</w:t>
      </w:r>
      <w:r>
        <w:rPr>
          <w:rFonts w:hint="eastAsia" w:ascii="仿宋_GB2312" w:hAnsi="仿宋_GB2312" w:eastAsia="仿宋_GB2312" w:cs="仿宋_GB2312"/>
          <w:color w:val="auto"/>
          <w:spacing w:val="0"/>
          <w:kern w:val="2"/>
          <w:sz w:val="32"/>
          <w:szCs w:val="32"/>
          <w:highlight w:val="none"/>
          <w:lang w:val="en-US" w:eastAsia="zh-CN" w:bidi="ar-SA"/>
        </w:rPr>
        <w:t>申请办理《广州市建筑废弃物处置证（消纳）》</w:t>
      </w:r>
      <w:r>
        <w:rPr>
          <w:rFonts w:hint="eastAsia" w:ascii="仿宋_GB2312" w:hAnsi="仿宋_GB2312" w:eastAsia="仿宋_GB2312" w:cs="仿宋_GB2312"/>
          <w:color w:val="auto"/>
          <w:spacing w:val="0"/>
          <w:sz w:val="32"/>
          <w:szCs w:val="32"/>
          <w:highlight w:val="none"/>
          <w:lang w:val="en-US" w:eastAsia="zh-CN"/>
        </w:rPr>
        <w:t>。</w:t>
      </w:r>
    </w:p>
    <w:p w14:paraId="051065A0">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2.综合利用和消纳环节污染防治要求</w:t>
      </w:r>
    </w:p>
    <w:p w14:paraId="3E316EA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消纳场应当遵守下列规定：（1）消纳场应设置有效的污水、扬尘、噪声、臭气等污染防治设施设备；（2）消纳场四周应设置围蔽设施，配备降尘所需的洒水车、雾炮车（机）等设施；（3）消纳场出入口应设置长度适宜的车辆冲洗设备设施，实施运输车辆全面冲洗，并合理设置冲洗废水收集系统；（4）消纳场堆填过程应当按设计要求严格控制作业面，避免大面积裸露带来水土流失和扬尘，建设临时拦挡、排水、沉沙、覆盖设施，防止水土流失；（5）对暂时无法复绿的区域，应当及时覆盖土工布、防尘布或土工膜；（6）建筑垃圾消纳场应建立完善的环境保护管理制度，包括设置环境保护宣传展板、定期对作业人员进行培训、定期维护环境保护设备与设施、建立环境保护应急预案等；（7）消纳场应根据环保要求开展环境监测；（8）消纳场应进行雨污分流，严禁未经处理的各类污水直接排放至自然水体或排水管网。消纳场污水处理工艺应根据污水的水质特性、产生量和达到的排放标准等因素，通过多种方案技术经济比较进行选择。</w:t>
      </w:r>
    </w:p>
    <w:p w14:paraId="4976AEE3">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w:t>
      </w:r>
      <w:r>
        <w:rPr>
          <w:rFonts w:hint="eastAsia" w:ascii="仿宋_GB2312" w:hAnsi="仿宋_GB2312" w:eastAsia="仿宋_GB2312" w:cs="仿宋_GB2312"/>
          <w:b w:val="0"/>
          <w:bCs w:val="0"/>
          <w:color w:val="auto"/>
          <w:spacing w:val="0"/>
          <w:sz w:val="32"/>
          <w:szCs w:val="32"/>
          <w:highlight w:val="none"/>
          <w:lang w:val="en-US" w:eastAsia="zh-CN"/>
        </w:rPr>
        <w:t>资源化利用项目</w:t>
      </w:r>
      <w:r>
        <w:rPr>
          <w:rFonts w:hint="eastAsia" w:ascii="仿宋_GB2312" w:hAnsi="仿宋_GB2312" w:eastAsia="仿宋_GB2312" w:cs="仿宋_GB2312"/>
          <w:color w:val="auto"/>
          <w:spacing w:val="0"/>
          <w:sz w:val="32"/>
          <w:szCs w:val="32"/>
          <w:highlight w:val="none"/>
          <w:lang w:val="en-US" w:eastAsia="zh-CN"/>
        </w:rPr>
        <w:t>应遵守下列规定：（1）建筑垃圾</w:t>
      </w:r>
      <w:r>
        <w:rPr>
          <w:rFonts w:hint="eastAsia" w:ascii="仿宋_GB2312" w:hAnsi="仿宋_GB2312" w:eastAsia="仿宋_GB2312" w:cs="仿宋_GB2312"/>
          <w:b w:val="0"/>
          <w:bCs w:val="0"/>
          <w:color w:val="auto"/>
          <w:spacing w:val="0"/>
          <w:sz w:val="32"/>
          <w:szCs w:val="32"/>
          <w:highlight w:val="none"/>
          <w:lang w:val="en-US" w:eastAsia="zh-CN"/>
        </w:rPr>
        <w:t>资源化利用项目</w:t>
      </w:r>
      <w:r>
        <w:rPr>
          <w:rFonts w:hint="eastAsia" w:ascii="仿宋_GB2312" w:hAnsi="仿宋_GB2312" w:eastAsia="仿宋_GB2312" w:cs="仿宋_GB2312"/>
          <w:color w:val="auto"/>
          <w:spacing w:val="0"/>
          <w:sz w:val="32"/>
          <w:szCs w:val="32"/>
          <w:highlight w:val="none"/>
          <w:lang w:val="en-US" w:eastAsia="zh-CN"/>
        </w:rPr>
        <w:t>应设置有效的污水、扬尘、噪声、臭气等污染防治设施设备；（2）物料输送设备与设施必须采用全封闭设计，进料端及出料端必须设置收尘及降尘装置；（3）无组织排放的扬尘场所应采取喷雾、洒水、围挡等防尘措施；（4）易产生扬尘的工序应配置收尘系统与降尘设施，粉尘排放指标应满足环保要求；（5）工厂的厂界、车间、设备应采取声源降噪、传播途径降噪和人员防护相结合的降噪措施；（6）破碎筛分车间、粉磨车间及罗茨风机房、压缩空气站等建筑物，应减小外墙上的门、窗面积，外墙围护结构应具有隔声能力；（7）设备降噪设计应进行设备基础减振处理；（8）厂区宜采用绿化降噪；（9）建筑垃圾</w:t>
      </w:r>
      <w:r>
        <w:rPr>
          <w:rFonts w:hint="eastAsia" w:ascii="仿宋_GB2312" w:hAnsi="仿宋_GB2312" w:eastAsia="仿宋_GB2312" w:cs="仿宋_GB2312"/>
          <w:b w:val="0"/>
          <w:bCs w:val="0"/>
          <w:color w:val="auto"/>
          <w:spacing w:val="0"/>
          <w:sz w:val="32"/>
          <w:szCs w:val="32"/>
          <w:highlight w:val="none"/>
          <w:lang w:val="en-US" w:eastAsia="zh-CN"/>
        </w:rPr>
        <w:t>资源化利用项目</w:t>
      </w:r>
      <w:r>
        <w:rPr>
          <w:rFonts w:hint="eastAsia" w:ascii="仿宋_GB2312" w:hAnsi="仿宋_GB2312" w:eastAsia="仿宋_GB2312" w:cs="仿宋_GB2312"/>
          <w:color w:val="auto"/>
          <w:spacing w:val="0"/>
          <w:sz w:val="32"/>
          <w:szCs w:val="32"/>
          <w:highlight w:val="none"/>
          <w:lang w:val="en-US" w:eastAsia="zh-CN"/>
        </w:rPr>
        <w:t>应根据环保要求开展环境监测；（10）建筑垃圾</w:t>
      </w:r>
      <w:r>
        <w:rPr>
          <w:rFonts w:hint="eastAsia" w:ascii="仿宋_GB2312" w:hAnsi="仿宋_GB2312" w:eastAsia="仿宋_GB2312" w:cs="仿宋_GB2312"/>
          <w:b w:val="0"/>
          <w:bCs w:val="0"/>
          <w:color w:val="auto"/>
          <w:spacing w:val="0"/>
          <w:sz w:val="32"/>
          <w:szCs w:val="32"/>
          <w:highlight w:val="none"/>
          <w:lang w:val="en-US" w:eastAsia="zh-CN"/>
        </w:rPr>
        <w:t>资源化利用项目</w:t>
      </w:r>
      <w:r>
        <w:rPr>
          <w:rFonts w:hint="eastAsia" w:ascii="仿宋_GB2312" w:hAnsi="仿宋_GB2312" w:eastAsia="仿宋_GB2312" w:cs="仿宋_GB2312"/>
          <w:color w:val="auto"/>
          <w:spacing w:val="0"/>
          <w:sz w:val="32"/>
          <w:szCs w:val="32"/>
          <w:highlight w:val="none"/>
          <w:lang w:val="en-US" w:eastAsia="zh-CN"/>
        </w:rPr>
        <w:t>应进行雨污分流，严禁未经处理的各类污水直接排放至自然水体或排水管网。厂区污水处理工艺应根据污水的水质特性、产生量和达到的排放标准等因素，通过多种方案技术经济比较进行选择；（11）场内临时堆放区等应参照消纳场相关规定；（12）综合利用过程中分选分离出的轻物质应收集后运往垃圾焚烧厂或其他具有相应资质的处理企业进行处理；综合利用产生的尾泥等无法综合利用的建筑废弃物，应根据其对市容及环境卫生的影响作相应无害化处置或暂存处理；相关轻物质、尾泥等不得随意丢弃或排放，应参照建筑垃圾联单管理机制，做到来源可溯、去向可追、责任可究。</w:t>
      </w:r>
    </w:p>
    <w:p w14:paraId="4D865FD4">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3.综合利用和消纳环节监管与执法</w:t>
      </w:r>
    </w:p>
    <w:p w14:paraId="05B2F3C2">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镇人民政府、街道办事处：</w:t>
      </w:r>
      <w:r>
        <w:rPr>
          <w:rFonts w:hint="eastAsia" w:ascii="仿宋_GB2312" w:hAnsi="仿宋_GB2312" w:eastAsia="仿宋_GB2312" w:cs="仿宋_GB2312"/>
          <w:color w:val="auto"/>
          <w:sz w:val="32"/>
          <w:szCs w:val="32"/>
          <w:highlight w:val="none"/>
          <w:u w:val="none"/>
          <w:lang w:eastAsia="zh-CN"/>
        </w:rPr>
        <w:t>负责对未办理《广州市建筑废弃物处置证》消纳</w:t>
      </w:r>
      <w:r>
        <w:rPr>
          <w:rFonts w:hint="eastAsia" w:ascii="仿宋_GB2312" w:hAnsi="仿宋_GB2312" w:eastAsia="仿宋_GB2312" w:cs="仿宋_GB2312"/>
          <w:color w:val="auto"/>
          <w:spacing w:val="0"/>
          <w:sz w:val="32"/>
          <w:szCs w:val="32"/>
          <w:highlight w:val="none"/>
          <w:lang w:val="en-US" w:eastAsia="zh-CN"/>
        </w:rPr>
        <w:t>建筑垃圾</w:t>
      </w:r>
      <w:r>
        <w:rPr>
          <w:rFonts w:hint="eastAsia" w:ascii="仿宋_GB2312" w:hAnsi="仿宋_GB2312" w:eastAsia="仿宋_GB2312" w:cs="仿宋_GB2312"/>
          <w:color w:val="auto"/>
          <w:sz w:val="32"/>
          <w:szCs w:val="32"/>
          <w:highlight w:val="none"/>
          <w:u w:val="none"/>
          <w:lang w:eastAsia="zh-CN"/>
        </w:rPr>
        <w:t>、未保持场区出入口清洁，造成环境污染等行为进行处罚</w:t>
      </w:r>
      <w:r>
        <w:rPr>
          <w:rFonts w:hint="eastAsia" w:ascii="仿宋_GB2312" w:hAnsi="仿宋_GB2312" w:eastAsia="仿宋_GB2312" w:cs="仿宋_GB2312"/>
          <w:color w:val="auto"/>
          <w:spacing w:val="0"/>
          <w:sz w:val="32"/>
          <w:szCs w:val="32"/>
          <w:highlight w:val="none"/>
          <w:lang w:val="en-US" w:eastAsia="zh-CN"/>
        </w:rPr>
        <w:t>。</w:t>
      </w:r>
    </w:p>
    <w:p w14:paraId="5FA34B4D">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45" w:name="_Toc24103"/>
      <w:r>
        <w:rPr>
          <w:rFonts w:hint="eastAsia" w:ascii="Times New Roman" w:hAnsi="Times New Roman" w:cs="楷体_GB2312"/>
          <w:b/>
          <w:bCs w:val="0"/>
          <w:color w:val="auto"/>
          <w:spacing w:val="0"/>
          <w:kern w:val="2"/>
          <w:sz w:val="32"/>
          <w:szCs w:val="32"/>
          <w:highlight w:val="none"/>
          <w:lang w:val="en-US" w:eastAsia="zh-CN" w:bidi="ar-SA"/>
        </w:rPr>
        <w:t>联单管理要求</w:t>
      </w:r>
      <w:bookmarkEnd w:id="45"/>
    </w:p>
    <w:p w14:paraId="59203D0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本区实行建筑垃圾产生、收集、贮存、运输、利用、处置联单管理制度，利用信息化手段推行电子联单管理，实现建筑垃圾种类、数量和流向等情况可追溯、可查询。</w:t>
      </w:r>
    </w:p>
    <w:p w14:paraId="47A9851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default" w:ascii="仿宋_GB2312" w:hAnsi="仿宋_GB2312" w:eastAsia="仿宋_GB2312" w:cs="仿宋_GB2312"/>
          <w:color w:val="auto"/>
          <w:spacing w:val="0"/>
          <w:sz w:val="32"/>
          <w:szCs w:val="32"/>
          <w:highlight w:val="none"/>
          <w:lang w:val="en-US" w:eastAsia="zh-CN"/>
        </w:rPr>
        <w:t>建筑垃圾转移活动</w:t>
      </w:r>
      <w:r>
        <w:rPr>
          <w:rFonts w:hint="eastAsia" w:ascii="仿宋_GB2312" w:hAnsi="仿宋_GB2312" w:eastAsia="仿宋_GB2312" w:cs="仿宋_GB2312"/>
          <w:color w:val="auto"/>
          <w:spacing w:val="0"/>
          <w:sz w:val="32"/>
          <w:szCs w:val="32"/>
          <w:highlight w:val="none"/>
          <w:lang w:val="en-US" w:eastAsia="zh-CN"/>
        </w:rPr>
        <w:t>及其</w:t>
      </w:r>
      <w:r>
        <w:rPr>
          <w:rFonts w:hint="default" w:ascii="仿宋_GB2312" w:hAnsi="仿宋_GB2312" w:eastAsia="仿宋_GB2312" w:cs="仿宋_GB2312"/>
          <w:color w:val="auto"/>
          <w:spacing w:val="0"/>
          <w:sz w:val="32"/>
          <w:szCs w:val="32"/>
          <w:highlight w:val="none"/>
          <w:lang w:val="en-US" w:eastAsia="zh-CN"/>
        </w:rPr>
        <w:t>各环节的监督管理工作应符合《</w:t>
      </w:r>
      <w:r>
        <w:rPr>
          <w:rFonts w:hint="eastAsia" w:ascii="仿宋_GB2312" w:hAnsi="仿宋_GB2312" w:eastAsia="仿宋_GB2312" w:cs="仿宋_GB2312"/>
          <w:color w:val="auto"/>
          <w:spacing w:val="0"/>
          <w:sz w:val="32"/>
          <w:szCs w:val="32"/>
          <w:highlight w:val="none"/>
          <w:lang w:val="en-US" w:eastAsia="zh-CN"/>
        </w:rPr>
        <w:t>广东省建筑垃圾转移联单管理办法</w:t>
      </w:r>
      <w:r>
        <w:rPr>
          <w:rFonts w:hint="default" w:ascii="仿宋_GB2312" w:hAnsi="仿宋_GB2312" w:eastAsia="仿宋_GB2312" w:cs="仿宋_GB2312"/>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eastAsia="zh-CN"/>
        </w:rPr>
        <w:t>《广州市建筑废弃物管理条例》</w:t>
      </w:r>
      <w:r>
        <w:rPr>
          <w:rFonts w:hint="eastAsia" w:ascii="仿宋_GB2312" w:hAnsi="仿宋_GB2312" w:eastAsia="仿宋_GB2312" w:cs="仿宋_GB2312"/>
          <w:color w:val="auto"/>
          <w:spacing w:val="0"/>
          <w:sz w:val="32"/>
          <w:szCs w:val="32"/>
          <w:highlight w:val="none"/>
          <w:lang w:val="en-US" w:eastAsia="zh-CN"/>
        </w:rPr>
        <w:t>《广州市建筑废弃物车辆运输联单管理办法》</w:t>
      </w:r>
      <w:r>
        <w:rPr>
          <w:rFonts w:hint="default" w:ascii="仿宋_GB2312" w:hAnsi="仿宋_GB2312" w:eastAsia="仿宋_GB2312" w:cs="仿宋_GB2312"/>
          <w:color w:val="auto"/>
          <w:spacing w:val="0"/>
          <w:sz w:val="32"/>
          <w:szCs w:val="32"/>
          <w:highlight w:val="none"/>
          <w:lang w:val="en-US" w:eastAsia="zh-CN"/>
        </w:rPr>
        <w:t>《</w:t>
      </w:r>
      <w:r>
        <w:rPr>
          <w:rFonts w:hint="eastAsia" w:ascii="仿宋_GB2312" w:hAnsi="仿宋_GB2312" w:eastAsia="仿宋_GB2312" w:cs="仿宋_GB2312"/>
          <w:color w:val="auto"/>
          <w:spacing w:val="0"/>
          <w:sz w:val="32"/>
          <w:szCs w:val="32"/>
          <w:highlight w:val="none"/>
          <w:lang w:val="en-US" w:eastAsia="zh-CN"/>
        </w:rPr>
        <w:t>广州市装饰装修废弃物管理办法</w:t>
      </w:r>
      <w:r>
        <w:rPr>
          <w:rFonts w:hint="default" w:ascii="仿宋_GB2312" w:hAnsi="仿宋_GB2312" w:eastAsia="仿宋_GB2312" w:cs="仿宋_GB2312"/>
          <w:color w:val="auto"/>
          <w:spacing w:val="0"/>
          <w:sz w:val="32"/>
          <w:szCs w:val="32"/>
          <w:highlight w:val="none"/>
          <w:lang w:val="en-US" w:eastAsia="zh-CN"/>
        </w:rPr>
        <w:t>》等规定</w:t>
      </w:r>
      <w:r>
        <w:rPr>
          <w:rFonts w:hint="eastAsia" w:ascii="仿宋_GB2312" w:hAnsi="仿宋_GB2312" w:eastAsia="仿宋_GB2312" w:cs="仿宋_GB2312"/>
          <w:color w:val="auto"/>
          <w:spacing w:val="0"/>
          <w:sz w:val="32"/>
          <w:szCs w:val="32"/>
          <w:highlight w:val="none"/>
          <w:lang w:val="en-US" w:eastAsia="zh-CN"/>
        </w:rPr>
        <w:t>。建筑垃圾排放、运输、处置单位应在省建筑垃圾跨区域平衡处置协作监管平台或广州市建筑垃圾智慧综合管理系统运行相关联单。</w:t>
      </w:r>
    </w:p>
    <w:p w14:paraId="60F8DE31">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default" w:ascii="仿宋_GB2312" w:hAnsi="仿宋_GB2312" w:eastAsia="仿宋_GB2312" w:cs="仿宋_GB2312"/>
          <w:color w:val="auto"/>
          <w:spacing w:val="0"/>
          <w:sz w:val="32"/>
          <w:szCs w:val="32"/>
          <w:highlight w:val="none"/>
          <w:lang w:val="en-US" w:eastAsia="zh-CN"/>
        </w:rPr>
        <w:t>建筑垃圾转移联单内容包括排放单位、排放工地、建筑垃圾类别及数量、运输单位、运输工具、驾驶员、行驶路线、运输时间、消纳单位、消纳方式和排放、运输、消纳核准等信息，自运输车辆离开排放单位时开始运转，到达预定消纳单位时结束。排放单位、运输单位和消纳单位应分别指定工作人员在各自负责环节进行联单信息核对、确认，各联单确认人是联单管理的直接责任人。</w:t>
      </w:r>
    </w:p>
    <w:p w14:paraId="5213B850">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区人民政府有关部门依据各自职责做好建筑垃圾转移活动各环节的监督管理工作，共同落实建筑垃圾转移联单制度。</w:t>
      </w:r>
    </w:p>
    <w:p w14:paraId="13BA82CF">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46" w:name="_Toc17561"/>
      <w:r>
        <w:rPr>
          <w:rFonts w:hint="eastAsia" w:ascii="Times New Roman" w:hAnsi="Times New Roman" w:cs="楷体_GB2312"/>
          <w:b/>
          <w:bCs w:val="0"/>
          <w:color w:val="auto"/>
          <w:spacing w:val="0"/>
          <w:kern w:val="2"/>
          <w:sz w:val="32"/>
          <w:szCs w:val="32"/>
          <w:highlight w:val="none"/>
          <w:lang w:val="en-US" w:eastAsia="zh-CN" w:bidi="ar-SA"/>
        </w:rPr>
        <w:t>安全风险防控工作要求</w:t>
      </w:r>
      <w:bookmarkEnd w:id="46"/>
    </w:p>
    <w:p w14:paraId="14070B2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建筑垃圾安全风险防控相关工作应符合《中华人民共和国固体废物污染环境防治法》《广东省建筑垃圾管理条例》</w:t>
      </w:r>
      <w:r>
        <w:rPr>
          <w:rFonts w:hint="eastAsia" w:ascii="仿宋_GB2312" w:hAnsi="仿宋_GB2312" w:eastAsia="仿宋_GB2312" w:cs="仿宋_GB2312"/>
          <w:color w:val="auto"/>
          <w:spacing w:val="0"/>
          <w:sz w:val="32"/>
          <w:szCs w:val="32"/>
          <w:highlight w:val="none"/>
          <w:lang w:eastAsia="zh-CN"/>
        </w:rPr>
        <w:t>《广州市建筑废弃物管理条例》</w:t>
      </w:r>
      <w:r>
        <w:rPr>
          <w:rFonts w:hint="eastAsia" w:ascii="仿宋_GB2312" w:hAnsi="仿宋_GB2312" w:eastAsia="仿宋_GB2312" w:cs="仿宋_GB2312"/>
          <w:color w:val="auto"/>
          <w:spacing w:val="0"/>
          <w:sz w:val="32"/>
          <w:szCs w:val="32"/>
          <w:highlight w:val="none"/>
          <w:lang w:val="en-US" w:eastAsia="zh-CN"/>
        </w:rPr>
        <w:t>等规定，根据国务院安委办对我省特别重大生产安全事故整改“回头看”和国务院大督查有关要求，要进一步加强建筑垃圾全流程管理，建筑垃圾主管</w:t>
      </w:r>
      <w:r>
        <w:rPr>
          <w:rFonts w:hint="default" w:ascii="仿宋_GB2312" w:hAnsi="仿宋_GB2312" w:eastAsia="仿宋_GB2312" w:cs="仿宋_GB2312"/>
          <w:color w:val="auto"/>
          <w:spacing w:val="0"/>
          <w:sz w:val="32"/>
          <w:szCs w:val="32"/>
          <w:highlight w:val="none"/>
          <w:lang w:val="en-US" w:eastAsia="zh-CN"/>
        </w:rPr>
        <w:t>部门</w:t>
      </w:r>
      <w:r>
        <w:rPr>
          <w:rFonts w:hint="eastAsia" w:ascii="仿宋_GB2312" w:hAnsi="仿宋_GB2312" w:eastAsia="仿宋_GB2312" w:cs="仿宋_GB2312"/>
          <w:color w:val="auto"/>
          <w:spacing w:val="0"/>
          <w:sz w:val="32"/>
          <w:szCs w:val="32"/>
          <w:highlight w:val="none"/>
          <w:lang w:val="en-US" w:eastAsia="zh-CN"/>
        </w:rPr>
        <w:t>定期组织开展建筑垃圾安全生产排查整治工作，抽查建筑垃圾排放、运输、消纳和资源化利用设施的安全运营管理情况，制定问题台账，及时整改，并持续跟踪。应参照《广东省安全生产领域风险点危险源排查管控工作指南》要求做好安全风险评估及风险防范措施。</w:t>
      </w:r>
    </w:p>
    <w:p w14:paraId="398CABFE">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各类建筑垃圾处置设施的安全事故预防控制应符合以下要求：（1）从事建筑垃圾收集、运输、处理的单位应对作业人员进行劳动安全卫生保护专业培训；（2）建筑垃圾处理工程应按规定配置作业机械、劳动工具与职业病防护用品；（3）应在建筑垃圾处理工程现场设置劳动防护用品贮存室，定期盘库，及时补充；定期对使用过的劳动防护用品进行清洗和消毒：及时更换有破损的劳动防护用品；（4）建筑垃圾处理工程应设道路行车指示、安全标志及环境卫生设施设置标志；（5）建筑垃圾堆放、堆填、填埋处置高度和边坡应符合安全稳定要求；（6）作业过程的安全卫生管理应符合现行国家标准《生产过程安全卫生要求总则》（GB/T 12801）的有关规定，并应结合作业特点采取有利于职业病防治和保护作业人员健康的措施；（7）建筑垃圾收集、运输、处理系统的环境保护与安全卫生除满足以上规定外，尚应符合国家现行相关标准的规定。</w:t>
      </w:r>
    </w:p>
    <w:p w14:paraId="4C320C2D">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47" w:name="_Toc18880"/>
      <w:r>
        <w:rPr>
          <w:rFonts w:hint="eastAsia" w:ascii="Times New Roman" w:hAnsi="Times New Roman" w:cs="楷体_GB2312"/>
          <w:b/>
          <w:bCs w:val="0"/>
          <w:color w:val="auto"/>
          <w:spacing w:val="0"/>
          <w:kern w:val="2"/>
          <w:sz w:val="32"/>
          <w:szCs w:val="32"/>
          <w:highlight w:val="none"/>
          <w:lang w:val="en-US" w:eastAsia="zh-CN" w:bidi="ar-SA"/>
        </w:rPr>
        <w:t>设施环境影响评价及环境监测工作要求</w:t>
      </w:r>
      <w:bookmarkEnd w:id="47"/>
    </w:p>
    <w:p w14:paraId="0718F67C">
      <w:pPr>
        <w:widowControl/>
        <w:overflowPunct w:val="0"/>
        <w:adjustRightInd/>
        <w:snapToGrid/>
        <w:spacing w:line="600" w:lineRule="exact"/>
        <w:ind w:firstLine="643" w:firstLineChars="200"/>
        <w:jc w:val="both"/>
        <w:rPr>
          <w:rFonts w:hint="default" w:ascii="仿宋_GB2312" w:hAnsi="仿宋_GB2312" w:eastAsia="仿宋_GB2312" w:cs="仿宋_GB2312"/>
          <w:color w:val="auto"/>
          <w:highlight w:val="none"/>
          <w:lang w:val="en-US"/>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1.</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设施环评</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要求</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及流程</w:t>
      </w:r>
    </w:p>
    <w:p w14:paraId="42D87A1D">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（1）环评要求</w:t>
      </w:r>
    </w:p>
    <w:p w14:paraId="14ECD9F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根据《建设项目环境影响评价分类管理名录》(生态环境部今第16号)第103条规定，建筑垃圾处理处置相关设施建设项目应办理环境影响评价手续，落实相关环保措施，防止造成环境污染和生态破坏。</w:t>
      </w:r>
    </w:p>
    <w:p w14:paraId="15E33687">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在办理环境影响评价手续时，并无区分移动式资源化利用项目与固定式资源化利用项目，均属于建筑垃圾资源化利用项目。</w:t>
      </w:r>
    </w:p>
    <w:p w14:paraId="6475E8BB">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（2）环评流程</w:t>
      </w:r>
    </w:p>
    <w:p w14:paraId="7C21169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①项目实施单位应按照《建设项目环境影响评价分类管理名录》中规定的类别，向属地生态环境管理部门提交建设单位申请报批项目环评文件的申请书、建设项目环境影响报告表等资料，取得建设项目环境影响报告审批，取得关于《建设项目环境影响评价报告书、报告表》的批复。</w:t>
      </w:r>
    </w:p>
    <w:p w14:paraId="5C897170">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②从事砖瓦、石材等建筑材料制造:粘土砖瓦及建筑砌块制造;建筑用石加工;防水建筑材料制造;隔热、隔音材料制造;其他建筑材料制造(含干粉砂浆搅拌站)以上均不含利用石材板材切割、打磨、成型的项目，编制环境影响报告表。</w:t>
      </w:r>
    </w:p>
    <w:p w14:paraId="4FF3DBA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③从事非金属废料和碎屑加工处理中含水洗工艺的其他废料和碎屑加工处理的项目，编制环境影响报告表。</w:t>
      </w:r>
    </w:p>
    <w:p w14:paraId="1614EBA0">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④从事上述类别以外项目的，应按照《建设项目环境影响评价分类管理名录》相关分类要求，结合具体项目情况，办理相应的审批手续。</w:t>
      </w:r>
    </w:p>
    <w:p w14:paraId="44C2BFD2">
      <w:pPr>
        <w:widowControl/>
        <w:overflowPunct w:val="0"/>
        <w:adjustRightInd/>
        <w:snapToGrid/>
        <w:spacing w:line="600" w:lineRule="exact"/>
        <w:ind w:firstLine="643" w:firstLineChars="200"/>
        <w:jc w:val="both"/>
        <w:rPr>
          <w:rFonts w:ascii="仿宋_GB2312" w:hAnsi="仿宋_GB2312" w:eastAsia="仿宋_GB2312" w:cs="仿宋_GB2312"/>
          <w:color w:val="auto"/>
          <w:highlight w:val="none"/>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2.</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设施环境监测</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要求</w:t>
      </w:r>
    </w:p>
    <w:p w14:paraId="139AD7A4">
      <w:pPr>
        <w:widowControl/>
        <w:overflowPunct w:val="0"/>
        <w:adjustRightInd/>
        <w:snapToGrid/>
        <w:spacing w:line="600" w:lineRule="exact"/>
        <w:ind w:firstLine="640" w:firstLineChars="200"/>
        <w:jc w:val="both"/>
        <w:rPr>
          <w:rFonts w:hint="default" w:ascii="仿宋_GB2312" w:hAnsi="仿宋_GB2312" w:eastAsia="仿宋_GB2312" w:cs="仿宋_GB2312"/>
          <w:b w:val="0"/>
          <w:bCs w:val="0"/>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color w:val="auto"/>
          <w:spacing w:val="0"/>
          <w:sz w:val="32"/>
          <w:szCs w:val="32"/>
          <w:highlight w:val="none"/>
          <w:lang w:val="en-US" w:eastAsia="zh-CN"/>
        </w:rPr>
        <w:t>建筑垃圾处理处置相关设施环境监测工作应符合《建筑垃圾处理技术标准》（CJJ/T 134）及项目环评批复等要求</w:t>
      </w:r>
      <w:r>
        <w:rPr>
          <w:rFonts w:hint="default" w:ascii="仿宋_GB2312" w:hAnsi="仿宋_GB2312" w:eastAsia="仿宋_GB2312" w:cs="仿宋_GB2312"/>
          <w:b w:val="0"/>
          <w:bCs w:val="0"/>
          <w:i w:val="0"/>
          <w:iCs w:val="0"/>
          <w:color w:val="auto"/>
          <w:spacing w:val="0"/>
          <w:kern w:val="2"/>
          <w:sz w:val="32"/>
          <w:szCs w:val="32"/>
          <w:highlight w:val="none"/>
          <w:vertAlign w:val="baseline"/>
          <w:lang w:val="en-US" w:eastAsia="zh-CN" w:bidi="ar-SA"/>
        </w:rPr>
        <w:t>。</w:t>
      </w:r>
    </w:p>
    <w:p w14:paraId="3E73ECD0">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p>
    <w:p w14:paraId="1B0F0A3D">
      <w:pPr>
        <w:overflowPunct w:val="0"/>
        <w:jc w:val="both"/>
        <w:rPr>
          <w:rFonts w:hint="default" w:ascii="仿宋_GB2312" w:hAnsi="仿宋_GB2312" w:eastAsia="仿宋_GB2312" w:cs="仿宋_GB2312"/>
          <w:color w:val="auto"/>
          <w:spacing w:val="0"/>
          <w:highlight w:val="none"/>
          <w:lang w:val="en-US" w:eastAsia="zh-CN"/>
        </w:rPr>
      </w:pPr>
    </w:p>
    <w:p w14:paraId="60EFD3DA">
      <w:pPr>
        <w:overflowPunct w:val="0"/>
        <w:jc w:val="both"/>
        <w:rPr>
          <w:rFonts w:hint="default" w:ascii="仿宋_GB2312" w:hAnsi="仿宋_GB2312" w:eastAsia="仿宋_GB2312" w:cs="仿宋_GB2312"/>
          <w:color w:val="auto"/>
          <w:spacing w:val="0"/>
          <w:highlight w:val="none"/>
          <w:lang w:val="en-US" w:eastAsia="zh-CN"/>
        </w:rPr>
      </w:pPr>
    </w:p>
    <w:p w14:paraId="36E542ED">
      <w:pPr>
        <w:pStyle w:val="3"/>
        <w:bidi w:val="0"/>
        <w:ind w:left="420" w:leftChars="0" w:firstLine="220" w:firstLineChars="0"/>
        <w:rPr>
          <w:rFonts w:hint="default" w:ascii="Times New Roman" w:hAnsi="Times New Roman"/>
          <w:b/>
          <w:bCs/>
          <w:color w:val="auto"/>
          <w:spacing w:val="0"/>
          <w:highlight w:val="none"/>
          <w:lang w:val="en-US" w:eastAsia="zh-CN"/>
        </w:rPr>
      </w:pPr>
      <w:bookmarkStart w:id="48" w:name="_Toc29063"/>
      <w:bookmarkStart w:id="49" w:name="_Toc25666"/>
      <w:r>
        <w:rPr>
          <w:rFonts w:hint="eastAsia" w:ascii="Times New Roman" w:hAnsi="Times New Roman" w:eastAsia="黑体" w:cs="黑体"/>
          <w:b/>
          <w:bCs/>
          <w:color w:val="auto"/>
          <w:spacing w:val="0"/>
          <w:sz w:val="32"/>
          <w:szCs w:val="32"/>
          <w:highlight w:val="none"/>
          <w:lang w:val="en-US" w:eastAsia="zh-CN"/>
        </w:rPr>
        <w:t>源头排放污染防治策略</w:t>
      </w:r>
      <w:bookmarkEnd w:id="48"/>
      <w:bookmarkEnd w:id="49"/>
    </w:p>
    <w:p w14:paraId="6AF195F3">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50" w:name="_Toc23693"/>
      <w:r>
        <w:rPr>
          <w:rFonts w:hint="eastAsia" w:ascii="Times New Roman" w:hAnsi="Times New Roman" w:cs="楷体_GB2312"/>
          <w:b/>
          <w:bCs w:val="0"/>
          <w:color w:val="auto"/>
          <w:spacing w:val="0"/>
          <w:kern w:val="2"/>
          <w:sz w:val="32"/>
          <w:szCs w:val="32"/>
          <w:highlight w:val="none"/>
          <w:lang w:val="en-US" w:eastAsia="zh-CN" w:bidi="ar-SA"/>
        </w:rPr>
        <w:t>源头减量目标</w:t>
      </w:r>
      <w:bookmarkEnd w:id="50"/>
    </w:p>
    <w:p w14:paraId="5B6B7B8D">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新建建筑施工现场建筑垃圾排放量（不包括工程渣土、工程泥浆）排放量每万平方米不高于300吨，装配式建筑施工现场建筑垃圾排放量（不包括工程渣土、工程泥浆）排放量每万平方米不高于200吨。</w:t>
      </w:r>
    </w:p>
    <w:p w14:paraId="4EC766C2">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51" w:name="_Toc2862"/>
      <w:r>
        <w:rPr>
          <w:rFonts w:hint="eastAsia" w:ascii="Times New Roman" w:hAnsi="Times New Roman" w:cs="楷体_GB2312"/>
          <w:b/>
          <w:bCs w:val="0"/>
          <w:color w:val="auto"/>
          <w:spacing w:val="0"/>
          <w:kern w:val="2"/>
          <w:sz w:val="32"/>
          <w:szCs w:val="32"/>
          <w:highlight w:val="none"/>
          <w:lang w:val="en-US" w:eastAsia="zh-CN" w:bidi="ar-SA"/>
        </w:rPr>
        <w:t>落实源头减量主体责任</w:t>
      </w:r>
      <w:bookmarkEnd w:id="51"/>
    </w:p>
    <w:p w14:paraId="0C56FAB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区人民政府统筹相关部门，通过优化城乡建设用地竖向规划，推广装配式建筑、全装修成品住房、绿色建筑，鼓励采用先进技术、标准、工艺、设备、材料和管理措施等方式，开展绿色策划、实施绿色设计、推广绿色施工，推进建筑垃圾源头减量。</w:t>
      </w:r>
    </w:p>
    <w:p w14:paraId="73EA3215">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default" w:ascii="仿宋_GB2312" w:hAnsi="仿宋_GB2312" w:eastAsia="仿宋_GB2312" w:cs="仿宋_GB2312"/>
          <w:color w:val="auto"/>
          <w:spacing w:val="0"/>
          <w:sz w:val="32"/>
          <w:szCs w:val="32"/>
          <w:highlight w:val="none"/>
          <w:lang w:val="en-US" w:eastAsia="zh-CN"/>
        </w:rPr>
        <w:t>建设工程主管部门负责排查本部门监管的</w:t>
      </w:r>
      <w:r>
        <w:rPr>
          <w:rFonts w:hint="eastAsia" w:ascii="仿宋_GB2312" w:hAnsi="仿宋_GB2312" w:eastAsia="仿宋_GB2312" w:cs="仿宋_GB2312"/>
          <w:color w:val="auto"/>
          <w:spacing w:val="0"/>
          <w:sz w:val="32"/>
          <w:szCs w:val="32"/>
          <w:highlight w:val="none"/>
          <w:lang w:val="en-US" w:eastAsia="zh-CN"/>
        </w:rPr>
        <w:t>施工工地</w:t>
      </w:r>
      <w:r>
        <w:rPr>
          <w:rFonts w:hint="default" w:ascii="仿宋_GB2312" w:hAnsi="仿宋_GB2312" w:eastAsia="仿宋_GB2312" w:cs="仿宋_GB2312"/>
          <w:color w:val="auto"/>
          <w:spacing w:val="0"/>
          <w:sz w:val="32"/>
          <w:szCs w:val="32"/>
          <w:highlight w:val="none"/>
          <w:lang w:val="en-US" w:eastAsia="zh-CN"/>
        </w:rPr>
        <w:t>建筑垃圾分类制度落实情况</w:t>
      </w:r>
      <w:r>
        <w:rPr>
          <w:rFonts w:hint="eastAsia" w:ascii="仿宋_GB2312" w:hAnsi="仿宋_GB2312" w:eastAsia="仿宋_GB2312" w:cs="仿宋_GB2312"/>
          <w:color w:val="auto"/>
          <w:spacing w:val="0"/>
          <w:sz w:val="32"/>
          <w:szCs w:val="32"/>
          <w:highlight w:val="none"/>
          <w:lang w:val="en-US" w:eastAsia="zh-CN"/>
        </w:rPr>
        <w:t>，对施工现场未分类收集建筑垃圾，或建筑垃圾中混入生活垃圾等固体废物的，责令施工单位立即清理和整改，并依法进行查处。排查建筑垃圾排放管理情况，对工程建设项目擅自倾倒、抛撒、堆放建筑垃圾，未按规定利用或处置建筑垃圾的，依法从严查处。排查关于推进建筑垃圾减量化相关指导意见及要求落实情况，加强建筑垃圾源头管控。</w:t>
      </w:r>
    </w:p>
    <w:p w14:paraId="450B410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设单位应当履行源头减量义务，采取有效措施预防和减少建筑垃圾的产生和排放，并将建筑垃圾减量化措施费用纳入工程概算；建立建筑垃圾分类收集、贮存以及台账管理等制度，督促施工单位开展建筑垃圾分类和合法装载，并及时向工程所在地区城管部门报送建筑垃圾处理方案；在工程招标文件、承发包合同和施工组织设计中明确施工现场建筑垃圾源头减量的具体要求和措施，以及建筑垃圾综合利用产品的使用要求。</w:t>
      </w:r>
    </w:p>
    <w:p w14:paraId="2DB1E65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施工单位应当建立建筑垃圾管理台账，分类收集、贮存和及时清运施工过程中产生的建筑垃圾，采取有效措施防止混合已分类的建筑垃圾；确保建筑垃圾收集、贮存和清运全过程中不得混入生活垃圾、污泥、河道疏浚底泥、通沟淤泥、工业垃圾和危险废物等。</w:t>
      </w:r>
    </w:p>
    <w:p w14:paraId="52E180FA">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设计单位应当优化工程设计、提高设计质量，从源头上减少建筑材料的消耗和建筑垃圾的产生，提高对建筑垃圾综合利用产品的使用；监理单位应当监督施工单位落实建筑垃圾源头减量措施。</w:t>
      </w:r>
    </w:p>
    <w:p w14:paraId="794C9654">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52" w:name="_Toc11248"/>
      <w:r>
        <w:rPr>
          <w:rFonts w:hint="default" w:ascii="Times New Roman" w:hAnsi="Times New Roman" w:cs="楷体_GB2312"/>
          <w:b/>
          <w:bCs w:val="0"/>
          <w:color w:val="auto"/>
          <w:spacing w:val="0"/>
          <w:kern w:val="2"/>
          <w:sz w:val="32"/>
          <w:szCs w:val="32"/>
          <w:highlight w:val="none"/>
          <w:lang w:val="en-US" w:eastAsia="zh-CN" w:bidi="ar-SA"/>
        </w:rPr>
        <w:t>推进</w:t>
      </w:r>
      <w:r>
        <w:rPr>
          <w:rFonts w:hint="eastAsia" w:ascii="Times New Roman" w:hAnsi="Times New Roman" w:cs="楷体_GB2312"/>
          <w:b/>
          <w:bCs w:val="0"/>
          <w:color w:val="auto"/>
          <w:spacing w:val="0"/>
          <w:kern w:val="2"/>
          <w:sz w:val="32"/>
          <w:szCs w:val="32"/>
          <w:highlight w:val="none"/>
          <w:lang w:val="en-US" w:eastAsia="zh-CN" w:bidi="ar-SA"/>
        </w:rPr>
        <w:t>建筑</w:t>
      </w:r>
      <w:r>
        <w:rPr>
          <w:rFonts w:hint="default" w:ascii="Times New Roman" w:hAnsi="Times New Roman" w:cs="楷体_GB2312"/>
          <w:b/>
          <w:bCs w:val="0"/>
          <w:color w:val="auto"/>
          <w:spacing w:val="0"/>
          <w:kern w:val="2"/>
          <w:sz w:val="32"/>
          <w:szCs w:val="32"/>
          <w:highlight w:val="none"/>
          <w:lang w:val="en-US" w:eastAsia="zh-CN" w:bidi="ar-SA"/>
        </w:rPr>
        <w:t>垃圾</w:t>
      </w:r>
      <w:r>
        <w:rPr>
          <w:rFonts w:hint="eastAsia" w:ascii="Times New Roman" w:hAnsi="Times New Roman" w:cs="楷体_GB2312"/>
          <w:b/>
          <w:bCs w:val="0"/>
          <w:color w:val="auto"/>
          <w:spacing w:val="0"/>
          <w:kern w:val="2"/>
          <w:sz w:val="32"/>
          <w:szCs w:val="32"/>
          <w:highlight w:val="none"/>
          <w:lang w:val="en-US" w:eastAsia="zh-CN" w:bidi="ar-SA"/>
        </w:rPr>
        <w:t>源头</w:t>
      </w:r>
      <w:r>
        <w:rPr>
          <w:rFonts w:hint="default" w:ascii="Times New Roman" w:hAnsi="Times New Roman" w:cs="楷体_GB2312"/>
          <w:b/>
          <w:bCs w:val="0"/>
          <w:color w:val="auto"/>
          <w:spacing w:val="0"/>
          <w:kern w:val="2"/>
          <w:sz w:val="32"/>
          <w:szCs w:val="32"/>
          <w:highlight w:val="none"/>
          <w:lang w:val="en-US" w:eastAsia="zh-CN" w:bidi="ar-SA"/>
        </w:rPr>
        <w:t>分类</w:t>
      </w:r>
      <w:bookmarkEnd w:id="52"/>
    </w:p>
    <w:p w14:paraId="2F556FF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坚持以末端处理为导向，对建筑垃圾进行细化分类处理，进一步推动建筑垃圾资源化利用。经分类的混凝土、砂浆、砖瓦、陶瓷、石材等不应与有机杂物、金属等混杂；金属、塑料、玻璃、纸类及竹木类等纳入可回收物收运处理体系；涂料和油漆等有害垃圾，涂料、油漆等包装容器以及被其污染的物品，纳入有害垃圾收运处理体系。</w:t>
      </w:r>
    </w:p>
    <w:p w14:paraId="39F3A2A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对于工程渣土、工程泥浆、工程垃圾、拆除垃圾，以及施工工地产生的装修垃圾，由施工单位在项目建设范围内完成相应的建筑垃圾分类工作。</w:t>
      </w:r>
    </w:p>
    <w:p w14:paraId="78AECCA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对于居民装修垃圾，由建筑垃圾资源化利用项目运营单位，或者居民装修垃圾收集点运营单位，完成相应的建筑垃圾分类工作。装修垃圾排放方具有规范清运和处置的主体责任，需缴纳相关清运处置费。</w:t>
      </w:r>
    </w:p>
    <w:p w14:paraId="66A06028">
      <w:pPr>
        <w:widowControl/>
        <w:shd w:val="clear" w:color="auto" w:fill="auto"/>
        <w:overflowPunct w:val="0"/>
        <w:adjustRightInd/>
        <w:snapToGrid/>
        <w:spacing w:line="600" w:lineRule="exact"/>
        <w:ind w:firstLine="643"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1.工程渣土源头分类</w:t>
      </w:r>
    </w:p>
    <w:p w14:paraId="1F66CF28">
      <w:pPr>
        <w:pStyle w:val="65"/>
        <w:keepNext w:val="0"/>
        <w:keepLines w:val="0"/>
        <w:pageBreakBefore w:val="0"/>
        <w:widowControl/>
        <w:numPr>
          <w:ilvl w:val="0"/>
          <w:numId w:val="6"/>
        </w:numPr>
        <w:shd w:val="clear" w:color="auto" w:fill="auto"/>
        <w:kinsoku/>
        <w:wordWrap/>
        <w:overflowPunct w:val="0"/>
        <w:topLinePunct w:val="0"/>
        <w:autoSpaceDE/>
        <w:autoSpaceDN/>
        <w:bidi w:val="0"/>
        <w:adjustRightInd/>
        <w:snapToGrid/>
        <w:spacing w:after="192" w:afterLines="50" w:line="600" w:lineRule="exact"/>
        <w:ind w:left="0" w:leftChars="0" w:firstLine="42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工程渣土分类类别及常见实物列举</w:t>
      </w:r>
    </w:p>
    <w:tbl>
      <w:tblPr>
        <w:tblStyle w:val="44"/>
        <w:tblW w:w="8679" w:type="dxa"/>
        <w:jc w:val="center"/>
        <w:tblLayout w:type="fixed"/>
        <w:tblCellMar>
          <w:top w:w="0" w:type="dxa"/>
          <w:left w:w="108" w:type="dxa"/>
          <w:bottom w:w="0" w:type="dxa"/>
          <w:right w:w="108" w:type="dxa"/>
        </w:tblCellMar>
      </w:tblPr>
      <w:tblGrid>
        <w:gridCol w:w="3621"/>
        <w:gridCol w:w="5058"/>
      </w:tblGrid>
      <w:tr w14:paraId="2E362BA2">
        <w:tblPrEx>
          <w:tblCellMar>
            <w:top w:w="0" w:type="dxa"/>
            <w:left w:w="108" w:type="dxa"/>
            <w:bottom w:w="0" w:type="dxa"/>
            <w:right w:w="108" w:type="dxa"/>
          </w:tblCellMar>
        </w:tblPrEx>
        <w:trPr>
          <w:trHeight w:val="468" w:hRule="atLeast"/>
          <w:jc w:val="center"/>
        </w:trPr>
        <w:tc>
          <w:tcPr>
            <w:tcW w:w="3621" w:type="dxa"/>
            <w:tcBorders>
              <w:top w:val="single" w:color="000000" w:sz="4" w:space="0"/>
              <w:left w:val="single" w:color="000000" w:sz="4" w:space="0"/>
              <w:bottom w:val="single" w:color="000000" w:sz="4" w:space="0"/>
              <w:right w:val="single" w:color="000000" w:sz="4" w:space="0"/>
            </w:tcBorders>
            <w:noWrap/>
            <w:vAlign w:val="center"/>
          </w:tcPr>
          <w:p w14:paraId="07485BB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类  别</w:t>
            </w:r>
          </w:p>
        </w:tc>
        <w:tc>
          <w:tcPr>
            <w:tcW w:w="5058" w:type="dxa"/>
            <w:tcBorders>
              <w:top w:val="single" w:color="000000" w:sz="4" w:space="0"/>
              <w:left w:val="single" w:color="000000" w:sz="4" w:space="0"/>
              <w:bottom w:val="single" w:color="000000" w:sz="4" w:space="0"/>
              <w:right w:val="single" w:color="000000" w:sz="4" w:space="0"/>
            </w:tcBorders>
            <w:noWrap/>
            <w:vAlign w:val="center"/>
          </w:tcPr>
          <w:p w14:paraId="3D73E87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常见实物列举</w:t>
            </w:r>
          </w:p>
        </w:tc>
      </w:tr>
      <w:tr w14:paraId="1A179206">
        <w:tblPrEx>
          <w:tblCellMar>
            <w:top w:w="0" w:type="dxa"/>
            <w:left w:w="108" w:type="dxa"/>
            <w:bottom w:w="0" w:type="dxa"/>
            <w:right w:w="108" w:type="dxa"/>
          </w:tblCellMar>
        </w:tblPrEx>
        <w:trPr>
          <w:trHeight w:val="897" w:hRule="atLeast"/>
          <w:jc w:val="center"/>
        </w:trPr>
        <w:tc>
          <w:tcPr>
            <w:tcW w:w="3621" w:type="dxa"/>
            <w:tcBorders>
              <w:top w:val="single" w:color="000000" w:sz="4" w:space="0"/>
              <w:left w:val="single" w:color="000000" w:sz="4" w:space="0"/>
              <w:bottom w:val="single" w:color="000000" w:sz="4" w:space="0"/>
              <w:right w:val="single" w:color="000000" w:sz="4" w:space="0"/>
            </w:tcBorders>
            <w:noWrap/>
            <w:vAlign w:val="center"/>
          </w:tcPr>
          <w:p w14:paraId="0395286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表层耕植土类</w:t>
            </w:r>
          </w:p>
        </w:tc>
        <w:tc>
          <w:tcPr>
            <w:tcW w:w="5058" w:type="dxa"/>
            <w:tcBorders>
              <w:top w:val="single" w:color="000000" w:sz="4" w:space="0"/>
              <w:left w:val="single" w:color="000000" w:sz="4" w:space="0"/>
              <w:bottom w:val="single" w:color="000000" w:sz="4" w:space="0"/>
              <w:right w:val="single" w:color="000000" w:sz="4" w:space="0"/>
            </w:tcBorders>
            <w:noWrap/>
            <w:vAlign w:val="center"/>
          </w:tcPr>
          <w:p w14:paraId="480BF02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红壤、黄壤、潮土、水稻土等 </w:t>
            </w:r>
          </w:p>
        </w:tc>
      </w:tr>
      <w:tr w14:paraId="069D899A">
        <w:tblPrEx>
          <w:tblCellMar>
            <w:top w:w="0" w:type="dxa"/>
            <w:left w:w="108" w:type="dxa"/>
            <w:bottom w:w="0" w:type="dxa"/>
            <w:right w:w="108" w:type="dxa"/>
          </w:tblCellMar>
        </w:tblPrEx>
        <w:trPr>
          <w:trHeight w:val="897" w:hRule="atLeast"/>
          <w:jc w:val="center"/>
        </w:trPr>
        <w:tc>
          <w:tcPr>
            <w:tcW w:w="3621" w:type="dxa"/>
            <w:tcBorders>
              <w:top w:val="single" w:color="000000" w:sz="4" w:space="0"/>
              <w:left w:val="single" w:color="000000" w:sz="4" w:space="0"/>
              <w:bottom w:val="single" w:color="000000" w:sz="4" w:space="0"/>
              <w:right w:val="single" w:color="000000" w:sz="4" w:space="0"/>
            </w:tcBorders>
            <w:noWrap/>
            <w:vAlign w:val="center"/>
          </w:tcPr>
          <w:p w14:paraId="7909C43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建筑原材料类</w:t>
            </w:r>
          </w:p>
        </w:tc>
        <w:tc>
          <w:tcPr>
            <w:tcW w:w="5058" w:type="dxa"/>
            <w:tcBorders>
              <w:top w:val="single" w:color="000000" w:sz="4" w:space="0"/>
              <w:left w:val="single" w:color="000000" w:sz="4" w:space="0"/>
              <w:bottom w:val="single" w:color="000000" w:sz="4" w:space="0"/>
              <w:right w:val="single" w:color="000000" w:sz="4" w:space="0"/>
            </w:tcBorders>
            <w:noWrap/>
            <w:vAlign w:val="center"/>
          </w:tcPr>
          <w:p w14:paraId="1AF7833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粉砂（土）、砂土、卵石、砾石、</w:t>
            </w:r>
          </w:p>
          <w:p w14:paraId="0939FB2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岩石、淤砂等 </w:t>
            </w:r>
          </w:p>
        </w:tc>
      </w:tr>
      <w:tr w14:paraId="0AF3986B">
        <w:tblPrEx>
          <w:tblCellMar>
            <w:top w:w="0" w:type="dxa"/>
            <w:left w:w="108" w:type="dxa"/>
            <w:bottom w:w="0" w:type="dxa"/>
            <w:right w:w="108" w:type="dxa"/>
          </w:tblCellMar>
        </w:tblPrEx>
        <w:trPr>
          <w:trHeight w:val="920" w:hRule="atLeast"/>
          <w:jc w:val="center"/>
        </w:trPr>
        <w:tc>
          <w:tcPr>
            <w:tcW w:w="3621" w:type="dxa"/>
            <w:tcBorders>
              <w:top w:val="single" w:color="000000" w:sz="4" w:space="0"/>
              <w:left w:val="single" w:color="000000" w:sz="4" w:space="0"/>
              <w:bottom w:val="single" w:color="000000" w:sz="4" w:space="0"/>
              <w:right w:val="single" w:color="000000" w:sz="4" w:space="0"/>
            </w:tcBorders>
            <w:noWrap/>
            <w:vAlign w:val="center"/>
          </w:tcPr>
          <w:p w14:paraId="33D3429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其他可利用类</w:t>
            </w:r>
          </w:p>
        </w:tc>
        <w:tc>
          <w:tcPr>
            <w:tcW w:w="5058" w:type="dxa"/>
            <w:tcBorders>
              <w:top w:val="single" w:color="000000" w:sz="4" w:space="0"/>
              <w:left w:val="single" w:color="000000" w:sz="4" w:space="0"/>
              <w:bottom w:val="single" w:color="000000" w:sz="4" w:space="0"/>
              <w:right w:val="single" w:color="000000" w:sz="4" w:space="0"/>
            </w:tcBorders>
            <w:noWrap/>
            <w:vAlign w:val="center"/>
          </w:tcPr>
          <w:p w14:paraId="7238FAA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淤泥、粘土、人工填土等 </w:t>
            </w:r>
          </w:p>
        </w:tc>
      </w:tr>
    </w:tbl>
    <w:p w14:paraId="294EFEDD">
      <w:pPr>
        <w:widowControl/>
        <w:shd w:val="clear" w:color="auto" w:fill="auto"/>
        <w:overflowPunct w:val="0"/>
        <w:adjustRightInd/>
        <w:snapToGrid/>
        <w:spacing w:line="600" w:lineRule="exact"/>
        <w:ind w:firstLine="643"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.工程泥浆</w:t>
      </w:r>
    </w:p>
    <w:p w14:paraId="63126D27">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w:t>
      </w:r>
      <w:r>
        <w:rPr>
          <w:rFonts w:hint="default" w:ascii="仿宋_GB2312" w:hAnsi="仿宋_GB2312" w:eastAsia="仿宋_GB2312" w:cs="仿宋_GB2312"/>
          <w:color w:val="auto"/>
          <w:spacing w:val="0"/>
          <w:sz w:val="32"/>
          <w:szCs w:val="32"/>
          <w:highlight w:val="none"/>
          <w:lang w:val="en-US" w:eastAsia="zh-CN"/>
        </w:rPr>
        <w:t>工程泥浆经脱水、固化后形成的泥饼，经检测符合条件或者无害化处理后，可用作回填、场地覆盖或制备再生产品。</w:t>
      </w:r>
    </w:p>
    <w:p w14:paraId="0BFFAFC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w:t>
      </w:r>
      <w:r>
        <w:rPr>
          <w:rFonts w:hint="default" w:ascii="仿宋_GB2312" w:hAnsi="仿宋_GB2312" w:eastAsia="仿宋_GB2312" w:cs="仿宋_GB2312"/>
          <w:color w:val="auto"/>
          <w:spacing w:val="0"/>
          <w:sz w:val="32"/>
          <w:szCs w:val="32"/>
          <w:highlight w:val="none"/>
          <w:lang w:val="en-US" w:eastAsia="zh-CN"/>
        </w:rPr>
        <w:t>工程泥浆分选后形成的砂、石骨料，其性能符合国家有关标准的，可用作再生粗（细）骨料、蒸压加气混凝土原料。</w:t>
      </w:r>
    </w:p>
    <w:p w14:paraId="0BECF085">
      <w:pPr>
        <w:widowControl/>
        <w:shd w:val="clear" w:color="auto" w:fill="auto"/>
        <w:overflowPunct w:val="0"/>
        <w:adjustRightInd/>
        <w:snapToGrid/>
        <w:spacing w:line="600" w:lineRule="exact"/>
        <w:ind w:firstLine="643" w:firstLineChars="200"/>
        <w:jc w:val="both"/>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3</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.工程垃圾</w:t>
      </w:r>
    </w:p>
    <w:p w14:paraId="6DED3D7E">
      <w:pP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br w:type="page"/>
      </w:r>
    </w:p>
    <w:p w14:paraId="70FC9ACD">
      <w:pPr>
        <w:pStyle w:val="65"/>
        <w:keepNext w:val="0"/>
        <w:keepLines w:val="0"/>
        <w:pageBreakBefore w:val="0"/>
        <w:widowControl/>
        <w:numPr>
          <w:ilvl w:val="0"/>
          <w:numId w:val="6"/>
        </w:numPr>
        <w:shd w:val="clear" w:color="auto" w:fill="auto"/>
        <w:kinsoku/>
        <w:wordWrap/>
        <w:overflowPunct w:val="0"/>
        <w:topLinePunct w:val="0"/>
        <w:autoSpaceDE/>
        <w:autoSpaceDN/>
        <w:bidi w:val="0"/>
        <w:adjustRightInd/>
        <w:snapToGrid/>
        <w:spacing w:after="192" w:afterLines="50" w:line="600" w:lineRule="exact"/>
        <w:ind w:left="0" w:leftChars="0" w:firstLine="42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工程垃圾分类类别及常见实物列举</w:t>
      </w:r>
    </w:p>
    <w:tbl>
      <w:tblPr>
        <w:tblStyle w:val="44"/>
        <w:tblW w:w="8439" w:type="dxa"/>
        <w:jc w:val="center"/>
        <w:tblLayout w:type="fixed"/>
        <w:tblCellMar>
          <w:top w:w="0" w:type="dxa"/>
          <w:left w:w="108" w:type="dxa"/>
          <w:bottom w:w="0" w:type="dxa"/>
          <w:right w:w="108" w:type="dxa"/>
        </w:tblCellMar>
      </w:tblPr>
      <w:tblGrid>
        <w:gridCol w:w="1166"/>
        <w:gridCol w:w="2321"/>
        <w:gridCol w:w="4952"/>
      </w:tblGrid>
      <w:tr w14:paraId="300A8D6E">
        <w:tblPrEx>
          <w:tblCellMar>
            <w:top w:w="0" w:type="dxa"/>
            <w:left w:w="108" w:type="dxa"/>
            <w:bottom w:w="0" w:type="dxa"/>
            <w:right w:w="108" w:type="dxa"/>
          </w:tblCellMar>
        </w:tblPrEx>
        <w:trPr>
          <w:trHeight w:val="466" w:hRule="atLeast"/>
          <w:jc w:val="center"/>
        </w:trPr>
        <w:tc>
          <w:tcPr>
            <w:tcW w:w="3487" w:type="dxa"/>
            <w:gridSpan w:val="2"/>
            <w:tcBorders>
              <w:top w:val="single" w:color="000000" w:sz="4" w:space="0"/>
              <w:left w:val="single" w:color="000000" w:sz="4" w:space="0"/>
              <w:bottom w:val="single" w:color="000000" w:sz="4" w:space="0"/>
              <w:right w:val="single" w:color="000000" w:sz="4" w:space="0"/>
            </w:tcBorders>
            <w:noWrap/>
            <w:vAlign w:val="center"/>
          </w:tcPr>
          <w:p w14:paraId="7B1BC8F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类  别</w:t>
            </w:r>
          </w:p>
        </w:tc>
        <w:tc>
          <w:tcPr>
            <w:tcW w:w="4952" w:type="dxa"/>
            <w:tcBorders>
              <w:top w:val="single" w:color="000000" w:sz="4" w:space="0"/>
              <w:left w:val="single" w:color="000000" w:sz="4" w:space="0"/>
              <w:bottom w:val="single" w:color="000000" w:sz="4" w:space="0"/>
              <w:right w:val="single" w:color="000000" w:sz="4" w:space="0"/>
            </w:tcBorders>
            <w:noWrap/>
            <w:vAlign w:val="center"/>
          </w:tcPr>
          <w:p w14:paraId="4E958FB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常见实物列举</w:t>
            </w:r>
          </w:p>
        </w:tc>
      </w:tr>
      <w:tr w14:paraId="56A16CC3">
        <w:tblPrEx>
          <w:tblCellMar>
            <w:top w:w="0" w:type="dxa"/>
            <w:left w:w="108" w:type="dxa"/>
            <w:bottom w:w="0" w:type="dxa"/>
            <w:right w:w="108" w:type="dxa"/>
          </w:tblCellMar>
        </w:tblPrEx>
        <w:trPr>
          <w:trHeight w:val="2128" w:hRule="atLeast"/>
          <w:jc w:val="center"/>
        </w:trPr>
        <w:tc>
          <w:tcPr>
            <w:tcW w:w="3487" w:type="dxa"/>
            <w:gridSpan w:val="2"/>
            <w:tcBorders>
              <w:top w:val="single" w:color="000000" w:sz="4" w:space="0"/>
              <w:left w:val="single" w:color="000000" w:sz="4" w:space="0"/>
              <w:bottom w:val="single" w:color="000000" w:sz="4" w:space="0"/>
              <w:right w:val="single" w:color="000000" w:sz="4" w:space="0"/>
            </w:tcBorders>
            <w:noWrap/>
            <w:vAlign w:val="center"/>
          </w:tcPr>
          <w:p w14:paraId="02F22FD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金属类</w:t>
            </w:r>
          </w:p>
        </w:tc>
        <w:tc>
          <w:tcPr>
            <w:tcW w:w="4952" w:type="dxa"/>
            <w:tcBorders>
              <w:top w:val="single" w:color="000000" w:sz="4" w:space="0"/>
              <w:left w:val="single" w:color="000000" w:sz="4" w:space="0"/>
              <w:bottom w:val="single" w:color="000000" w:sz="4" w:space="0"/>
              <w:right w:val="single" w:color="000000" w:sz="4" w:space="0"/>
            </w:tcBorders>
            <w:noWrap/>
            <w:vAlign w:val="center"/>
          </w:tcPr>
          <w:p w14:paraId="61866DB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钢筋、铁丝、角钢、型钢、废卡扣（脚手架）、废钢管（脚手架）、钢管（焊接、SC、无缝）、废螺杆、废铜材、废铝材及边角料、废金属箱、废锯片、废钻头、焊条头、废钉子、电线、电缆等 </w:t>
            </w:r>
          </w:p>
        </w:tc>
      </w:tr>
      <w:tr w14:paraId="39A1C365">
        <w:tblPrEx>
          <w:tblCellMar>
            <w:top w:w="0" w:type="dxa"/>
            <w:left w:w="108" w:type="dxa"/>
            <w:bottom w:w="0" w:type="dxa"/>
            <w:right w:w="108" w:type="dxa"/>
          </w:tblCellMar>
        </w:tblPrEx>
        <w:trPr>
          <w:trHeight w:val="1295" w:hRule="atLeast"/>
          <w:jc w:val="center"/>
        </w:trPr>
        <w:tc>
          <w:tcPr>
            <w:tcW w:w="1166" w:type="dxa"/>
            <w:vMerge w:val="restart"/>
            <w:tcBorders>
              <w:top w:val="single" w:color="000000" w:sz="4" w:space="0"/>
              <w:left w:val="single" w:color="000000" w:sz="4" w:space="0"/>
              <w:right w:val="single" w:color="000000" w:sz="4" w:space="0"/>
            </w:tcBorders>
            <w:noWrap/>
            <w:vAlign w:val="center"/>
          </w:tcPr>
          <w:p w14:paraId="76EBB11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无机</w:t>
            </w:r>
          </w:p>
          <w:p w14:paraId="2168836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非金属类</w:t>
            </w:r>
          </w:p>
        </w:tc>
        <w:tc>
          <w:tcPr>
            <w:tcW w:w="2321" w:type="dxa"/>
            <w:tcBorders>
              <w:top w:val="single" w:color="000000" w:sz="4" w:space="0"/>
              <w:left w:val="single" w:color="000000" w:sz="4" w:space="0"/>
              <w:bottom w:val="single" w:color="000000" w:sz="4" w:space="0"/>
              <w:right w:val="single" w:color="000000" w:sz="4" w:space="0"/>
            </w:tcBorders>
            <w:noWrap/>
            <w:vAlign w:val="center"/>
          </w:tcPr>
          <w:p w14:paraId="0247CDD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可资源化利用类</w:t>
            </w:r>
          </w:p>
        </w:tc>
        <w:tc>
          <w:tcPr>
            <w:tcW w:w="4952" w:type="dxa"/>
            <w:tcBorders>
              <w:top w:val="single" w:color="000000" w:sz="4" w:space="0"/>
              <w:left w:val="single" w:color="000000" w:sz="4" w:space="0"/>
              <w:bottom w:val="single" w:color="000000" w:sz="4" w:space="0"/>
              <w:right w:val="single" w:color="000000" w:sz="4" w:space="0"/>
            </w:tcBorders>
            <w:noWrap/>
            <w:vAlign w:val="center"/>
          </w:tcPr>
          <w:p w14:paraId="4A93A180">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混凝土、砖瓦、砂石、砂浆、水泥、</w:t>
            </w:r>
          </w:p>
          <w:p w14:paraId="6E073D0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素混凝土桩头水泥、砌块、瓷砖边角料、大理石边角料等 </w:t>
            </w:r>
          </w:p>
        </w:tc>
      </w:tr>
      <w:tr w14:paraId="5DE267E0">
        <w:tblPrEx>
          <w:tblCellMar>
            <w:top w:w="0" w:type="dxa"/>
            <w:left w:w="108" w:type="dxa"/>
            <w:bottom w:w="0" w:type="dxa"/>
            <w:right w:w="108" w:type="dxa"/>
          </w:tblCellMar>
        </w:tblPrEx>
        <w:trPr>
          <w:trHeight w:val="1043" w:hRule="atLeast"/>
          <w:jc w:val="center"/>
        </w:trPr>
        <w:tc>
          <w:tcPr>
            <w:tcW w:w="1166" w:type="dxa"/>
            <w:vMerge w:val="continue"/>
            <w:tcBorders>
              <w:left w:val="single" w:color="000000" w:sz="4" w:space="0"/>
              <w:bottom w:val="single" w:color="000000" w:sz="4" w:space="0"/>
              <w:right w:val="single" w:color="000000" w:sz="4" w:space="0"/>
            </w:tcBorders>
            <w:noWrap/>
            <w:vAlign w:val="center"/>
          </w:tcPr>
          <w:p w14:paraId="6ACCF1E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21" w:type="dxa"/>
            <w:tcBorders>
              <w:top w:val="single" w:color="000000" w:sz="4" w:space="0"/>
              <w:left w:val="single" w:color="000000" w:sz="4" w:space="0"/>
              <w:bottom w:val="single" w:color="000000" w:sz="4" w:space="0"/>
              <w:right w:val="single" w:color="000000" w:sz="4" w:space="0"/>
            </w:tcBorders>
            <w:noWrap/>
            <w:vAlign w:val="center"/>
          </w:tcPr>
          <w:p w14:paraId="79505F71">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可回收类</w:t>
            </w:r>
          </w:p>
        </w:tc>
        <w:tc>
          <w:tcPr>
            <w:tcW w:w="4952" w:type="dxa"/>
            <w:tcBorders>
              <w:top w:val="single" w:color="000000" w:sz="4" w:space="0"/>
              <w:left w:val="single" w:color="000000" w:sz="4" w:space="0"/>
              <w:bottom w:val="single" w:color="000000" w:sz="4" w:space="0"/>
              <w:right w:val="single" w:color="000000" w:sz="4" w:space="0"/>
            </w:tcBorders>
            <w:noWrap/>
            <w:vAlign w:val="center"/>
          </w:tcPr>
          <w:p w14:paraId="37C88D6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碎玻璃等 </w:t>
            </w:r>
          </w:p>
        </w:tc>
      </w:tr>
      <w:tr w14:paraId="2ED546E3">
        <w:tblPrEx>
          <w:tblCellMar>
            <w:top w:w="0" w:type="dxa"/>
            <w:left w:w="108" w:type="dxa"/>
            <w:bottom w:w="0" w:type="dxa"/>
            <w:right w:w="108" w:type="dxa"/>
          </w:tblCellMar>
        </w:tblPrEx>
        <w:trPr>
          <w:trHeight w:val="1043" w:hRule="atLeast"/>
          <w:jc w:val="center"/>
        </w:trPr>
        <w:tc>
          <w:tcPr>
            <w:tcW w:w="1166" w:type="dxa"/>
            <w:vMerge w:val="restart"/>
            <w:tcBorders>
              <w:top w:val="single" w:color="000000" w:sz="4" w:space="0"/>
              <w:left w:val="single" w:color="000000" w:sz="4" w:space="0"/>
              <w:right w:val="single" w:color="000000" w:sz="4" w:space="0"/>
            </w:tcBorders>
            <w:noWrap/>
            <w:vAlign w:val="center"/>
          </w:tcPr>
          <w:p w14:paraId="42C786A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其他类</w:t>
            </w:r>
          </w:p>
        </w:tc>
        <w:tc>
          <w:tcPr>
            <w:tcW w:w="2321" w:type="dxa"/>
            <w:tcBorders>
              <w:top w:val="single" w:color="000000" w:sz="4" w:space="0"/>
              <w:left w:val="single" w:color="000000" w:sz="4" w:space="0"/>
              <w:bottom w:val="single" w:color="000000" w:sz="4" w:space="0"/>
              <w:right w:val="single" w:color="000000" w:sz="4" w:space="0"/>
            </w:tcBorders>
            <w:noWrap/>
            <w:vAlign w:val="center"/>
          </w:tcPr>
          <w:p w14:paraId="27A95A2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竹木类</w:t>
            </w:r>
          </w:p>
        </w:tc>
        <w:tc>
          <w:tcPr>
            <w:tcW w:w="4952" w:type="dxa"/>
            <w:tcBorders>
              <w:top w:val="single" w:color="000000" w:sz="4" w:space="0"/>
              <w:left w:val="single" w:color="000000" w:sz="4" w:space="0"/>
              <w:bottom w:val="single" w:color="000000" w:sz="4" w:space="0"/>
              <w:right w:val="single" w:color="000000" w:sz="4" w:space="0"/>
            </w:tcBorders>
            <w:noWrap/>
            <w:vAlign w:val="center"/>
          </w:tcPr>
          <w:p w14:paraId="3568687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木模板、木板、木条、木方、木片、</w:t>
            </w:r>
          </w:p>
          <w:p w14:paraId="30EF9D9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木屑、木制板材、木制包装、竹材等</w:t>
            </w:r>
          </w:p>
        </w:tc>
      </w:tr>
      <w:tr w14:paraId="4E03D50C">
        <w:tblPrEx>
          <w:tblCellMar>
            <w:top w:w="0" w:type="dxa"/>
            <w:left w:w="108" w:type="dxa"/>
            <w:bottom w:w="0" w:type="dxa"/>
            <w:right w:w="108" w:type="dxa"/>
          </w:tblCellMar>
        </w:tblPrEx>
        <w:trPr>
          <w:trHeight w:val="1043" w:hRule="atLeast"/>
          <w:jc w:val="center"/>
        </w:trPr>
        <w:tc>
          <w:tcPr>
            <w:tcW w:w="1166" w:type="dxa"/>
            <w:vMerge w:val="continue"/>
            <w:tcBorders>
              <w:left w:val="single" w:color="000000" w:sz="4" w:space="0"/>
              <w:right w:val="single" w:color="000000" w:sz="4" w:space="0"/>
            </w:tcBorders>
            <w:noWrap/>
            <w:vAlign w:val="center"/>
          </w:tcPr>
          <w:p w14:paraId="3FFE5CF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21" w:type="dxa"/>
            <w:tcBorders>
              <w:top w:val="single" w:color="000000" w:sz="4" w:space="0"/>
              <w:left w:val="single" w:color="000000" w:sz="4" w:space="0"/>
              <w:bottom w:val="single" w:color="000000" w:sz="4" w:space="0"/>
              <w:right w:val="single" w:color="000000" w:sz="4" w:space="0"/>
            </w:tcBorders>
            <w:noWrap/>
            <w:vAlign w:val="center"/>
          </w:tcPr>
          <w:p w14:paraId="5ED6AB3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塑料类</w:t>
            </w:r>
          </w:p>
        </w:tc>
        <w:tc>
          <w:tcPr>
            <w:tcW w:w="4952" w:type="dxa"/>
            <w:tcBorders>
              <w:top w:val="single" w:color="000000" w:sz="4" w:space="0"/>
              <w:left w:val="single" w:color="000000" w:sz="4" w:space="0"/>
              <w:bottom w:val="single" w:color="000000" w:sz="4" w:space="0"/>
              <w:right w:val="single" w:color="000000" w:sz="4" w:space="0"/>
            </w:tcBorders>
            <w:noWrap/>
            <w:vAlign w:val="center"/>
          </w:tcPr>
          <w:p w14:paraId="266A79B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塑料包装、塑料薄膜、防尘网、安全网、编织袋、废胶带、机电管材、泡沫等</w:t>
            </w:r>
          </w:p>
        </w:tc>
      </w:tr>
      <w:tr w14:paraId="39666563">
        <w:tblPrEx>
          <w:tblCellMar>
            <w:top w:w="0" w:type="dxa"/>
            <w:left w:w="108" w:type="dxa"/>
            <w:bottom w:w="0" w:type="dxa"/>
            <w:right w:w="108" w:type="dxa"/>
          </w:tblCellMar>
        </w:tblPrEx>
        <w:trPr>
          <w:trHeight w:val="1043" w:hRule="atLeast"/>
          <w:jc w:val="center"/>
        </w:trPr>
        <w:tc>
          <w:tcPr>
            <w:tcW w:w="1166" w:type="dxa"/>
            <w:vMerge w:val="continue"/>
            <w:tcBorders>
              <w:left w:val="single" w:color="000000" w:sz="4" w:space="0"/>
              <w:right w:val="single" w:color="000000" w:sz="4" w:space="0"/>
            </w:tcBorders>
            <w:noWrap/>
            <w:vAlign w:val="center"/>
          </w:tcPr>
          <w:p w14:paraId="71FE5D9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21" w:type="dxa"/>
            <w:tcBorders>
              <w:top w:val="single" w:color="000000" w:sz="4" w:space="0"/>
              <w:left w:val="single" w:color="000000" w:sz="4" w:space="0"/>
              <w:bottom w:val="single" w:color="000000" w:sz="4" w:space="0"/>
              <w:right w:val="single" w:color="000000" w:sz="4" w:space="0"/>
            </w:tcBorders>
            <w:noWrap/>
            <w:vAlign w:val="center"/>
          </w:tcPr>
          <w:p w14:paraId="00FFBF9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纸品类</w:t>
            </w:r>
          </w:p>
        </w:tc>
        <w:tc>
          <w:tcPr>
            <w:tcW w:w="4952" w:type="dxa"/>
            <w:tcBorders>
              <w:top w:val="single" w:color="000000" w:sz="4" w:space="0"/>
              <w:left w:val="single" w:color="000000" w:sz="4" w:space="0"/>
              <w:bottom w:val="single" w:color="000000" w:sz="4" w:space="0"/>
              <w:right w:val="single" w:color="000000" w:sz="4" w:space="0"/>
            </w:tcBorders>
            <w:noWrap/>
            <w:vAlign w:val="center"/>
          </w:tcPr>
          <w:p w14:paraId="652966FA">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纸盒、纸箱、纸板、纸张等</w:t>
            </w:r>
          </w:p>
        </w:tc>
      </w:tr>
      <w:tr w14:paraId="7FA29B95">
        <w:tblPrEx>
          <w:tblCellMar>
            <w:top w:w="0" w:type="dxa"/>
            <w:left w:w="108" w:type="dxa"/>
            <w:bottom w:w="0" w:type="dxa"/>
            <w:right w:w="108" w:type="dxa"/>
          </w:tblCellMar>
        </w:tblPrEx>
        <w:trPr>
          <w:trHeight w:val="1107" w:hRule="atLeast"/>
          <w:jc w:val="center"/>
        </w:trPr>
        <w:tc>
          <w:tcPr>
            <w:tcW w:w="1166" w:type="dxa"/>
            <w:vMerge w:val="continue"/>
            <w:tcBorders>
              <w:left w:val="single" w:color="000000" w:sz="4" w:space="0"/>
              <w:bottom w:val="single" w:color="000000" w:sz="4" w:space="0"/>
              <w:right w:val="single" w:color="000000" w:sz="4" w:space="0"/>
            </w:tcBorders>
            <w:noWrap/>
            <w:vAlign w:val="center"/>
          </w:tcPr>
          <w:p w14:paraId="27447D3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21" w:type="dxa"/>
            <w:tcBorders>
              <w:top w:val="single" w:color="000000" w:sz="4" w:space="0"/>
              <w:left w:val="single" w:color="000000" w:sz="4" w:space="0"/>
              <w:bottom w:val="single" w:color="000000" w:sz="4" w:space="0"/>
              <w:right w:val="single" w:color="000000" w:sz="4" w:space="0"/>
            </w:tcBorders>
            <w:noWrap/>
            <w:vAlign w:val="center"/>
          </w:tcPr>
          <w:p w14:paraId="0DB9900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混合类</w:t>
            </w:r>
          </w:p>
        </w:tc>
        <w:tc>
          <w:tcPr>
            <w:tcW w:w="4952" w:type="dxa"/>
            <w:tcBorders>
              <w:top w:val="single" w:color="000000" w:sz="4" w:space="0"/>
              <w:left w:val="single" w:color="000000" w:sz="4" w:space="0"/>
              <w:bottom w:val="single" w:color="000000" w:sz="4" w:space="0"/>
              <w:right w:val="single" w:color="000000" w:sz="4" w:space="0"/>
            </w:tcBorders>
            <w:noWrap/>
            <w:vAlign w:val="center"/>
          </w:tcPr>
          <w:p w14:paraId="5DC13EC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废毛刷、废毛毡、轻质金属夹芯板、</w:t>
            </w:r>
          </w:p>
          <w:p w14:paraId="138FC90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石膏板等</w:t>
            </w:r>
          </w:p>
        </w:tc>
      </w:tr>
    </w:tbl>
    <w:p w14:paraId="718A06BA">
      <w:pPr>
        <w:widowControl/>
        <w:shd w:val="clear" w:color="auto" w:fill="auto"/>
        <w:overflowPunct w:val="0"/>
        <w:adjustRightInd/>
        <w:snapToGrid/>
        <w:spacing w:line="600" w:lineRule="exact"/>
        <w:ind w:firstLine="643" w:firstLineChars="200"/>
        <w:jc w:val="both"/>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4</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.拆除垃圾</w:t>
      </w:r>
    </w:p>
    <w:p w14:paraId="2BECCC01">
      <w:pPr>
        <w:pStyle w:val="65"/>
        <w:keepNext w:val="0"/>
        <w:keepLines w:val="0"/>
        <w:pageBreakBefore w:val="0"/>
        <w:widowControl/>
        <w:numPr>
          <w:ilvl w:val="0"/>
          <w:numId w:val="6"/>
        </w:numPr>
        <w:shd w:val="clear" w:color="auto" w:fill="auto"/>
        <w:kinsoku/>
        <w:wordWrap/>
        <w:overflowPunct w:val="0"/>
        <w:topLinePunct w:val="0"/>
        <w:autoSpaceDE/>
        <w:autoSpaceDN/>
        <w:bidi w:val="0"/>
        <w:adjustRightInd/>
        <w:snapToGrid/>
        <w:spacing w:after="192" w:afterLines="50" w:line="600" w:lineRule="exact"/>
        <w:ind w:left="0" w:leftChars="0" w:firstLine="42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拆除垃圾分类类别及常见实物列举</w:t>
      </w:r>
    </w:p>
    <w:tbl>
      <w:tblPr>
        <w:tblStyle w:val="44"/>
        <w:tblW w:w="8519" w:type="dxa"/>
        <w:jc w:val="center"/>
        <w:tblLayout w:type="fixed"/>
        <w:tblCellMar>
          <w:top w:w="0" w:type="dxa"/>
          <w:left w:w="108" w:type="dxa"/>
          <w:bottom w:w="0" w:type="dxa"/>
          <w:right w:w="108" w:type="dxa"/>
        </w:tblCellMar>
      </w:tblPr>
      <w:tblGrid>
        <w:gridCol w:w="1178"/>
        <w:gridCol w:w="2341"/>
        <w:gridCol w:w="5000"/>
      </w:tblGrid>
      <w:tr w14:paraId="7837DB37">
        <w:tblPrEx>
          <w:tblCellMar>
            <w:top w:w="0" w:type="dxa"/>
            <w:left w:w="108" w:type="dxa"/>
            <w:bottom w:w="0" w:type="dxa"/>
            <w:right w:w="108" w:type="dxa"/>
          </w:tblCellMar>
        </w:tblPrEx>
        <w:trPr>
          <w:trHeight w:val="357" w:hRule="atLeast"/>
          <w:tblHeader/>
          <w:jc w:val="center"/>
        </w:trPr>
        <w:tc>
          <w:tcPr>
            <w:tcW w:w="3519" w:type="dxa"/>
            <w:gridSpan w:val="2"/>
            <w:tcBorders>
              <w:top w:val="single" w:color="000000" w:sz="4" w:space="0"/>
              <w:left w:val="single" w:color="000000" w:sz="4" w:space="0"/>
              <w:bottom w:val="single" w:color="000000" w:sz="4" w:space="0"/>
              <w:right w:val="single" w:color="000000" w:sz="4" w:space="0"/>
            </w:tcBorders>
            <w:noWrap/>
            <w:vAlign w:val="center"/>
          </w:tcPr>
          <w:p w14:paraId="40C3586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类  别</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40D07E8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常见实物列举</w:t>
            </w:r>
          </w:p>
        </w:tc>
      </w:tr>
      <w:tr w14:paraId="6D1EA1FC">
        <w:tblPrEx>
          <w:tblCellMar>
            <w:top w:w="0" w:type="dxa"/>
            <w:left w:w="108" w:type="dxa"/>
            <w:bottom w:w="0" w:type="dxa"/>
            <w:right w:w="108" w:type="dxa"/>
          </w:tblCellMar>
        </w:tblPrEx>
        <w:trPr>
          <w:trHeight w:val="1309" w:hRule="atLeast"/>
          <w:jc w:val="center"/>
        </w:trPr>
        <w:tc>
          <w:tcPr>
            <w:tcW w:w="3519" w:type="dxa"/>
            <w:gridSpan w:val="2"/>
            <w:tcBorders>
              <w:top w:val="single" w:color="000000" w:sz="4" w:space="0"/>
              <w:left w:val="single" w:color="000000" w:sz="4" w:space="0"/>
              <w:bottom w:val="single" w:color="000000" w:sz="4" w:space="0"/>
              <w:right w:val="single" w:color="000000" w:sz="4" w:space="0"/>
            </w:tcBorders>
            <w:noWrap/>
            <w:vAlign w:val="center"/>
          </w:tcPr>
          <w:p w14:paraId="6A92959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金属类</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02767AD1">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钢筋、铁丝、角钢、型钢、废钢管、废铜材、废铝材、废电箱、电线、电缆等 </w:t>
            </w:r>
          </w:p>
        </w:tc>
      </w:tr>
      <w:tr w14:paraId="56AD1B94">
        <w:tblPrEx>
          <w:tblCellMar>
            <w:top w:w="0" w:type="dxa"/>
            <w:left w:w="108" w:type="dxa"/>
            <w:bottom w:w="0" w:type="dxa"/>
            <w:right w:w="108" w:type="dxa"/>
          </w:tblCellMar>
        </w:tblPrEx>
        <w:trPr>
          <w:trHeight w:val="912" w:hRule="atLeast"/>
          <w:jc w:val="center"/>
        </w:trPr>
        <w:tc>
          <w:tcPr>
            <w:tcW w:w="1178" w:type="dxa"/>
            <w:vMerge w:val="restart"/>
            <w:tcBorders>
              <w:top w:val="single" w:color="000000" w:sz="4" w:space="0"/>
              <w:left w:val="single" w:color="000000" w:sz="4" w:space="0"/>
              <w:right w:val="single" w:color="000000" w:sz="4" w:space="0"/>
            </w:tcBorders>
            <w:noWrap/>
            <w:vAlign w:val="center"/>
          </w:tcPr>
          <w:p w14:paraId="2BF6A4A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无机</w:t>
            </w:r>
          </w:p>
          <w:p w14:paraId="62A0369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非金属类</w:t>
            </w:r>
          </w:p>
        </w:tc>
        <w:tc>
          <w:tcPr>
            <w:tcW w:w="2341" w:type="dxa"/>
            <w:tcBorders>
              <w:top w:val="single" w:color="000000" w:sz="4" w:space="0"/>
              <w:left w:val="single" w:color="000000" w:sz="4" w:space="0"/>
              <w:bottom w:val="single" w:color="000000" w:sz="4" w:space="0"/>
              <w:right w:val="single" w:color="000000" w:sz="4" w:space="0"/>
            </w:tcBorders>
            <w:noWrap/>
            <w:vAlign w:val="center"/>
          </w:tcPr>
          <w:p w14:paraId="0D35C10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可资源化利用类</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71CC273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混凝土、砖瓦、砂浆、水泥、砌块、</w:t>
            </w:r>
          </w:p>
          <w:p w14:paraId="599B87C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瓷砖、大理石、损坏的洁具等</w:t>
            </w:r>
          </w:p>
        </w:tc>
      </w:tr>
      <w:tr w14:paraId="7098693C">
        <w:tblPrEx>
          <w:tblCellMar>
            <w:top w:w="0" w:type="dxa"/>
            <w:left w:w="108" w:type="dxa"/>
            <w:bottom w:w="0" w:type="dxa"/>
            <w:right w:w="108" w:type="dxa"/>
          </w:tblCellMar>
        </w:tblPrEx>
        <w:trPr>
          <w:trHeight w:val="912" w:hRule="atLeast"/>
          <w:jc w:val="center"/>
        </w:trPr>
        <w:tc>
          <w:tcPr>
            <w:tcW w:w="1178" w:type="dxa"/>
            <w:vMerge w:val="continue"/>
            <w:tcBorders>
              <w:left w:val="single" w:color="000000" w:sz="4" w:space="0"/>
              <w:bottom w:val="single" w:color="000000" w:sz="4" w:space="0"/>
              <w:right w:val="single" w:color="000000" w:sz="4" w:space="0"/>
            </w:tcBorders>
            <w:noWrap/>
            <w:vAlign w:val="center"/>
          </w:tcPr>
          <w:p w14:paraId="41216BD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41" w:type="dxa"/>
            <w:tcBorders>
              <w:top w:val="single" w:color="000000" w:sz="4" w:space="0"/>
              <w:left w:val="single" w:color="000000" w:sz="4" w:space="0"/>
              <w:bottom w:val="single" w:color="000000" w:sz="4" w:space="0"/>
              <w:right w:val="single" w:color="000000" w:sz="4" w:space="0"/>
            </w:tcBorders>
            <w:noWrap/>
            <w:vAlign w:val="center"/>
          </w:tcPr>
          <w:p w14:paraId="4BE69CD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可回收类</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11A15C71">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玻璃瓶（罐）、玻璃杯（盘）、玻璃碎片、平板玻璃等</w:t>
            </w:r>
          </w:p>
        </w:tc>
      </w:tr>
      <w:tr w14:paraId="0A305EF1">
        <w:tblPrEx>
          <w:tblCellMar>
            <w:top w:w="0" w:type="dxa"/>
            <w:left w:w="108" w:type="dxa"/>
            <w:bottom w:w="0" w:type="dxa"/>
            <w:right w:w="108" w:type="dxa"/>
          </w:tblCellMar>
        </w:tblPrEx>
        <w:trPr>
          <w:trHeight w:val="912" w:hRule="atLeast"/>
          <w:jc w:val="center"/>
        </w:trPr>
        <w:tc>
          <w:tcPr>
            <w:tcW w:w="1178" w:type="dxa"/>
            <w:vMerge w:val="restart"/>
            <w:tcBorders>
              <w:top w:val="single" w:color="000000" w:sz="4" w:space="0"/>
              <w:left w:val="single" w:color="000000" w:sz="4" w:space="0"/>
              <w:right w:val="single" w:color="000000" w:sz="4" w:space="0"/>
            </w:tcBorders>
            <w:noWrap/>
            <w:vAlign w:val="center"/>
          </w:tcPr>
          <w:p w14:paraId="4F3CFCD9">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其他类</w:t>
            </w:r>
          </w:p>
        </w:tc>
        <w:tc>
          <w:tcPr>
            <w:tcW w:w="2341" w:type="dxa"/>
            <w:tcBorders>
              <w:top w:val="single" w:color="000000" w:sz="4" w:space="0"/>
              <w:left w:val="single" w:color="000000" w:sz="4" w:space="0"/>
              <w:bottom w:val="single" w:color="000000" w:sz="4" w:space="0"/>
              <w:right w:val="single" w:color="000000" w:sz="4" w:space="0"/>
            </w:tcBorders>
            <w:noWrap/>
            <w:vAlign w:val="center"/>
          </w:tcPr>
          <w:p w14:paraId="55AFE250">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竹木类</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60EF299A">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木板、木条、木方、木片、木制板材、竹材等</w:t>
            </w:r>
          </w:p>
        </w:tc>
      </w:tr>
      <w:tr w14:paraId="47B39497">
        <w:tblPrEx>
          <w:tblCellMar>
            <w:top w:w="0" w:type="dxa"/>
            <w:left w:w="108" w:type="dxa"/>
            <w:bottom w:w="0" w:type="dxa"/>
            <w:right w:w="108" w:type="dxa"/>
          </w:tblCellMar>
        </w:tblPrEx>
        <w:trPr>
          <w:trHeight w:val="912" w:hRule="atLeast"/>
          <w:jc w:val="center"/>
        </w:trPr>
        <w:tc>
          <w:tcPr>
            <w:tcW w:w="1178" w:type="dxa"/>
            <w:vMerge w:val="continue"/>
            <w:tcBorders>
              <w:left w:val="single" w:color="000000" w:sz="4" w:space="0"/>
              <w:right w:val="single" w:color="000000" w:sz="4" w:space="0"/>
            </w:tcBorders>
            <w:noWrap/>
            <w:vAlign w:val="center"/>
          </w:tcPr>
          <w:p w14:paraId="7A0EA98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41" w:type="dxa"/>
            <w:tcBorders>
              <w:top w:val="single" w:color="000000" w:sz="4" w:space="0"/>
              <w:left w:val="single" w:color="000000" w:sz="4" w:space="0"/>
              <w:bottom w:val="single" w:color="000000" w:sz="4" w:space="0"/>
              <w:right w:val="single" w:color="000000" w:sz="4" w:space="0"/>
            </w:tcBorders>
            <w:noWrap/>
            <w:vAlign w:val="center"/>
          </w:tcPr>
          <w:p w14:paraId="5B2F928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塑料类</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634D249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塑料瓶、塑料桶（盆）、塑料收纳盒、塑料包装、泡沫、编织袋、防尘网、安全网、机电管材等</w:t>
            </w:r>
          </w:p>
        </w:tc>
      </w:tr>
      <w:tr w14:paraId="25C91F9E">
        <w:tblPrEx>
          <w:tblCellMar>
            <w:top w:w="0" w:type="dxa"/>
            <w:left w:w="108" w:type="dxa"/>
            <w:bottom w:w="0" w:type="dxa"/>
            <w:right w:w="108" w:type="dxa"/>
          </w:tblCellMar>
        </w:tblPrEx>
        <w:trPr>
          <w:trHeight w:val="912" w:hRule="atLeast"/>
          <w:jc w:val="center"/>
        </w:trPr>
        <w:tc>
          <w:tcPr>
            <w:tcW w:w="1178" w:type="dxa"/>
            <w:vMerge w:val="continue"/>
            <w:tcBorders>
              <w:left w:val="single" w:color="000000" w:sz="4" w:space="0"/>
              <w:right w:val="single" w:color="000000" w:sz="4" w:space="0"/>
            </w:tcBorders>
            <w:noWrap/>
            <w:vAlign w:val="center"/>
          </w:tcPr>
          <w:p w14:paraId="56C50AB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41" w:type="dxa"/>
            <w:tcBorders>
              <w:top w:val="single" w:color="000000" w:sz="4" w:space="0"/>
              <w:left w:val="single" w:color="000000" w:sz="4" w:space="0"/>
              <w:bottom w:val="single" w:color="000000" w:sz="4" w:space="0"/>
              <w:right w:val="single" w:color="000000" w:sz="4" w:space="0"/>
            </w:tcBorders>
            <w:noWrap/>
            <w:vAlign w:val="center"/>
          </w:tcPr>
          <w:p w14:paraId="338EEDA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纸品类</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25478777">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纸盒、纸箱、纸板、纸张等</w:t>
            </w:r>
          </w:p>
        </w:tc>
      </w:tr>
      <w:tr w14:paraId="3B49D6F3">
        <w:tblPrEx>
          <w:tblCellMar>
            <w:top w:w="0" w:type="dxa"/>
            <w:left w:w="108" w:type="dxa"/>
            <w:bottom w:w="0" w:type="dxa"/>
            <w:right w:w="108" w:type="dxa"/>
          </w:tblCellMar>
        </w:tblPrEx>
        <w:trPr>
          <w:trHeight w:val="920" w:hRule="atLeast"/>
          <w:jc w:val="center"/>
        </w:trPr>
        <w:tc>
          <w:tcPr>
            <w:tcW w:w="1178" w:type="dxa"/>
            <w:vMerge w:val="continue"/>
            <w:tcBorders>
              <w:left w:val="single" w:color="000000" w:sz="4" w:space="0"/>
              <w:bottom w:val="single" w:color="000000" w:sz="4" w:space="0"/>
              <w:right w:val="single" w:color="000000" w:sz="4" w:space="0"/>
            </w:tcBorders>
            <w:noWrap/>
            <w:vAlign w:val="center"/>
          </w:tcPr>
          <w:p w14:paraId="3454C75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41" w:type="dxa"/>
            <w:tcBorders>
              <w:top w:val="single" w:color="000000" w:sz="4" w:space="0"/>
              <w:left w:val="single" w:color="000000" w:sz="4" w:space="0"/>
              <w:bottom w:val="single" w:color="000000" w:sz="4" w:space="0"/>
              <w:right w:val="single" w:color="000000" w:sz="4" w:space="0"/>
            </w:tcBorders>
            <w:noWrap/>
            <w:vAlign w:val="center"/>
          </w:tcPr>
          <w:p w14:paraId="40EBB60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混合类</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404AB47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轻质金属夹芯板、石膏板等</w:t>
            </w:r>
          </w:p>
        </w:tc>
      </w:tr>
    </w:tbl>
    <w:p w14:paraId="5E9B43C8">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构）筑物拆除前应清除、腾空内部可移动的设施、设备、家具、物料等物件，清除、腾空时产生的生活垃圾（含大件垃圾），应当执行《广州市生活垃圾分类管理条例》等规定纳入生活垃圾分类管理。清除、腾空时产生的危险废物、工业固体废物，应当按各自标准并执行《中华人民共和国固体废物污染环境防治法》《广东省固体废物污染环境防治条例》等的管理规定。</w:t>
      </w:r>
    </w:p>
    <w:p w14:paraId="115CBFB9">
      <w:pPr>
        <w:widowControl/>
        <w:shd w:val="clear" w:color="auto" w:fill="auto"/>
        <w:overflowPunct w:val="0"/>
        <w:adjustRightInd/>
        <w:snapToGrid/>
        <w:spacing w:line="600" w:lineRule="exact"/>
        <w:ind w:firstLine="643" w:firstLineChars="200"/>
        <w:jc w:val="both"/>
        <w:rPr>
          <w:rFonts w:ascii="仿宋_GB2312" w:hAnsi="仿宋_GB2312" w:eastAsia="仿宋_GB2312" w:cs="仿宋_GB2312"/>
          <w:color w:val="auto"/>
          <w:highlight w:val="none"/>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5</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.装修垃圾</w:t>
      </w:r>
    </w:p>
    <w:p w14:paraId="0D36062E">
      <w:pPr>
        <w:pStyle w:val="65"/>
        <w:keepNext w:val="0"/>
        <w:keepLines w:val="0"/>
        <w:pageBreakBefore w:val="0"/>
        <w:widowControl/>
        <w:numPr>
          <w:ilvl w:val="0"/>
          <w:numId w:val="6"/>
        </w:numPr>
        <w:shd w:val="clear" w:color="auto" w:fill="auto"/>
        <w:kinsoku/>
        <w:wordWrap/>
        <w:overflowPunct w:val="0"/>
        <w:topLinePunct w:val="0"/>
        <w:autoSpaceDE/>
        <w:autoSpaceDN/>
        <w:bidi w:val="0"/>
        <w:adjustRightInd/>
        <w:snapToGrid/>
        <w:spacing w:after="192" w:afterLines="50" w:line="600" w:lineRule="exact"/>
        <w:ind w:left="0" w:leftChars="0" w:firstLine="42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装修垃圾分类类别及常见实物列举</w:t>
      </w:r>
    </w:p>
    <w:tbl>
      <w:tblPr>
        <w:tblStyle w:val="44"/>
        <w:tblW w:w="8519" w:type="dxa"/>
        <w:jc w:val="center"/>
        <w:tblLayout w:type="fixed"/>
        <w:tblCellMar>
          <w:top w:w="0" w:type="dxa"/>
          <w:left w:w="108" w:type="dxa"/>
          <w:bottom w:w="0" w:type="dxa"/>
          <w:right w:w="108" w:type="dxa"/>
        </w:tblCellMar>
      </w:tblPr>
      <w:tblGrid>
        <w:gridCol w:w="1178"/>
        <w:gridCol w:w="2341"/>
        <w:gridCol w:w="5000"/>
      </w:tblGrid>
      <w:tr w14:paraId="1C064C66">
        <w:tblPrEx>
          <w:tblCellMar>
            <w:top w:w="0" w:type="dxa"/>
            <w:left w:w="108" w:type="dxa"/>
            <w:bottom w:w="0" w:type="dxa"/>
            <w:right w:w="108" w:type="dxa"/>
          </w:tblCellMar>
        </w:tblPrEx>
        <w:trPr>
          <w:trHeight w:val="357" w:hRule="atLeast"/>
          <w:tblHeader/>
          <w:jc w:val="center"/>
        </w:trPr>
        <w:tc>
          <w:tcPr>
            <w:tcW w:w="3519" w:type="dxa"/>
            <w:gridSpan w:val="2"/>
            <w:tcBorders>
              <w:top w:val="single" w:color="000000" w:sz="4" w:space="0"/>
              <w:left w:val="single" w:color="000000" w:sz="4" w:space="0"/>
              <w:bottom w:val="single" w:color="000000" w:sz="4" w:space="0"/>
              <w:right w:val="single" w:color="000000" w:sz="4" w:space="0"/>
            </w:tcBorders>
            <w:noWrap/>
            <w:vAlign w:val="center"/>
          </w:tcPr>
          <w:p w14:paraId="07844F5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类  别</w:t>
            </w:r>
          </w:p>
        </w:tc>
        <w:tc>
          <w:tcPr>
            <w:tcW w:w="5000" w:type="dxa"/>
            <w:tcBorders>
              <w:top w:val="single" w:color="000000" w:sz="4" w:space="0"/>
              <w:left w:val="single" w:color="000000" w:sz="4" w:space="0"/>
              <w:bottom w:val="single" w:color="000000" w:sz="4" w:space="0"/>
              <w:right w:val="single" w:color="000000" w:sz="4" w:space="0"/>
            </w:tcBorders>
            <w:noWrap/>
            <w:vAlign w:val="center"/>
          </w:tcPr>
          <w:p w14:paraId="38A38E5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常见实物列举</w:t>
            </w:r>
          </w:p>
        </w:tc>
      </w:tr>
      <w:tr w14:paraId="79F9FCCA">
        <w:tblPrEx>
          <w:tblCellMar>
            <w:top w:w="0" w:type="dxa"/>
            <w:left w:w="108" w:type="dxa"/>
            <w:bottom w:w="0" w:type="dxa"/>
            <w:right w:w="108" w:type="dxa"/>
          </w:tblCellMar>
        </w:tblPrEx>
        <w:trPr>
          <w:trHeight w:val="912" w:hRule="atLeast"/>
          <w:jc w:val="center"/>
        </w:trPr>
        <w:tc>
          <w:tcPr>
            <w:tcW w:w="3519" w:type="dxa"/>
            <w:gridSpan w:val="2"/>
            <w:tcBorders>
              <w:top w:val="single" w:color="000000" w:sz="4" w:space="0"/>
              <w:left w:val="single" w:color="000000" w:sz="4" w:space="0"/>
              <w:bottom w:val="single" w:color="auto" w:sz="4" w:space="0"/>
              <w:right w:val="single" w:color="000000" w:sz="4" w:space="0"/>
            </w:tcBorders>
            <w:noWrap/>
            <w:vAlign w:val="center"/>
          </w:tcPr>
          <w:p w14:paraId="48FD9DCA">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金属类</w:t>
            </w:r>
          </w:p>
        </w:tc>
        <w:tc>
          <w:tcPr>
            <w:tcW w:w="5000" w:type="dxa"/>
            <w:tcBorders>
              <w:top w:val="single" w:color="000000" w:sz="4" w:space="0"/>
              <w:left w:val="single" w:color="000000" w:sz="4" w:space="0"/>
              <w:bottom w:val="single" w:color="auto" w:sz="4" w:space="0"/>
              <w:right w:val="single" w:color="000000" w:sz="4" w:space="0"/>
            </w:tcBorders>
            <w:noWrap/>
            <w:vAlign w:val="center"/>
          </w:tcPr>
          <w:p w14:paraId="46BEF707">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铁丝、角钢、型钢、废锯片、废钻头、废钉子、废铝材及边角料、不锈钢及边角料、电线、废铜材等</w:t>
            </w:r>
          </w:p>
        </w:tc>
      </w:tr>
      <w:tr w14:paraId="604A4275">
        <w:tblPrEx>
          <w:tblCellMar>
            <w:top w:w="0" w:type="dxa"/>
            <w:left w:w="108" w:type="dxa"/>
            <w:bottom w:w="0" w:type="dxa"/>
            <w:right w:w="108" w:type="dxa"/>
          </w:tblCellMar>
        </w:tblPrEx>
        <w:trPr>
          <w:trHeight w:val="912" w:hRule="atLeast"/>
          <w:jc w:val="center"/>
        </w:trPr>
        <w:tc>
          <w:tcPr>
            <w:tcW w:w="1178" w:type="dxa"/>
            <w:vMerge w:val="restart"/>
            <w:tcBorders>
              <w:top w:val="single" w:color="auto" w:sz="4" w:space="0"/>
              <w:left w:val="single" w:color="auto" w:sz="4" w:space="0"/>
              <w:bottom w:val="single" w:color="auto" w:sz="4" w:space="0"/>
              <w:right w:val="single" w:color="auto" w:sz="4" w:space="0"/>
            </w:tcBorders>
            <w:noWrap/>
            <w:vAlign w:val="center"/>
          </w:tcPr>
          <w:p w14:paraId="680B0D1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无机</w:t>
            </w:r>
          </w:p>
          <w:p w14:paraId="1DC426C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非金属类</w:t>
            </w:r>
          </w:p>
        </w:tc>
        <w:tc>
          <w:tcPr>
            <w:tcW w:w="2341" w:type="dxa"/>
            <w:tcBorders>
              <w:top w:val="single" w:color="auto" w:sz="4" w:space="0"/>
              <w:left w:val="single" w:color="auto" w:sz="4" w:space="0"/>
              <w:bottom w:val="single" w:color="auto" w:sz="4" w:space="0"/>
              <w:right w:val="single" w:color="auto" w:sz="4" w:space="0"/>
            </w:tcBorders>
            <w:noWrap/>
            <w:vAlign w:val="center"/>
          </w:tcPr>
          <w:p w14:paraId="73E7D12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可资源化利用类</w:t>
            </w:r>
          </w:p>
        </w:tc>
        <w:tc>
          <w:tcPr>
            <w:tcW w:w="5000" w:type="dxa"/>
            <w:tcBorders>
              <w:top w:val="single" w:color="auto" w:sz="4" w:space="0"/>
              <w:left w:val="single" w:color="auto" w:sz="4" w:space="0"/>
              <w:bottom w:val="single" w:color="auto" w:sz="4" w:space="0"/>
              <w:right w:val="single" w:color="auto" w:sz="4" w:space="0"/>
            </w:tcBorders>
            <w:noWrap/>
            <w:vAlign w:val="center"/>
          </w:tcPr>
          <w:p w14:paraId="115B542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混凝土、砂石、砂浆、腻子、砌块、水泥、砖瓦、瓷砖及边角料、大理石及边角料、石膏板等 </w:t>
            </w:r>
          </w:p>
        </w:tc>
      </w:tr>
      <w:tr w14:paraId="14FE28A4">
        <w:tblPrEx>
          <w:tblCellMar>
            <w:top w:w="0" w:type="dxa"/>
            <w:left w:w="108" w:type="dxa"/>
            <w:bottom w:w="0" w:type="dxa"/>
            <w:right w:w="108" w:type="dxa"/>
          </w:tblCellMar>
        </w:tblPrEx>
        <w:trPr>
          <w:trHeight w:val="912" w:hRule="atLeast"/>
          <w:jc w:val="center"/>
        </w:trPr>
        <w:tc>
          <w:tcPr>
            <w:tcW w:w="1178" w:type="dxa"/>
            <w:vMerge w:val="continue"/>
            <w:tcBorders>
              <w:top w:val="single" w:color="auto" w:sz="4" w:space="0"/>
              <w:left w:val="single" w:color="auto" w:sz="4" w:space="0"/>
              <w:bottom w:val="single" w:color="auto" w:sz="4" w:space="0"/>
              <w:right w:val="single" w:color="auto" w:sz="4" w:space="0"/>
            </w:tcBorders>
            <w:noWrap/>
            <w:vAlign w:val="center"/>
          </w:tcPr>
          <w:p w14:paraId="5A25E747">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41" w:type="dxa"/>
            <w:tcBorders>
              <w:top w:val="single" w:color="auto" w:sz="4" w:space="0"/>
              <w:left w:val="single" w:color="auto" w:sz="4" w:space="0"/>
              <w:bottom w:val="single" w:color="auto" w:sz="4" w:space="0"/>
              <w:right w:val="single" w:color="auto" w:sz="4" w:space="0"/>
            </w:tcBorders>
            <w:noWrap/>
            <w:vAlign w:val="center"/>
          </w:tcPr>
          <w:p w14:paraId="275D6AA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可回收类</w:t>
            </w:r>
          </w:p>
        </w:tc>
        <w:tc>
          <w:tcPr>
            <w:tcW w:w="5000" w:type="dxa"/>
            <w:tcBorders>
              <w:top w:val="single" w:color="auto" w:sz="4" w:space="0"/>
              <w:left w:val="single" w:color="auto" w:sz="4" w:space="0"/>
              <w:bottom w:val="single" w:color="auto" w:sz="4" w:space="0"/>
              <w:right w:val="single" w:color="auto" w:sz="4" w:space="0"/>
            </w:tcBorders>
            <w:noWrap/>
            <w:vAlign w:val="center"/>
          </w:tcPr>
          <w:p w14:paraId="6B3DD22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玻璃碎片、平板玻璃等</w:t>
            </w:r>
          </w:p>
        </w:tc>
      </w:tr>
      <w:tr w14:paraId="5E9A2D6C">
        <w:tblPrEx>
          <w:tblCellMar>
            <w:top w:w="0" w:type="dxa"/>
            <w:left w:w="108" w:type="dxa"/>
            <w:bottom w:w="0" w:type="dxa"/>
            <w:right w:w="108" w:type="dxa"/>
          </w:tblCellMar>
        </w:tblPrEx>
        <w:trPr>
          <w:trHeight w:val="912" w:hRule="atLeast"/>
          <w:jc w:val="center"/>
        </w:trPr>
        <w:tc>
          <w:tcPr>
            <w:tcW w:w="1178" w:type="dxa"/>
            <w:vMerge w:val="restart"/>
            <w:tcBorders>
              <w:top w:val="single" w:color="auto" w:sz="4" w:space="0"/>
              <w:left w:val="single" w:color="auto" w:sz="4" w:space="0"/>
              <w:bottom w:val="single" w:color="auto" w:sz="4" w:space="0"/>
              <w:right w:val="single" w:color="auto" w:sz="4" w:space="0"/>
            </w:tcBorders>
            <w:noWrap/>
            <w:vAlign w:val="center"/>
          </w:tcPr>
          <w:p w14:paraId="3242E67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其他类</w:t>
            </w:r>
          </w:p>
        </w:tc>
        <w:tc>
          <w:tcPr>
            <w:tcW w:w="2341" w:type="dxa"/>
            <w:tcBorders>
              <w:top w:val="single" w:color="auto" w:sz="4" w:space="0"/>
              <w:left w:val="single" w:color="auto" w:sz="4" w:space="0"/>
              <w:bottom w:val="single" w:color="auto" w:sz="4" w:space="0"/>
              <w:right w:val="single" w:color="auto" w:sz="4" w:space="0"/>
            </w:tcBorders>
            <w:noWrap/>
            <w:vAlign w:val="center"/>
          </w:tcPr>
          <w:p w14:paraId="09A1A38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竹木类</w:t>
            </w:r>
          </w:p>
        </w:tc>
        <w:tc>
          <w:tcPr>
            <w:tcW w:w="5000" w:type="dxa"/>
            <w:tcBorders>
              <w:top w:val="single" w:color="auto" w:sz="4" w:space="0"/>
              <w:left w:val="single" w:color="auto" w:sz="4" w:space="0"/>
              <w:bottom w:val="single" w:color="auto" w:sz="4" w:space="0"/>
              <w:right w:val="single" w:color="auto" w:sz="4" w:space="0"/>
            </w:tcBorders>
            <w:noWrap/>
            <w:vAlign w:val="center"/>
          </w:tcPr>
          <w:p w14:paraId="0BE635D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木板、木条、木方、木片、木屑、木制板材、木制包装、竹材等 </w:t>
            </w:r>
          </w:p>
        </w:tc>
      </w:tr>
      <w:tr w14:paraId="16D7A17F">
        <w:tblPrEx>
          <w:tblCellMar>
            <w:top w:w="0" w:type="dxa"/>
            <w:left w:w="108" w:type="dxa"/>
            <w:bottom w:w="0" w:type="dxa"/>
            <w:right w:w="108" w:type="dxa"/>
          </w:tblCellMar>
        </w:tblPrEx>
        <w:trPr>
          <w:trHeight w:val="912" w:hRule="atLeast"/>
          <w:jc w:val="center"/>
        </w:trPr>
        <w:tc>
          <w:tcPr>
            <w:tcW w:w="1178" w:type="dxa"/>
            <w:vMerge w:val="continue"/>
            <w:tcBorders>
              <w:top w:val="single" w:color="auto" w:sz="4" w:space="0"/>
              <w:left w:val="single" w:color="auto" w:sz="4" w:space="0"/>
              <w:bottom w:val="single" w:color="auto" w:sz="4" w:space="0"/>
              <w:right w:val="single" w:color="auto" w:sz="4" w:space="0"/>
            </w:tcBorders>
            <w:noWrap/>
            <w:vAlign w:val="center"/>
          </w:tcPr>
          <w:p w14:paraId="11CCF0D7">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41" w:type="dxa"/>
            <w:tcBorders>
              <w:top w:val="single" w:color="auto" w:sz="4" w:space="0"/>
              <w:left w:val="single" w:color="auto" w:sz="4" w:space="0"/>
              <w:bottom w:val="single" w:color="auto" w:sz="4" w:space="0"/>
              <w:right w:val="single" w:color="auto" w:sz="4" w:space="0"/>
            </w:tcBorders>
            <w:noWrap/>
            <w:vAlign w:val="center"/>
          </w:tcPr>
          <w:p w14:paraId="3114042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塑料类</w:t>
            </w:r>
          </w:p>
        </w:tc>
        <w:tc>
          <w:tcPr>
            <w:tcW w:w="5000" w:type="dxa"/>
            <w:tcBorders>
              <w:top w:val="single" w:color="auto" w:sz="4" w:space="0"/>
              <w:left w:val="single" w:color="auto" w:sz="4" w:space="0"/>
              <w:bottom w:val="single" w:color="auto" w:sz="4" w:space="0"/>
              <w:right w:val="single" w:color="auto" w:sz="4" w:space="0"/>
            </w:tcBorders>
            <w:noWrap/>
            <w:vAlign w:val="center"/>
          </w:tcPr>
          <w:p w14:paraId="6016FE8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塑料瓶、塑料桶（盆）、塑料包装、泡沫等</w:t>
            </w:r>
          </w:p>
        </w:tc>
      </w:tr>
      <w:tr w14:paraId="6FBF4895">
        <w:tblPrEx>
          <w:tblCellMar>
            <w:top w:w="0" w:type="dxa"/>
            <w:left w:w="108" w:type="dxa"/>
            <w:bottom w:w="0" w:type="dxa"/>
            <w:right w:w="108" w:type="dxa"/>
          </w:tblCellMar>
        </w:tblPrEx>
        <w:trPr>
          <w:trHeight w:val="912" w:hRule="atLeast"/>
          <w:jc w:val="center"/>
        </w:trPr>
        <w:tc>
          <w:tcPr>
            <w:tcW w:w="1178" w:type="dxa"/>
            <w:vMerge w:val="continue"/>
            <w:tcBorders>
              <w:top w:val="single" w:color="auto" w:sz="4" w:space="0"/>
              <w:left w:val="single" w:color="auto" w:sz="4" w:space="0"/>
              <w:bottom w:val="single" w:color="auto" w:sz="4" w:space="0"/>
              <w:right w:val="single" w:color="auto" w:sz="4" w:space="0"/>
            </w:tcBorders>
            <w:noWrap/>
            <w:vAlign w:val="center"/>
          </w:tcPr>
          <w:p w14:paraId="32FEC3B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41" w:type="dxa"/>
            <w:tcBorders>
              <w:top w:val="single" w:color="auto" w:sz="4" w:space="0"/>
              <w:left w:val="single" w:color="auto" w:sz="4" w:space="0"/>
              <w:bottom w:val="single" w:color="auto" w:sz="4" w:space="0"/>
              <w:right w:val="single" w:color="auto" w:sz="4" w:space="0"/>
            </w:tcBorders>
            <w:noWrap/>
            <w:vAlign w:val="center"/>
          </w:tcPr>
          <w:p w14:paraId="2F82519F">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纸品类</w:t>
            </w:r>
          </w:p>
        </w:tc>
        <w:tc>
          <w:tcPr>
            <w:tcW w:w="5000" w:type="dxa"/>
            <w:tcBorders>
              <w:top w:val="single" w:color="auto" w:sz="4" w:space="0"/>
              <w:left w:val="single" w:color="auto" w:sz="4" w:space="0"/>
              <w:bottom w:val="single" w:color="auto" w:sz="4" w:space="0"/>
              <w:right w:val="single" w:color="auto" w:sz="4" w:space="0"/>
            </w:tcBorders>
            <w:noWrap/>
            <w:vAlign w:val="center"/>
          </w:tcPr>
          <w:p w14:paraId="4EF874A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纸盒、纸箱、纸板、纸张等</w:t>
            </w:r>
          </w:p>
        </w:tc>
      </w:tr>
      <w:tr w14:paraId="780606C0">
        <w:tblPrEx>
          <w:tblCellMar>
            <w:top w:w="0" w:type="dxa"/>
            <w:left w:w="108" w:type="dxa"/>
            <w:bottom w:w="0" w:type="dxa"/>
            <w:right w:w="108" w:type="dxa"/>
          </w:tblCellMar>
        </w:tblPrEx>
        <w:trPr>
          <w:trHeight w:val="920" w:hRule="atLeast"/>
          <w:jc w:val="center"/>
        </w:trPr>
        <w:tc>
          <w:tcPr>
            <w:tcW w:w="1178" w:type="dxa"/>
            <w:vMerge w:val="continue"/>
            <w:tcBorders>
              <w:top w:val="single" w:color="auto" w:sz="4" w:space="0"/>
              <w:left w:val="single" w:color="auto" w:sz="4" w:space="0"/>
              <w:bottom w:val="single" w:color="auto" w:sz="4" w:space="0"/>
              <w:right w:val="single" w:color="auto" w:sz="4" w:space="0"/>
            </w:tcBorders>
            <w:noWrap/>
            <w:vAlign w:val="center"/>
          </w:tcPr>
          <w:p w14:paraId="7BDFF39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p>
        </w:tc>
        <w:tc>
          <w:tcPr>
            <w:tcW w:w="2341" w:type="dxa"/>
            <w:tcBorders>
              <w:top w:val="single" w:color="auto" w:sz="4" w:space="0"/>
              <w:left w:val="single" w:color="auto" w:sz="4" w:space="0"/>
              <w:bottom w:val="single" w:color="auto" w:sz="4" w:space="0"/>
              <w:right w:val="single" w:color="auto" w:sz="4" w:space="0"/>
            </w:tcBorders>
            <w:noWrap/>
            <w:vAlign w:val="center"/>
          </w:tcPr>
          <w:p w14:paraId="6AEE987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混合类</w:t>
            </w:r>
          </w:p>
        </w:tc>
        <w:tc>
          <w:tcPr>
            <w:tcW w:w="5000" w:type="dxa"/>
            <w:tcBorders>
              <w:top w:val="single" w:color="auto" w:sz="4" w:space="0"/>
              <w:left w:val="single" w:color="auto" w:sz="4" w:space="0"/>
              <w:bottom w:val="single" w:color="auto" w:sz="4" w:space="0"/>
              <w:right w:val="single" w:color="auto" w:sz="4" w:space="0"/>
            </w:tcBorders>
            <w:noWrap/>
            <w:vAlign w:val="center"/>
          </w:tcPr>
          <w:p w14:paraId="19D56188">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废毛刷、废毛毡、轻质金属夹芯板、石膏板等</w:t>
            </w:r>
          </w:p>
        </w:tc>
      </w:tr>
      <w:tr w14:paraId="39D54E99">
        <w:tblPrEx>
          <w:tblCellMar>
            <w:top w:w="0" w:type="dxa"/>
            <w:left w:w="108" w:type="dxa"/>
            <w:bottom w:w="0" w:type="dxa"/>
            <w:right w:w="108" w:type="dxa"/>
          </w:tblCellMar>
        </w:tblPrEx>
        <w:trPr>
          <w:trHeight w:val="920" w:hRule="atLeast"/>
          <w:jc w:val="center"/>
        </w:trPr>
        <w:tc>
          <w:tcPr>
            <w:tcW w:w="3519" w:type="dxa"/>
            <w:gridSpan w:val="2"/>
            <w:tcBorders>
              <w:top w:val="single" w:color="auto" w:sz="4" w:space="0"/>
              <w:left w:val="single" w:color="auto" w:sz="4" w:space="0"/>
              <w:bottom w:val="single" w:color="auto" w:sz="4" w:space="0"/>
              <w:right w:val="single" w:color="auto" w:sz="4" w:space="0"/>
            </w:tcBorders>
            <w:noWrap/>
            <w:vAlign w:val="center"/>
          </w:tcPr>
          <w:p w14:paraId="3048D6E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有毒有害类</w:t>
            </w:r>
          </w:p>
        </w:tc>
        <w:tc>
          <w:tcPr>
            <w:tcW w:w="5000" w:type="dxa"/>
            <w:tcBorders>
              <w:top w:val="single" w:color="auto" w:sz="4" w:space="0"/>
              <w:left w:val="single" w:color="auto" w:sz="4" w:space="0"/>
              <w:bottom w:val="single" w:color="auto" w:sz="4" w:space="0"/>
              <w:right w:val="single" w:color="auto" w:sz="4" w:space="0"/>
            </w:tcBorders>
            <w:noWrap/>
            <w:vAlign w:val="center"/>
          </w:tcPr>
          <w:p w14:paraId="6E3D1CBB">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油漆及其包装物、涂料及其包装物、胶水及其包装物、灯管灯泡等</w:t>
            </w:r>
          </w:p>
        </w:tc>
      </w:tr>
    </w:tbl>
    <w:p w14:paraId="581731F1">
      <w:pPr>
        <w:widowControl/>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房屋装饰装修前在清除、腾空等环节产生的生活垃圾（含大件垃圾），以及在装饰装修过程中产生的生活垃圾（含大件垃圾），应当执行《广州市生活垃圾分类管理条例》等规定纳入生活垃圾分类管理。</w:t>
      </w:r>
    </w:p>
    <w:p w14:paraId="5B6721C5">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53" w:name="_Toc27672"/>
      <w:bookmarkStart w:id="54" w:name="_Toc10791"/>
      <w:r>
        <w:rPr>
          <w:rFonts w:hint="default" w:ascii="Times New Roman" w:hAnsi="Times New Roman" w:eastAsia="楷体_GB2312" w:cs="楷体_GB2312"/>
          <w:b/>
          <w:bCs w:val="0"/>
          <w:color w:val="auto"/>
          <w:spacing w:val="0"/>
          <w:kern w:val="2"/>
          <w:sz w:val="32"/>
          <w:szCs w:val="32"/>
          <w:highlight w:val="none"/>
          <w:lang w:val="en-US" w:eastAsia="zh-CN" w:bidi="ar-SA"/>
        </w:rPr>
        <w:t>开展绿色策划</w:t>
      </w:r>
      <w:bookmarkEnd w:id="53"/>
      <w:bookmarkEnd w:id="54"/>
    </w:p>
    <w:p w14:paraId="5BF94601">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1.优化装配式建筑实施政策。</w:t>
      </w:r>
      <w:r>
        <w:rPr>
          <w:rFonts w:hint="default" w:ascii="仿宋_GB2312" w:hAnsi="仿宋_GB2312" w:eastAsia="仿宋_GB2312" w:cs="仿宋_GB2312"/>
          <w:b w:val="0"/>
          <w:bCs w:val="0"/>
          <w:i w:val="0"/>
          <w:iCs w:val="0"/>
          <w:color w:val="auto"/>
          <w:spacing w:val="0"/>
          <w:kern w:val="2"/>
          <w:sz w:val="32"/>
          <w:szCs w:val="32"/>
          <w:highlight w:val="none"/>
          <w:vertAlign w:val="baseline"/>
          <w:lang w:val="en-US" w:eastAsia="zh-CN" w:bidi="ar-SA"/>
        </w:rPr>
        <w:t>分阶段逐步扩大全市装配式建筑实施范围，提高装配式建筑实施标准，逐步提高预制率要求，大力推广装配化装修，扩大高质量的新型建筑工业化项目应用场景，政府投资项目的相关建设单位要将相关要求纳入项目建议书、项目策划书等前期文件，相关政府职能部门要将相关要求写入用地规划条件和土地出让合同等，为新型建筑工业化快速高质量发展提供载体和支撑</w:t>
      </w:r>
      <w:r>
        <w:rPr>
          <w:rFonts w:hint="eastAsia" w:ascii="仿宋_GB2312" w:hAnsi="仿宋_GB2312" w:eastAsia="仿宋_GB2312" w:cs="仿宋_GB2312"/>
          <w:color w:val="auto"/>
          <w:spacing w:val="0"/>
          <w:sz w:val="32"/>
          <w:szCs w:val="32"/>
          <w:highlight w:val="none"/>
          <w:lang w:val="en-US" w:eastAsia="zh-CN"/>
        </w:rPr>
        <w:t>。</w:t>
      </w:r>
    </w:p>
    <w:p w14:paraId="5F1A25CF">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推广工程总承包管理</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w:t>
      </w:r>
      <w:r>
        <w:rPr>
          <w:rFonts w:hint="eastAsia" w:ascii="仿宋_GB2312" w:hAnsi="仿宋_GB2312" w:eastAsia="仿宋_GB2312" w:cs="仿宋_GB2312"/>
          <w:color w:val="auto"/>
          <w:spacing w:val="0"/>
          <w:sz w:val="32"/>
          <w:szCs w:val="32"/>
          <w:highlight w:val="none"/>
          <w:lang w:val="en-US" w:eastAsia="zh-CN"/>
        </w:rPr>
        <w:t>对建筑功能、建造标准、技术质量、工期等具有明确要求的项目应积极采用工程总承包模式。鼓励建设单位健全工程总承包相关的招投标、技术变更、商务变更等管理制度，落实总承包单位在工程质量安全、进度控制、成本管理等方面的责任。积极推进建筑师负责制、全过程工程咨询模式。</w:t>
      </w:r>
    </w:p>
    <w:p w14:paraId="1E95B0E4">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val="0"/>
          <w:bCs w:val="0"/>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3</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.完善新型建筑工业化项目综合评价体系</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w:t>
      </w:r>
      <w:r>
        <w:rPr>
          <w:rFonts w:hint="eastAsia" w:ascii="仿宋_GB2312" w:hAnsi="仿宋_GB2312" w:eastAsia="仿宋_GB2312" w:cs="仿宋_GB2312"/>
          <w:b w:val="0"/>
          <w:bCs w:val="0"/>
          <w:i w:val="0"/>
          <w:iCs w:val="0"/>
          <w:color w:val="auto"/>
          <w:spacing w:val="0"/>
          <w:kern w:val="2"/>
          <w:sz w:val="32"/>
          <w:szCs w:val="32"/>
          <w:highlight w:val="none"/>
          <w:vertAlign w:val="baseline"/>
          <w:lang w:val="en-US" w:eastAsia="zh-CN" w:bidi="ar-SA"/>
        </w:rPr>
        <w:t>在装配率评价基础上，引入全生命周期效益评价，突出装配化装修、信息化技术应用情况。在招投标阶段，建设单位可将全生命周期成本效益作为评价技术方案的重要因素。引导建设单位和设计单位进行全生命周期碳足迹的核算与减排。对于装配式混凝土建筑，引入预制率要求，适时发布装配率、预制率相关解释文件，积极推进成熟竖向预制构件技术体系在广州市的应用。</w:t>
      </w:r>
    </w:p>
    <w:p w14:paraId="140ABA24">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4</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.建立与建筑工业化、智慧化、集成化相适应的造价管理体系</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w:t>
      </w:r>
      <w:r>
        <w:rPr>
          <w:rFonts w:hint="eastAsia" w:ascii="仿宋_GB2312" w:hAnsi="仿宋_GB2312" w:eastAsia="仿宋_GB2312" w:cs="仿宋_GB2312"/>
          <w:b w:val="0"/>
          <w:bCs w:val="0"/>
          <w:i w:val="0"/>
          <w:iCs w:val="0"/>
          <w:color w:val="auto"/>
          <w:spacing w:val="0"/>
          <w:kern w:val="2"/>
          <w:sz w:val="32"/>
          <w:szCs w:val="32"/>
          <w:highlight w:val="none"/>
          <w:vertAlign w:val="baseline"/>
          <w:lang w:val="en-US" w:eastAsia="zh-CN" w:bidi="ar-SA"/>
        </w:rPr>
        <w:t>以保障性住房、村镇工业集聚区升级改造（钢结构装配式）为切入点，基于建筑工业化、智慧化、集成化的特点，实现建筑计量计价方式“由分到合、由散到整”的转变，逐步建立与构件型装配式建筑、模块化建筑、装配化装修相配套的标准化、系列化工程造价管理体系</w:t>
      </w:r>
      <w:r>
        <w:rPr>
          <w:rFonts w:hint="eastAsia" w:ascii="仿宋_GB2312" w:hAnsi="仿宋_GB2312" w:eastAsia="仿宋_GB2312" w:cs="仿宋_GB2312"/>
          <w:color w:val="auto"/>
          <w:spacing w:val="0"/>
          <w:sz w:val="32"/>
          <w:szCs w:val="32"/>
          <w:highlight w:val="none"/>
          <w:lang w:val="en-US" w:eastAsia="zh-CN"/>
        </w:rPr>
        <w:t>。</w:t>
      </w:r>
    </w:p>
    <w:p w14:paraId="0C80E4CD">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5</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.建立新技术新产品应用论证机制</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w:t>
      </w:r>
      <w:r>
        <w:rPr>
          <w:rFonts w:hint="eastAsia" w:ascii="仿宋_GB2312" w:hAnsi="仿宋_GB2312" w:eastAsia="仿宋_GB2312" w:cs="仿宋_GB2312"/>
          <w:b w:val="0"/>
          <w:bCs w:val="0"/>
          <w:i w:val="0"/>
          <w:iCs w:val="0"/>
          <w:color w:val="auto"/>
          <w:spacing w:val="0"/>
          <w:kern w:val="2"/>
          <w:sz w:val="32"/>
          <w:szCs w:val="32"/>
          <w:highlight w:val="none"/>
          <w:vertAlign w:val="baseline"/>
          <w:lang w:val="en-US" w:eastAsia="zh-CN" w:bidi="ar-SA"/>
        </w:rPr>
        <w:t>大力支持市场主体对新技术的研发和应用，依托市建设科学技术委员会，对新型建筑工业化相关的新技术和新产品开展技术综合论证，规范评价和应用流程，对于通过综合论证的新技术和新产品，允许在建筑领域先行先试，给予报建、监管、验收等方面支持</w:t>
      </w:r>
      <w:r>
        <w:rPr>
          <w:rFonts w:hint="eastAsia" w:ascii="仿宋_GB2312" w:hAnsi="仿宋_GB2312" w:eastAsia="仿宋_GB2312" w:cs="仿宋_GB2312"/>
          <w:color w:val="auto"/>
          <w:spacing w:val="0"/>
          <w:sz w:val="32"/>
          <w:szCs w:val="32"/>
          <w:highlight w:val="none"/>
          <w:lang w:val="en-US" w:eastAsia="zh-CN"/>
        </w:rPr>
        <w:t>。</w:t>
      </w:r>
    </w:p>
    <w:p w14:paraId="62BF9909">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55" w:name="_Toc3674"/>
      <w:bookmarkStart w:id="56" w:name="_Toc14100"/>
      <w:bookmarkStart w:id="57" w:name="_Toc6846"/>
      <w:bookmarkStart w:id="58" w:name="_Toc16690"/>
      <w:bookmarkStart w:id="59" w:name="_Toc21661"/>
      <w:r>
        <w:rPr>
          <w:rFonts w:hint="default" w:ascii="Times New Roman" w:hAnsi="Times New Roman" w:eastAsia="楷体_GB2312" w:cs="楷体_GB2312"/>
          <w:b/>
          <w:bCs w:val="0"/>
          <w:color w:val="auto"/>
          <w:spacing w:val="0"/>
          <w:kern w:val="2"/>
          <w:sz w:val="32"/>
          <w:szCs w:val="32"/>
          <w:highlight w:val="none"/>
          <w:lang w:val="en-US" w:eastAsia="zh-CN" w:bidi="ar-SA"/>
        </w:rPr>
        <w:t>实施绿色设计</w:t>
      </w:r>
      <w:bookmarkEnd w:id="55"/>
      <w:bookmarkEnd w:id="56"/>
      <w:bookmarkEnd w:id="57"/>
      <w:bookmarkEnd w:id="58"/>
      <w:bookmarkEnd w:id="59"/>
    </w:p>
    <w:p w14:paraId="556229E6">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1.树立全生命周期理念。</w:t>
      </w:r>
      <w:r>
        <w:rPr>
          <w:rFonts w:hint="eastAsia" w:ascii="仿宋_GB2312" w:hAnsi="仿宋_GB2312" w:eastAsia="仿宋_GB2312" w:cs="仿宋_GB2312"/>
          <w:color w:val="auto"/>
          <w:spacing w:val="0"/>
          <w:sz w:val="32"/>
          <w:szCs w:val="32"/>
          <w:highlight w:val="none"/>
          <w:lang w:val="en-US" w:eastAsia="zh-CN"/>
        </w:rPr>
        <w:t>统筹考虑工程全生命周期的耐久性、可持续性，鼓励设计单位采用高强、高性能、高耐久性和可循环材料以及先进适用技术体系等开展工程设计。</w:t>
      </w:r>
    </w:p>
    <w:p w14:paraId="60DA8504">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.提高设计质量。</w:t>
      </w:r>
      <w:r>
        <w:rPr>
          <w:rFonts w:hint="eastAsia" w:ascii="仿宋_GB2312" w:hAnsi="仿宋_GB2312" w:eastAsia="仿宋_GB2312" w:cs="仿宋_GB2312"/>
          <w:color w:val="auto"/>
          <w:spacing w:val="0"/>
          <w:sz w:val="32"/>
          <w:szCs w:val="32"/>
          <w:highlight w:val="none"/>
          <w:lang w:val="en-US" w:eastAsia="zh-CN"/>
        </w:rPr>
        <w:t>设计单位应遵从“安全、适用、经济、环保、可持续发展”的理念进行设计；根据建设内容及场地地形进行科学合理的总图布置，因地制宜，节约和充分利用土地资源。平面布置应规范、紧凑、协调，应尽量做到“少挖少填、土石方平衡”，最大限度地降低土石方的外运及购置量；充分考虑施工现场建筑垃圾减量化要求，加强设计施工协同配合，保证设计深度满足施工需要，避免采用难以施工的复杂构造，减少不必要的无功能需要的装饰构件，减少施工过程设计变更；积极推进建筑、结构、机电、装修、景观全专业一体化协同设计，推行标准化设计；根据使用要求进行建筑设计，优先选用建筑垃圾再生产品和可以回收利用的建筑材料；在施工图设计文件中说明建筑垃圾再生产品的使用部位、应用比例和技术指标，并在设计交底时予以明确；执行模数设计，简化建筑物形状，减少、优化部件或组合件的尺寸、种类，推行装配式建筑；明确要求建设工程采用预拌混凝土﹑预拌砂浆，推行新型墙体材料和新工艺。施工图审查机构应按照要求对设计文件进行审查，落实设计减排的要求。</w:t>
      </w:r>
    </w:p>
    <w:p w14:paraId="067F9745">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eastAsia="楷体_GB2312" w:cs="楷体_GB2312"/>
          <w:b/>
          <w:bCs w:val="0"/>
          <w:color w:val="auto"/>
          <w:spacing w:val="0"/>
          <w:kern w:val="2"/>
          <w:sz w:val="32"/>
          <w:szCs w:val="32"/>
          <w:highlight w:val="none"/>
          <w:lang w:val="en-US" w:eastAsia="zh-CN" w:bidi="ar-SA"/>
        </w:rPr>
      </w:pPr>
      <w:bookmarkStart w:id="60" w:name="_Toc964"/>
      <w:bookmarkStart w:id="61" w:name="_Toc8498"/>
      <w:bookmarkStart w:id="62" w:name="_Toc16190"/>
      <w:bookmarkStart w:id="63" w:name="_Toc5827"/>
      <w:bookmarkStart w:id="64" w:name="_Toc18245"/>
      <w:r>
        <w:rPr>
          <w:rFonts w:hint="eastAsia" w:ascii="Times New Roman" w:hAnsi="Times New Roman" w:cs="楷体_GB2312"/>
          <w:b/>
          <w:bCs w:val="0"/>
          <w:color w:val="auto"/>
          <w:spacing w:val="0"/>
          <w:kern w:val="2"/>
          <w:sz w:val="32"/>
          <w:szCs w:val="32"/>
          <w:highlight w:val="none"/>
          <w:lang w:val="en-US" w:eastAsia="zh-CN" w:bidi="ar-SA"/>
        </w:rPr>
        <w:t>推广绿色施工</w:t>
      </w:r>
      <w:bookmarkEnd w:id="60"/>
      <w:bookmarkEnd w:id="61"/>
      <w:bookmarkEnd w:id="62"/>
      <w:bookmarkEnd w:id="63"/>
      <w:bookmarkEnd w:id="64"/>
    </w:p>
    <w:p w14:paraId="4FB1B45D">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1.编制专项方案。</w:t>
      </w:r>
      <w:r>
        <w:rPr>
          <w:rFonts w:hint="eastAsia" w:ascii="仿宋_GB2312" w:hAnsi="仿宋_GB2312" w:eastAsia="仿宋_GB2312" w:cs="仿宋_GB2312"/>
          <w:color w:val="auto"/>
          <w:spacing w:val="0"/>
          <w:sz w:val="32"/>
          <w:szCs w:val="32"/>
          <w:highlight w:val="none"/>
          <w:lang w:val="en-US" w:eastAsia="zh-CN"/>
        </w:rPr>
        <w:t>施工单位需组织编制施工现场建筑垃圾减量化专项方案，明确建筑垃圾减量化目标和职责分工，提出源头减量、分类管理、就地处置、排放控制的具体措施，明确职责分工，结合工程实际制定有针对性的技术、管理和保障措施。</w:t>
      </w:r>
    </w:p>
    <w:p w14:paraId="305B1B5C">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.做好施工组织设计。</w:t>
      </w:r>
      <w:r>
        <w:rPr>
          <w:rFonts w:hint="eastAsia" w:ascii="仿宋_GB2312" w:hAnsi="仿宋_GB2312" w:eastAsia="仿宋_GB2312" w:cs="仿宋_GB2312"/>
          <w:color w:val="auto"/>
          <w:spacing w:val="0"/>
          <w:sz w:val="32"/>
          <w:szCs w:val="32"/>
          <w:highlight w:val="none"/>
          <w:lang w:val="en-US" w:eastAsia="zh-CN"/>
        </w:rPr>
        <w:t>施工单位应建立健全施工现场建筑垃圾减量化与分类排放管理体系，充分应用新技术、新材料、新工艺、新装备，落实建筑垃圾减量化与分类排放专项方案，有效减少施工现场建筑垃圾排放；结合工程加工、运输、安装方案和施工工艺要求，细化节点构造和具体做法，并结合建（构）筑物、管网等的特点，优化施工方案，按照有利于后续建筑垃圾回收利用的原则，进行施工组织设计，合理确定施工工序，实现精细化管理。</w:t>
      </w:r>
    </w:p>
    <w:p w14:paraId="77C3454A">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3</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.提高临时设施和周转材料的重复利用率。</w:t>
      </w:r>
      <w:r>
        <w:rPr>
          <w:rFonts w:hint="eastAsia" w:ascii="仿宋_GB2312" w:hAnsi="仿宋_GB2312" w:eastAsia="仿宋_GB2312" w:cs="仿宋_GB2312"/>
          <w:color w:val="auto"/>
          <w:spacing w:val="0"/>
          <w:sz w:val="32"/>
          <w:szCs w:val="32"/>
          <w:highlight w:val="none"/>
          <w:lang w:val="en-US" w:eastAsia="zh-CN"/>
        </w:rPr>
        <w:t>施工现场办公用房、宿舍、围挡、大门、工具棚、安全防护栏杆等推广采用重复利用率高的标准化设施。</w:t>
      </w:r>
    </w:p>
    <w:p w14:paraId="45C233CF">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4</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.实行建筑垃圾分类管理。</w:t>
      </w:r>
      <w:r>
        <w:rPr>
          <w:rFonts w:hint="eastAsia" w:ascii="仿宋_GB2312" w:hAnsi="仿宋_GB2312" w:eastAsia="仿宋_GB2312" w:cs="仿宋_GB2312"/>
          <w:color w:val="auto"/>
          <w:spacing w:val="0"/>
          <w:sz w:val="32"/>
          <w:szCs w:val="32"/>
          <w:highlight w:val="none"/>
          <w:lang w:val="en-US" w:eastAsia="zh-CN"/>
        </w:rPr>
        <w:t>施工单位需建立建筑垃圾分类收集与存放管理制度，实行分类收集、分类存放、分类处置。</w:t>
      </w:r>
    </w:p>
    <w:p w14:paraId="5832ED99">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5</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.引导施工现场建筑垃圾再利用。</w:t>
      </w:r>
      <w:r>
        <w:rPr>
          <w:rFonts w:hint="eastAsia" w:ascii="仿宋_GB2312" w:hAnsi="仿宋_GB2312" w:eastAsia="仿宋_GB2312" w:cs="仿宋_GB2312"/>
          <w:color w:val="auto"/>
          <w:spacing w:val="0"/>
          <w:sz w:val="32"/>
          <w:szCs w:val="32"/>
          <w:highlight w:val="none"/>
          <w:lang w:val="en-US" w:eastAsia="zh-CN"/>
        </w:rPr>
        <w:t>施工单位需充分利用混凝土、钢筋、模板等，加工制作成各类工程材料，实行循环利用。施工现场不具备就地利用条件的，应按规定及时转运到建筑垃圾处置场所进行资源化处置和再利用。</w:t>
      </w:r>
    </w:p>
    <w:p w14:paraId="3EC32512">
      <w:pPr>
        <w:widowControl/>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6</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落实</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施工现场建筑垃圾的排放控制</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w:t>
      </w:r>
      <w:r>
        <w:rPr>
          <w:rFonts w:hint="eastAsia" w:ascii="仿宋_GB2312" w:hAnsi="仿宋_GB2312" w:eastAsia="仿宋_GB2312" w:cs="仿宋_GB2312"/>
          <w:color w:val="auto"/>
          <w:spacing w:val="0"/>
          <w:sz w:val="32"/>
          <w:szCs w:val="32"/>
          <w:highlight w:val="none"/>
          <w:lang w:val="en-US" w:eastAsia="zh-CN"/>
        </w:rPr>
        <w:t>施工单位应对出场建筑垃圾进行分类称重（计量）。禁止携载未分类垃圾的运输车辆出场；建筑垃圾每次称重（计量）后，应及时记录且须按各类施工现场建筑垃圾实际处理情况填写相关记录、统计表，并保持记录的连续性、真实性和准确性；</w:t>
      </w:r>
      <w:r>
        <w:rPr>
          <w:rFonts w:hint="eastAsia" w:ascii="仿宋_GB2312" w:hAnsi="仿宋_GB2312" w:eastAsia="仿宋_GB2312" w:cs="仿宋_GB2312"/>
          <w:color w:val="auto"/>
          <w:sz w:val="32"/>
          <w:szCs w:val="32"/>
          <w:highlight w:val="none"/>
          <w:lang w:eastAsia="zh-CN"/>
        </w:rPr>
        <w:t>宜</w:t>
      </w:r>
      <w:r>
        <w:rPr>
          <w:rFonts w:hint="eastAsia" w:ascii="仿宋_GB2312" w:hAnsi="仿宋_GB2312" w:eastAsia="仿宋_GB2312" w:cs="仿宋_GB2312"/>
          <w:color w:val="auto"/>
          <w:sz w:val="32"/>
          <w:szCs w:val="32"/>
          <w:highlight w:val="none"/>
        </w:rPr>
        <w:t>现场</w:t>
      </w:r>
      <w:r>
        <w:rPr>
          <w:rFonts w:hint="eastAsia" w:ascii="仿宋_GB2312" w:hAnsi="仿宋_GB2312" w:eastAsia="仿宋_GB2312" w:cs="仿宋_GB2312"/>
          <w:color w:val="auto"/>
          <w:sz w:val="32"/>
          <w:szCs w:val="32"/>
          <w:highlight w:val="none"/>
          <w:lang w:eastAsia="zh-CN"/>
        </w:rPr>
        <w:t>对</w:t>
      </w:r>
      <w:r>
        <w:rPr>
          <w:rFonts w:hint="eastAsia" w:ascii="仿宋_GB2312" w:hAnsi="仿宋_GB2312" w:eastAsia="仿宋_GB2312" w:cs="仿宋_GB2312"/>
          <w:color w:val="auto"/>
          <w:sz w:val="32"/>
          <w:szCs w:val="32"/>
          <w:highlight w:val="none"/>
        </w:rPr>
        <w:t>淤泥质</w:t>
      </w:r>
      <w:r>
        <w:rPr>
          <w:rFonts w:hint="eastAsia" w:ascii="仿宋_GB2312" w:hAnsi="仿宋_GB2312" w:eastAsia="仿宋_GB2312" w:cs="仿宋_GB2312"/>
          <w:color w:val="auto"/>
          <w:sz w:val="32"/>
          <w:szCs w:val="32"/>
          <w:highlight w:val="none"/>
          <w:lang w:eastAsia="zh-CN"/>
        </w:rPr>
        <w:t>工程</w:t>
      </w:r>
      <w:r>
        <w:rPr>
          <w:rFonts w:hint="eastAsia" w:ascii="仿宋_GB2312" w:hAnsi="仿宋_GB2312" w:eastAsia="仿宋_GB2312" w:cs="仿宋_GB2312"/>
          <w:color w:val="auto"/>
          <w:sz w:val="32"/>
          <w:szCs w:val="32"/>
          <w:highlight w:val="none"/>
        </w:rPr>
        <w:t>渣土</w:t>
      </w:r>
      <w:r>
        <w:rPr>
          <w:rFonts w:hint="eastAsia" w:ascii="仿宋_GB2312" w:hAnsi="仿宋_GB2312" w:eastAsia="仿宋_GB2312" w:cs="仿宋_GB2312"/>
          <w:color w:val="auto"/>
          <w:sz w:val="32"/>
          <w:szCs w:val="32"/>
          <w:highlight w:val="none"/>
          <w:lang w:eastAsia="zh-CN"/>
        </w:rPr>
        <w:t>、工程泥浆进行</w:t>
      </w:r>
      <w:r>
        <w:rPr>
          <w:rFonts w:hint="eastAsia" w:ascii="仿宋_GB2312" w:hAnsi="仿宋_GB2312" w:eastAsia="仿宋_GB2312" w:cs="仿宋_GB2312"/>
          <w:color w:val="auto"/>
          <w:sz w:val="32"/>
          <w:szCs w:val="32"/>
          <w:highlight w:val="none"/>
        </w:rPr>
        <w:t>脱水</w:t>
      </w:r>
      <w:r>
        <w:rPr>
          <w:rFonts w:hint="eastAsia" w:ascii="仿宋_GB2312" w:hAnsi="仿宋_GB2312" w:eastAsia="仿宋_GB2312" w:cs="仿宋_GB2312"/>
          <w:color w:val="auto"/>
          <w:sz w:val="32"/>
          <w:szCs w:val="32"/>
          <w:highlight w:val="none"/>
          <w:lang w:eastAsia="zh-CN"/>
        </w:rPr>
        <w:t>或硬化</w:t>
      </w:r>
      <w:r>
        <w:rPr>
          <w:rFonts w:hint="eastAsia" w:ascii="仿宋_GB2312" w:hAnsi="仿宋_GB2312" w:eastAsia="仿宋_GB2312" w:cs="仿宋_GB2312"/>
          <w:color w:val="auto"/>
          <w:spacing w:val="0"/>
          <w:sz w:val="32"/>
          <w:szCs w:val="32"/>
          <w:highlight w:val="none"/>
          <w:lang w:val="en-US" w:eastAsia="zh-CN"/>
        </w:rPr>
        <w:t>；在施工现场出入口等显著位置宜实时公示建筑垃圾类型、出场排放量、处置方式、处置去向及运输单位；出场建筑垃圾应运往符合要求的建筑垃圾处置场所或消纳场所；严禁将生活垃圾和危险废物混入建筑垃圾排放，施工现场产生的生活垃圾和危险废物应按有关规定进行处置。</w:t>
      </w:r>
    </w:p>
    <w:p w14:paraId="5F3EA839">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65" w:name="_Toc30561"/>
      <w:r>
        <w:rPr>
          <w:rFonts w:hint="eastAsia" w:ascii="Times New Roman" w:hAnsi="Times New Roman" w:cs="楷体_GB2312"/>
          <w:b/>
          <w:bCs w:val="0"/>
          <w:color w:val="auto"/>
          <w:spacing w:val="0"/>
          <w:kern w:val="2"/>
          <w:sz w:val="32"/>
          <w:szCs w:val="32"/>
          <w:highlight w:val="none"/>
          <w:lang w:val="en-US" w:eastAsia="zh-CN" w:bidi="ar-SA"/>
        </w:rPr>
        <w:t>推动施工现场就地资源化利用</w:t>
      </w:r>
      <w:bookmarkEnd w:id="65"/>
    </w:p>
    <w:p w14:paraId="125FBDAE">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鼓励施工现场建筑垃圾的就地利用处置，遵循因地制宜、分类利用的原则，提高建筑垃圾处置利用水平。</w:t>
      </w:r>
    </w:p>
    <w:p w14:paraId="078D9C0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具备建筑垃圾就地资源化处置能力的施工单位，应根据场地条件，合理设置建筑垃圾加工区及产品储存区，提升施工现场建筑垃圾资源化处置水平及再生产品质量。</w:t>
      </w:r>
    </w:p>
    <w:p w14:paraId="2D872D49">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以城市更新项目为切入点，在项目中试点推广实施“拆除与资源化利用一体化”现场处置模式，生产的再生产品应用于本工程，实现建筑废弃物源头减量，</w:t>
      </w:r>
      <w:r>
        <w:rPr>
          <w:rFonts w:hint="eastAsia" w:ascii="仿宋_GB2312" w:hAnsi="仿宋_GB2312"/>
          <w:color w:val="auto"/>
          <w:sz w:val="32"/>
          <w:szCs w:val="32"/>
          <w:lang w:val="en-US" w:eastAsia="zh-CN"/>
        </w:rPr>
        <w:t>探索形成拆除、分类、运输、利用与处置全链条闭环式的治理模式。</w:t>
      </w:r>
      <w:r>
        <w:rPr>
          <w:rFonts w:hint="eastAsia" w:ascii="仿宋_GB2312" w:hAnsi="仿宋_GB2312" w:eastAsia="仿宋_GB2312" w:cs="仿宋_GB2312"/>
          <w:color w:val="auto"/>
          <w:spacing w:val="0"/>
          <w:sz w:val="32"/>
          <w:szCs w:val="32"/>
          <w:highlight w:val="none"/>
          <w:lang w:val="en-US" w:eastAsia="zh-CN"/>
        </w:rPr>
        <w:t>据统计，目前增城区城市更新项目共22个，总占地面积超过1403万平方米，规划考虑以占地面积超过50万平方米的项目作为推广试点，具体如下：</w:t>
      </w:r>
    </w:p>
    <w:p w14:paraId="52811827">
      <w:pPr>
        <w:pStyle w:val="65"/>
        <w:keepNext w:val="0"/>
        <w:keepLines w:val="0"/>
        <w:pageBreakBefore w:val="0"/>
        <w:widowControl/>
        <w:numPr>
          <w:ilvl w:val="0"/>
          <w:numId w:val="6"/>
        </w:numPr>
        <w:kinsoku/>
        <w:wordWrap/>
        <w:overflowPunct w:val="0"/>
        <w:topLinePunct w:val="0"/>
        <w:autoSpaceDE/>
        <w:autoSpaceDN/>
        <w:bidi w:val="0"/>
        <w:adjustRightInd/>
        <w:snapToGrid/>
        <w:spacing w:after="192" w:afterLines="50"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“拆除与资源化利用一体化”现场处置模式试点项目一览表</w:t>
      </w:r>
    </w:p>
    <w:tbl>
      <w:tblPr>
        <w:tblStyle w:val="44"/>
        <w:tblW w:w="4998" w:type="pct"/>
        <w:jc w:val="center"/>
        <w:tblLayout w:type="autofit"/>
        <w:tblCellMar>
          <w:top w:w="0" w:type="dxa"/>
          <w:left w:w="108" w:type="dxa"/>
          <w:bottom w:w="0" w:type="dxa"/>
          <w:right w:w="108" w:type="dxa"/>
        </w:tblCellMar>
      </w:tblPr>
      <w:tblGrid>
        <w:gridCol w:w="1284"/>
        <w:gridCol w:w="4454"/>
        <w:gridCol w:w="3205"/>
      </w:tblGrid>
      <w:tr w14:paraId="64F59B59">
        <w:tblPrEx>
          <w:tblCellMar>
            <w:top w:w="0" w:type="dxa"/>
            <w:left w:w="108" w:type="dxa"/>
            <w:bottom w:w="0" w:type="dxa"/>
            <w:right w:w="108" w:type="dxa"/>
          </w:tblCellMar>
        </w:tblPrEx>
        <w:trPr>
          <w:trHeight w:val="467" w:hRule="atLeast"/>
          <w:tblHeader/>
          <w:jc w:val="center"/>
        </w:trPr>
        <w:tc>
          <w:tcPr>
            <w:tcW w:w="718" w:type="pct"/>
            <w:tcBorders>
              <w:top w:val="single" w:color="000000" w:sz="4" w:space="0"/>
              <w:left w:val="single" w:color="000000" w:sz="4" w:space="0"/>
              <w:right w:val="single" w:color="000000" w:sz="4" w:space="0"/>
            </w:tcBorders>
            <w:noWrap/>
            <w:vAlign w:val="center"/>
          </w:tcPr>
          <w:p w14:paraId="20E7874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序号</w:t>
            </w:r>
          </w:p>
        </w:tc>
        <w:tc>
          <w:tcPr>
            <w:tcW w:w="2489" w:type="pct"/>
            <w:tcBorders>
              <w:top w:val="single" w:color="000000" w:sz="4" w:space="0"/>
              <w:left w:val="single" w:color="000000" w:sz="4" w:space="0"/>
              <w:right w:val="single" w:color="000000" w:sz="4" w:space="0"/>
            </w:tcBorders>
            <w:noWrap/>
            <w:vAlign w:val="center"/>
          </w:tcPr>
          <w:p w14:paraId="559C992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项目名称</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7EE6569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占地面积</w:t>
            </w:r>
          </w:p>
        </w:tc>
      </w:tr>
      <w:tr w14:paraId="0D1C3957">
        <w:tblPrEx>
          <w:tblCellMar>
            <w:top w:w="0" w:type="dxa"/>
            <w:left w:w="108" w:type="dxa"/>
            <w:bottom w:w="0" w:type="dxa"/>
            <w:right w:w="108" w:type="dxa"/>
          </w:tblCellMar>
        </w:tblPrEx>
        <w:trPr>
          <w:trHeight w:val="671" w:hRule="atLeast"/>
          <w:jc w:val="center"/>
        </w:trPr>
        <w:tc>
          <w:tcPr>
            <w:tcW w:w="718" w:type="pct"/>
            <w:tcBorders>
              <w:top w:val="single" w:color="000000" w:sz="4" w:space="0"/>
              <w:left w:val="single" w:color="000000" w:sz="4" w:space="0"/>
              <w:bottom w:val="single" w:color="000000" w:sz="4" w:space="0"/>
              <w:right w:val="single" w:color="000000" w:sz="4" w:space="0"/>
            </w:tcBorders>
            <w:noWrap/>
            <w:vAlign w:val="center"/>
          </w:tcPr>
          <w:p w14:paraId="6C641B4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w:t>
            </w:r>
          </w:p>
        </w:tc>
        <w:tc>
          <w:tcPr>
            <w:tcW w:w="2489" w:type="pct"/>
            <w:tcBorders>
              <w:top w:val="single" w:color="000000" w:sz="4" w:space="0"/>
              <w:left w:val="single" w:color="000000" w:sz="4" w:space="0"/>
              <w:bottom w:val="single" w:color="000000" w:sz="4" w:space="0"/>
              <w:right w:val="single" w:color="000000" w:sz="4" w:space="0"/>
            </w:tcBorders>
            <w:noWrap/>
            <w:vAlign w:val="center"/>
          </w:tcPr>
          <w:p w14:paraId="5024C0F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新塘镇西洲村全面改造项目</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63023C0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348.58</w:t>
            </w:r>
            <w:r>
              <w:rPr>
                <w:rFonts w:hint="default" w:ascii="仿宋_GB2312" w:hAnsi="仿宋_GB2312" w:eastAsia="仿宋_GB2312" w:cs="仿宋_GB2312"/>
                <w:color w:val="auto"/>
                <w:spacing w:val="0"/>
                <w:kern w:val="2"/>
                <w:sz w:val="24"/>
                <w:szCs w:val="24"/>
                <w:highlight w:val="none"/>
                <w:lang w:val="en-US" w:eastAsia="zh-CN" w:bidi="ar-SA"/>
              </w:rPr>
              <w:t>万</w:t>
            </w:r>
          </w:p>
          <w:p w14:paraId="77EE43A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default" w:ascii="仿宋_GB2312" w:hAnsi="仿宋_GB2312" w:eastAsia="仿宋_GB2312" w:cs="仿宋_GB2312"/>
                <w:color w:val="auto"/>
                <w:spacing w:val="0"/>
                <w:kern w:val="2"/>
                <w:sz w:val="24"/>
                <w:szCs w:val="24"/>
                <w:highlight w:val="none"/>
                <w:lang w:val="en-US" w:eastAsia="zh-CN" w:bidi="ar-SA"/>
              </w:rPr>
              <w:t>平方米</w:t>
            </w:r>
          </w:p>
        </w:tc>
      </w:tr>
      <w:tr w14:paraId="570D25A6">
        <w:tblPrEx>
          <w:tblCellMar>
            <w:top w:w="0" w:type="dxa"/>
            <w:left w:w="108" w:type="dxa"/>
            <w:bottom w:w="0" w:type="dxa"/>
            <w:right w:w="108" w:type="dxa"/>
          </w:tblCellMar>
        </w:tblPrEx>
        <w:trPr>
          <w:trHeight w:val="791" w:hRule="atLeast"/>
          <w:jc w:val="center"/>
        </w:trPr>
        <w:tc>
          <w:tcPr>
            <w:tcW w:w="718" w:type="pct"/>
            <w:tcBorders>
              <w:top w:val="single" w:color="000000" w:sz="4" w:space="0"/>
              <w:left w:val="single" w:color="000000" w:sz="4" w:space="0"/>
              <w:bottom w:val="single" w:color="000000" w:sz="4" w:space="0"/>
              <w:right w:val="single" w:color="000000" w:sz="4" w:space="0"/>
            </w:tcBorders>
            <w:noWrap/>
            <w:vAlign w:val="center"/>
          </w:tcPr>
          <w:p w14:paraId="23B4121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w:t>
            </w:r>
          </w:p>
        </w:tc>
        <w:tc>
          <w:tcPr>
            <w:tcW w:w="2489" w:type="pct"/>
            <w:tcBorders>
              <w:top w:val="single" w:color="000000" w:sz="4" w:space="0"/>
              <w:left w:val="single" w:color="000000" w:sz="4" w:space="0"/>
              <w:bottom w:val="single" w:color="000000" w:sz="4" w:space="0"/>
              <w:right w:val="single" w:color="000000" w:sz="4" w:space="0"/>
            </w:tcBorders>
            <w:noWrap/>
            <w:vAlign w:val="center"/>
          </w:tcPr>
          <w:p w14:paraId="25D9150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仙村镇碧潭村全面改造项目</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401A32E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164.09</w:t>
            </w:r>
            <w:r>
              <w:rPr>
                <w:rFonts w:hint="default" w:ascii="仿宋_GB2312" w:hAnsi="仿宋_GB2312" w:eastAsia="仿宋_GB2312" w:cs="仿宋_GB2312"/>
                <w:color w:val="auto"/>
                <w:spacing w:val="0"/>
                <w:kern w:val="2"/>
                <w:sz w:val="24"/>
                <w:szCs w:val="24"/>
                <w:highlight w:val="none"/>
                <w:lang w:val="en-US" w:eastAsia="zh-CN" w:bidi="ar-SA"/>
              </w:rPr>
              <w:t>万</w:t>
            </w:r>
          </w:p>
          <w:p w14:paraId="639BFDF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default" w:ascii="仿宋_GB2312" w:hAnsi="仿宋_GB2312" w:eastAsia="仿宋_GB2312" w:cs="仿宋_GB2312"/>
                <w:color w:val="auto"/>
                <w:spacing w:val="0"/>
                <w:kern w:val="2"/>
                <w:sz w:val="24"/>
                <w:szCs w:val="24"/>
                <w:highlight w:val="none"/>
                <w:lang w:val="en-US" w:eastAsia="zh-CN" w:bidi="ar-SA"/>
              </w:rPr>
              <w:t>平方米</w:t>
            </w:r>
          </w:p>
        </w:tc>
      </w:tr>
    </w:tbl>
    <w:p w14:paraId="6987D2CE">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bookmarkStart w:id="66" w:name="_Toc8610"/>
      <w:r>
        <w:rPr>
          <w:rFonts w:hint="eastAsia" w:ascii="仿宋_GB2312" w:hAnsi="仿宋_GB2312" w:eastAsia="仿宋_GB2312" w:cs="仿宋_GB2312"/>
          <w:color w:val="auto"/>
          <w:spacing w:val="0"/>
          <w:sz w:val="32"/>
          <w:szCs w:val="32"/>
          <w:highlight w:val="none"/>
          <w:lang w:val="en-US" w:eastAsia="zh-CN"/>
        </w:rPr>
        <w:t>城市更新项目建筑垃圾增量管控工作要求，具体如下：</w:t>
      </w:r>
    </w:p>
    <w:p w14:paraId="24E7C6AA">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color w:val="auto"/>
          <w:sz w:val="32"/>
          <w:szCs w:val="32"/>
          <w:lang w:val="en-US" w:eastAsia="zh-CN"/>
        </w:rPr>
      </w:pPr>
      <w:r>
        <w:rPr>
          <w:rFonts w:hint="eastAsia" w:ascii="仿宋_GB2312" w:hAnsi="仿宋_GB2312"/>
          <w:b/>
          <w:bCs/>
          <w:color w:val="auto"/>
          <w:sz w:val="32"/>
          <w:szCs w:val="32"/>
          <w:lang w:val="en-US" w:eastAsia="zh-CN"/>
        </w:rPr>
        <w:t>1.遵照相关管控原则。</w:t>
      </w:r>
      <w:r>
        <w:rPr>
          <w:rFonts w:hint="eastAsia" w:ascii="仿宋_GB2312" w:hAnsi="仿宋_GB2312"/>
          <w:color w:val="auto"/>
          <w:sz w:val="32"/>
          <w:szCs w:val="32"/>
          <w:lang w:val="en-US" w:eastAsia="zh-CN"/>
        </w:rPr>
        <w:t>以“就地资源化、就近循环利用、减量化、区域安全处置”为增量管控原则。</w:t>
      </w:r>
    </w:p>
    <w:p w14:paraId="661B5239">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color w:val="auto"/>
          <w:sz w:val="32"/>
          <w:szCs w:val="32"/>
          <w:lang w:val="en-US" w:eastAsia="zh-CN"/>
        </w:rPr>
      </w:pPr>
      <w:r>
        <w:rPr>
          <w:rFonts w:hint="eastAsia" w:ascii="仿宋_GB2312" w:hAnsi="仿宋_GB2312"/>
          <w:b/>
          <w:bCs/>
          <w:color w:val="auto"/>
          <w:sz w:val="32"/>
          <w:szCs w:val="32"/>
          <w:lang w:val="en-US" w:eastAsia="zh-CN"/>
        </w:rPr>
        <w:t>2.深化细化建筑垃圾处理方案的编制。</w:t>
      </w:r>
      <w:r>
        <w:rPr>
          <w:rFonts w:hint="eastAsia" w:ascii="仿宋_GB2312" w:hAnsi="仿宋_GB2312"/>
          <w:color w:val="auto"/>
          <w:sz w:val="32"/>
          <w:szCs w:val="32"/>
          <w:lang w:val="en-US" w:eastAsia="zh-CN"/>
        </w:rPr>
        <w:t>建设单位、施工单位应严格按照 《</w:t>
      </w:r>
      <w:r>
        <w:rPr>
          <w:rFonts w:hint="eastAsia" w:ascii="仿宋_GB2312" w:hAnsi="仿宋_GB2312" w:eastAsia="仿宋_GB2312" w:cs="仿宋_GB2312"/>
          <w:color w:val="auto"/>
          <w:spacing w:val="0"/>
          <w:sz w:val="32"/>
          <w:szCs w:val="32"/>
          <w:highlight w:val="none"/>
          <w:lang w:val="en-US" w:eastAsia="zh-CN"/>
        </w:rPr>
        <w:t>广东省建筑垃圾管理条例</w:t>
      </w:r>
      <w:r>
        <w:rPr>
          <w:rFonts w:hint="eastAsia" w:ascii="仿宋_GB2312" w:hAnsi="仿宋_GB2312"/>
          <w:color w:val="auto"/>
          <w:sz w:val="32"/>
          <w:szCs w:val="32"/>
          <w:lang w:val="en-US" w:eastAsia="zh-CN"/>
        </w:rPr>
        <w:t>》等要求编制建筑垃圾处理方案。方案应遵照管控原则，明确拆迁阶段的建筑垃圾类别及产生量；就地资源化实施方案、处置量；就近循环利用计划、利用量；拆迁阶段的各项减量化措施及指标要求；处理处置、利用、消纳主体，并附上相关协议等证明材料，确保建筑垃圾处置全过程闭环管理。</w:t>
      </w:r>
    </w:p>
    <w:p w14:paraId="54A0872E">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b/>
          <w:bCs/>
          <w:color w:val="auto"/>
          <w:sz w:val="32"/>
          <w:szCs w:val="32"/>
          <w:lang w:val="en-US" w:eastAsia="zh-CN"/>
        </w:rPr>
        <w:t>3.进一步落实建筑垃圾处理方案备案制度。</w:t>
      </w:r>
      <w:r>
        <w:rPr>
          <w:rFonts w:hint="eastAsia" w:ascii="仿宋_GB2312" w:hAnsi="仿宋_GB2312"/>
          <w:color w:val="auto"/>
          <w:sz w:val="32"/>
          <w:szCs w:val="32"/>
          <w:lang w:val="en-US" w:eastAsia="zh-CN"/>
        </w:rPr>
        <w:t>政府相关部门应严格落实建筑垃圾处理方案备案制度，核查方案各项措施及指标的可行性，保障建筑垃圾处置实现全过程闭环管理，实现就地就近资源化、减量化和安全处置</w:t>
      </w:r>
      <w:r>
        <w:rPr>
          <w:rFonts w:hint="eastAsia" w:ascii="仿宋_GB2312" w:hAnsi="仿宋_GB2312" w:eastAsia="仿宋_GB2312" w:cs="仿宋_GB2312"/>
          <w:color w:val="auto"/>
          <w:spacing w:val="0"/>
          <w:sz w:val="32"/>
          <w:szCs w:val="32"/>
          <w:highlight w:val="none"/>
          <w:lang w:val="en-US" w:eastAsia="zh-CN"/>
        </w:rPr>
        <w:t>。</w:t>
      </w:r>
    </w:p>
    <w:p w14:paraId="2D821E0E">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r>
        <w:rPr>
          <w:rFonts w:hint="eastAsia" w:ascii="Times New Roman" w:hAnsi="Times New Roman" w:cs="楷体_GB2312"/>
          <w:b/>
          <w:bCs w:val="0"/>
          <w:color w:val="auto"/>
          <w:spacing w:val="0"/>
          <w:kern w:val="2"/>
          <w:sz w:val="32"/>
          <w:szCs w:val="32"/>
          <w:highlight w:val="none"/>
          <w:lang w:val="en-US" w:eastAsia="zh-CN" w:bidi="ar-SA"/>
        </w:rPr>
        <w:t>重点区域源头管控要点</w:t>
      </w:r>
      <w:bookmarkEnd w:id="66"/>
    </w:p>
    <w:p w14:paraId="0E3D35CF">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主管部门以及住建、规自、生态、水利等部门依职责，重点打击在河道、湖泊、水库管理范围内，城乡结合部、农村地区、地市毗邻区域，交通道路沿线，耕地和永久基本农田、林地、湿地，生态保护红线和自然保护地内非法倾倒建筑垃圾的违法违规行为涉嫌犯罪的，依法追究刑事责任。重点排查违规设立的建筑垃圾临时贮存场所、处置场所或资源化利用设施，一经发现立即依法进行查处。加强建筑垃圾跨行政区域转移监管，切实做到守土有责，坚决防范跨省跨市乱倒乱卸。</w:t>
      </w:r>
    </w:p>
    <w:p w14:paraId="16F02DC9">
      <w:pPr>
        <w:pStyle w:val="3"/>
        <w:bidi w:val="0"/>
        <w:ind w:left="420" w:leftChars="0" w:firstLine="220" w:firstLineChars="0"/>
        <w:rPr>
          <w:rFonts w:hint="default" w:ascii="Times New Roman" w:hAnsi="Times New Roman"/>
          <w:b/>
          <w:bCs/>
          <w:color w:val="auto"/>
          <w:spacing w:val="0"/>
          <w:highlight w:val="none"/>
          <w:lang w:val="en-US" w:eastAsia="zh-CN"/>
        </w:rPr>
      </w:pPr>
      <w:bookmarkStart w:id="67" w:name="_Toc8230"/>
      <w:bookmarkStart w:id="68" w:name="_Toc24109"/>
      <w:r>
        <w:rPr>
          <w:rFonts w:hint="eastAsia" w:ascii="Times New Roman" w:hAnsi="Times New Roman" w:cs="黑体"/>
          <w:b/>
          <w:bCs/>
          <w:color w:val="auto"/>
          <w:spacing w:val="0"/>
          <w:sz w:val="32"/>
          <w:szCs w:val="32"/>
          <w:highlight w:val="none"/>
          <w:lang w:val="en-US" w:eastAsia="zh-CN"/>
        </w:rPr>
        <w:t>收运环节</w:t>
      </w:r>
      <w:r>
        <w:rPr>
          <w:rFonts w:hint="eastAsia" w:ascii="Times New Roman" w:hAnsi="Times New Roman" w:eastAsia="黑体" w:cs="黑体"/>
          <w:b/>
          <w:bCs/>
          <w:color w:val="auto"/>
          <w:spacing w:val="0"/>
          <w:sz w:val="32"/>
          <w:szCs w:val="32"/>
          <w:highlight w:val="none"/>
          <w:lang w:val="en-US" w:eastAsia="zh-CN"/>
        </w:rPr>
        <w:t>污染防治策略</w:t>
      </w:r>
      <w:bookmarkEnd w:id="67"/>
      <w:bookmarkEnd w:id="68"/>
    </w:p>
    <w:p w14:paraId="0156A792">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69" w:name="_Toc9207"/>
      <w:bookmarkStart w:id="70" w:name="_Toc13763"/>
      <w:bookmarkStart w:id="71" w:name="_Toc9251"/>
      <w:bookmarkStart w:id="72" w:name="_Toc28779"/>
      <w:bookmarkStart w:id="73" w:name="_Toc25008"/>
      <w:r>
        <w:rPr>
          <w:rFonts w:hint="eastAsia" w:ascii="Times New Roman" w:hAnsi="Times New Roman" w:cs="楷体_GB2312"/>
          <w:b/>
          <w:bCs w:val="0"/>
          <w:color w:val="auto"/>
          <w:spacing w:val="0"/>
          <w:kern w:val="2"/>
          <w:sz w:val="32"/>
          <w:szCs w:val="32"/>
          <w:highlight w:val="none"/>
          <w:lang w:val="en-US" w:eastAsia="zh-CN" w:bidi="ar-SA"/>
        </w:rPr>
        <w:t>分类收运</w:t>
      </w:r>
      <w:bookmarkEnd w:id="69"/>
      <w:bookmarkEnd w:id="70"/>
      <w:bookmarkEnd w:id="71"/>
      <w:bookmarkEnd w:id="72"/>
      <w:r>
        <w:rPr>
          <w:rFonts w:hint="eastAsia" w:ascii="Times New Roman" w:hAnsi="Times New Roman" w:cs="楷体_GB2312"/>
          <w:b/>
          <w:bCs w:val="0"/>
          <w:color w:val="auto"/>
          <w:spacing w:val="0"/>
          <w:kern w:val="2"/>
          <w:sz w:val="32"/>
          <w:szCs w:val="32"/>
          <w:highlight w:val="none"/>
          <w:lang w:val="en-US" w:eastAsia="zh-CN" w:bidi="ar-SA"/>
        </w:rPr>
        <w:t>措施</w:t>
      </w:r>
      <w:bookmarkEnd w:id="73"/>
    </w:p>
    <w:p w14:paraId="204F8EA8">
      <w:pPr>
        <w:widowControl/>
        <w:shd w:val="clear" w:color="auto" w:fill="auto"/>
        <w:overflowPunct w:val="0"/>
        <w:adjustRightInd/>
        <w:snapToGrid/>
        <w:spacing w:line="600" w:lineRule="exact"/>
        <w:ind w:firstLine="643"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1.工程渣土和工程泥浆分类收运</w:t>
      </w:r>
    </w:p>
    <w:p w14:paraId="09300FB8">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（1）不得将工程渣土、工程泥浆与其他建筑垃圾混合运输。禁止携载未分类垃圾的运输车辆进出施工现场。</w:t>
      </w:r>
    </w:p>
    <w:p w14:paraId="1B3207A0">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（2）工程渣土收集时，表层耕植土不应和其他土类混合，可再利用的粉砂（土）、砂土、卵（砾）石及岩石等宜分类收集。</w:t>
      </w:r>
    </w:p>
    <w:p w14:paraId="26EB2B2E">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（3）结合土方回填对土质的要求及场地布置情况，规划现场渣土暂时存放场地。对临时存放的工程渣土做好覆盖，并确保安全稳定。</w:t>
      </w:r>
    </w:p>
    <w:p w14:paraId="1AAC0C2B">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（4）工程泥浆应通过工程现场设置的泥浆池或封闭容器收集存放。</w:t>
      </w:r>
    </w:p>
    <w:p w14:paraId="2D4629DA">
      <w:pPr>
        <w:widowControl/>
        <w:shd w:val="clear" w:color="auto" w:fill="auto"/>
        <w:overflowPunct w:val="0"/>
        <w:adjustRightInd/>
        <w:snapToGrid/>
        <w:spacing w:line="600" w:lineRule="exact"/>
        <w:ind w:firstLine="640" w:firstLineChars="200"/>
        <w:jc w:val="both"/>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（5）泥浆池应采取防渗漏措施、可周转的材料制作。</w:t>
      </w:r>
    </w:p>
    <w:p w14:paraId="126A7573">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（6）封闭容器内外表面应采取除锈、防腐措施，并应具有良好的密闭性能。</w:t>
      </w:r>
    </w:p>
    <w:p w14:paraId="01F1246E">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（7）未经处置的泥浆严禁就地或随意排放。</w:t>
      </w:r>
    </w:p>
    <w:p w14:paraId="4750A826">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（8）工程泥浆应在施工现场进行脱水固化处理。施工现场不具备条件的，应采用罐装器具密闭运输至依法设置的处置场所进行处置。水上工程中依法无需经脱水处理的除外。</w:t>
      </w:r>
    </w:p>
    <w:p w14:paraId="306B7A24">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.工程垃圾分类收运</w:t>
      </w:r>
    </w:p>
    <w:p w14:paraId="2CA18258">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（1）工程垃圾按金属类、无机非金属类、其他类进行分类，并由专人进行清运处理。</w:t>
      </w:r>
    </w:p>
    <w:p w14:paraId="0B3A0A42">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金属类、无机非金属类垃圾可采取露天堆放的方式，堆放高度不宜超过3m，超过3m时应进行堆体和地基的稳定性验算，露天堆放应进行覆盖，避免雨淋和减少扬尘，堆放区域四周设置雨水排水沟及转运车辆出入口。</w:t>
      </w:r>
    </w:p>
    <w:p w14:paraId="0F729E2D">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（3）其他类垃圾堆放区应硬化地坪并设置围堰，四周设置排水沟。露天堆放的应进行覆盖，防止扬尘和轻飘物飞散。</w:t>
      </w:r>
    </w:p>
    <w:p w14:paraId="0BA6263E">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（4）应根据工程垃圾尺寸及质量，采用人工与机械相结合的方式进行堆放。</w:t>
      </w:r>
    </w:p>
    <w:p w14:paraId="7F7B57BF">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3</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.拆除垃圾分类收运</w:t>
      </w:r>
    </w:p>
    <w:p w14:paraId="165C99C0">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（1）拆除垃圾可按金属类、无机非金属类、其他类进行分类，并由专人进行清运处理。各类垃圾堆放要求参照工程垃圾执行。</w:t>
      </w:r>
    </w:p>
    <w:p w14:paraId="2A09F3CC">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（2）建构筑物拆除前应做好技术准备工作、现场准备工作，拆除过程应注重边拆除、边分类。</w:t>
      </w:r>
    </w:p>
    <w:p w14:paraId="4BA71D37">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（3）附属构件（门、窗等）先于主体结构拆除，分类存放。</w:t>
      </w:r>
    </w:p>
    <w:p w14:paraId="7107AB1C">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（4）拆除的混凝土梁、柱、楼板构件或其他预制件统一收集。</w:t>
      </w:r>
    </w:p>
    <w:p w14:paraId="5A1D6D25">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（5）拆除流程宜采用如下流程：周边维护—拆除管线—拆除门窗—开凿楼板—拆除砖墙—开凿混凝土构件—分类回收废弃物—弃物外运。</w:t>
      </w:r>
    </w:p>
    <w:p w14:paraId="6EC77CF1">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6）拆除时应采用先上后下、先非承重结构后承重结构、先板、梁后墙、柱的施工原则，不应交叉拆除或数层同时拆除。地上部分建筑物完全拆除后，拆除地下部分，破除砼地坪。拆除地下管线时，应明确管内无易燃、易爆物后，方可拆除。拆除过程中应避免墙体大块重放，以免对原始楼板造成冲压及损坏，屋面、楼面、平（阳）台上，不可集中堆放材料和建筑垃圾，堆放的重量或高度应经过计算，应控制在结构承载允许范围内。</w:t>
      </w:r>
    </w:p>
    <w:p w14:paraId="35BE78DE">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4</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.装修垃圾分类收运</w:t>
      </w:r>
    </w:p>
    <w:p w14:paraId="1E1C777D">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（1）装修垃圾应袋装收集。无机装修废料（混凝土、砂浆、砖瓦、陶瓷等）不应与有机杂物、金属等混杂。</w:t>
      </w:r>
    </w:p>
    <w:p w14:paraId="57AEE89C">
      <w:pPr>
        <w:widowControl/>
        <w:shd w:val="clear" w:color="auto" w:fill="auto"/>
        <w:overflowPunct w:val="0"/>
        <w:adjustRightInd/>
        <w:snapToGrid/>
        <w:spacing w:line="600" w:lineRule="exact"/>
        <w:ind w:firstLine="640"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（2）住宅小区装修工程应设置专门的装修垃圾堆放点，非住宅小区装修工程，装修垃圾应分类、集中堆放。</w:t>
      </w:r>
    </w:p>
    <w:p w14:paraId="046A88B4">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74" w:name="_Toc1792"/>
      <w:bookmarkStart w:id="75" w:name="_Toc24360"/>
      <w:bookmarkStart w:id="76" w:name="_Toc22262"/>
      <w:bookmarkStart w:id="77" w:name="_Toc25572"/>
      <w:bookmarkStart w:id="78" w:name="_Toc25715"/>
      <w:r>
        <w:rPr>
          <w:rFonts w:hint="default" w:ascii="Times New Roman" w:hAnsi="Times New Roman" w:cs="楷体_GB2312"/>
          <w:b/>
          <w:bCs w:val="0"/>
          <w:color w:val="auto"/>
          <w:spacing w:val="0"/>
          <w:kern w:val="2"/>
          <w:sz w:val="32"/>
          <w:szCs w:val="32"/>
          <w:highlight w:val="none"/>
          <w:lang w:val="en-US" w:eastAsia="zh-CN" w:bidi="ar-SA"/>
        </w:rPr>
        <w:t>收运方案</w:t>
      </w:r>
      <w:bookmarkEnd w:id="74"/>
    </w:p>
    <w:p w14:paraId="6A1D670F">
      <w:pPr>
        <w:widowControl/>
        <w:shd w:val="clear" w:color="auto" w:fill="auto"/>
        <w:overflowPunct w:val="0"/>
        <w:adjustRightInd/>
        <w:snapToGrid/>
        <w:spacing w:line="600" w:lineRule="exact"/>
        <w:ind w:firstLine="643"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1.</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施工工地建筑垃圾</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收运方案</w:t>
      </w:r>
    </w:p>
    <w:p w14:paraId="214391C8">
      <w:pPr>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采用直运模式，由施工单位委托运输单位将建筑垃圾从施工工地分类运输至相应的处理处置场所。</w:t>
      </w:r>
    </w:p>
    <w:p w14:paraId="71EC075A">
      <w:pPr>
        <w:widowControl/>
        <w:shd w:val="clear" w:color="auto" w:fill="auto"/>
        <w:overflowPunct w:val="0"/>
        <w:adjustRightInd/>
        <w:snapToGrid/>
        <w:spacing w:line="600" w:lineRule="exact"/>
        <w:ind w:firstLine="643"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居民装修垃圾</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收运方案</w:t>
      </w:r>
    </w:p>
    <w:p w14:paraId="3314650D">
      <w:pPr>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（1）采用直运模式，由装修垃圾排放方委托运输单位将装修垃圾运输至相应的处理处置场所。</w:t>
      </w:r>
    </w:p>
    <w:p w14:paraId="31441F3A">
      <w:pPr>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采用转运模式，装修垃圾排放方将建筑垃圾堆放至指定的居民装修垃圾收集点，由收集点运营单位委托运输单位将装修垃圾运输至相应的处理处置场所。装修垃圾排放方具有规范清运和处置的主体责任，需缴纳相关清运处置费。</w:t>
      </w:r>
    </w:p>
    <w:p w14:paraId="49C0272B">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79" w:name="_Toc13755"/>
      <w:r>
        <w:rPr>
          <w:rFonts w:hint="eastAsia" w:ascii="Times New Roman" w:hAnsi="Times New Roman" w:cs="楷体_GB2312"/>
          <w:b/>
          <w:bCs w:val="0"/>
          <w:color w:val="auto"/>
          <w:spacing w:val="0"/>
          <w:kern w:val="2"/>
          <w:sz w:val="32"/>
          <w:szCs w:val="32"/>
          <w:highlight w:val="none"/>
          <w:lang w:val="en-US" w:eastAsia="zh-CN" w:bidi="ar-SA"/>
        </w:rPr>
        <w:t>运输车辆要求</w:t>
      </w:r>
      <w:bookmarkEnd w:id="75"/>
      <w:bookmarkEnd w:id="76"/>
      <w:bookmarkEnd w:id="77"/>
      <w:bookmarkEnd w:id="78"/>
      <w:bookmarkEnd w:id="79"/>
    </w:p>
    <w:p w14:paraId="312902A3">
      <w:pPr>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建筑垃圾收运车辆应符合《建筑废弃物运输车辆标志与监控终端、车厢规格与密闭》（DB4401/T 206）</w:t>
      </w:r>
      <w:r>
        <w:rPr>
          <w:rFonts w:hint="eastAsia" w:ascii="仿宋_GB2312" w:hAnsi="仿宋_GB2312" w:eastAsia="仿宋_GB2312" w:cs="仿宋_GB2312"/>
          <w:color w:val="auto"/>
          <w:spacing w:val="0"/>
          <w:sz w:val="32"/>
          <w:szCs w:val="32"/>
          <w:highlight w:val="none"/>
          <w:lang w:eastAsia="zh-CN"/>
        </w:rPr>
        <w:t>等要求，</w:t>
      </w:r>
      <w:r>
        <w:rPr>
          <w:rFonts w:hint="eastAsia" w:ascii="仿宋_GB2312" w:hAnsi="仿宋_GB2312" w:eastAsia="仿宋_GB2312" w:cs="仿宋_GB2312"/>
          <w:color w:val="auto"/>
          <w:spacing w:val="0"/>
          <w:sz w:val="32"/>
          <w:szCs w:val="32"/>
          <w:highlight w:val="none"/>
          <w:lang w:val="en-US" w:eastAsia="zh-CN"/>
        </w:rPr>
        <w:t>采用列入工业和信息化部《车辆生产企业及产品公告》内的产品，车辆的特征应与产品公告、出厂合格证相符，应满足国家、行业、地方对机动车安全、排放、噪声、油耗的相关法规及标准要求。同时，需要收运企业向政府审批部门提交申请许可证，获得核准后才可进行收运处置作业，收运建筑垃圾的单位在运输建筑垃圾时，应当随车携带建筑垃圾收运处置核准文件，运输车辆要按照排放单位申请排放许可证时确定的路线和时间运行，不得丢弃、遗撒建筑垃圾，不得超出核准范围承运建筑垃圾。应当对收运车辆定期核查，保障符合收运要求。</w:t>
      </w:r>
    </w:p>
    <w:p w14:paraId="5EF07AFF">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80" w:name="_Toc30777"/>
      <w:bookmarkStart w:id="81" w:name="_Toc245"/>
      <w:bookmarkStart w:id="82" w:name="_Toc1811"/>
      <w:bookmarkStart w:id="83" w:name="_Toc22882"/>
      <w:bookmarkStart w:id="84" w:name="_Toc1772"/>
      <w:r>
        <w:rPr>
          <w:rFonts w:hint="eastAsia" w:ascii="Times New Roman" w:hAnsi="Times New Roman" w:cs="楷体_GB2312"/>
          <w:b/>
          <w:bCs w:val="0"/>
          <w:color w:val="auto"/>
          <w:spacing w:val="0"/>
          <w:kern w:val="2"/>
          <w:sz w:val="32"/>
          <w:szCs w:val="32"/>
          <w:highlight w:val="none"/>
          <w:lang w:val="en-US" w:eastAsia="zh-CN" w:bidi="ar-SA"/>
        </w:rPr>
        <w:t>中转设施选址与建设要求</w:t>
      </w:r>
      <w:bookmarkEnd w:id="80"/>
      <w:bookmarkEnd w:id="81"/>
      <w:bookmarkEnd w:id="82"/>
      <w:bookmarkEnd w:id="83"/>
      <w:bookmarkEnd w:id="84"/>
    </w:p>
    <w:p w14:paraId="7F790BCF">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建筑垃圾中转设施选址及建设应依法依规，应符合《建筑垃圾处理技术标准》（CJJ/T 134）、《广东省“三线一单”生态环境分区管控方案》（粤府﹝2020﹞71号）、《广州市人民政府关于印发广州市生态环境分区管控方案（2024年修订）的通知》（穗府规〔2024〕4号）、《广东省水污染防治条例》等相关文件要求。禁止在东江干流和一级支流两岸最高水位线水平外延五百米范围内新建废弃物堆放场和处理场。</w:t>
      </w:r>
    </w:p>
    <w:p w14:paraId="38BB856F">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85" w:name="_Toc1185"/>
      <w:r>
        <w:rPr>
          <w:rFonts w:hint="default" w:ascii="Times New Roman" w:hAnsi="Times New Roman" w:eastAsia="仿宋_GB2312" w:cs="仿宋_GB2312"/>
          <w:b/>
          <w:bCs/>
          <w:i w:val="0"/>
          <w:iCs w:val="0"/>
          <w:color w:val="auto"/>
          <w:spacing w:val="0"/>
          <w:kern w:val="2"/>
          <w:sz w:val="32"/>
          <w:szCs w:val="32"/>
          <w:highlight w:val="none"/>
          <w:vertAlign w:val="baseline"/>
          <w:lang w:val="en-US" w:eastAsia="zh-CN" w:bidi="ar-SA"/>
        </w:rPr>
        <w:t>居民装修垃圾收集点</w:t>
      </w:r>
      <w:r>
        <w:rPr>
          <w:rFonts w:hint="eastAsia" w:ascii="Times New Roman" w:hAnsi="Times New Roman" w:eastAsia="仿宋_GB2312" w:cs="仿宋_GB2312"/>
          <w:b/>
          <w:bCs/>
          <w:i w:val="0"/>
          <w:iCs w:val="0"/>
          <w:color w:val="auto"/>
          <w:spacing w:val="0"/>
          <w:kern w:val="2"/>
          <w:sz w:val="32"/>
          <w:szCs w:val="32"/>
          <w:highlight w:val="none"/>
          <w:vertAlign w:val="baseline"/>
          <w:lang w:val="en-US" w:eastAsia="zh-CN" w:bidi="ar-SA"/>
        </w:rPr>
        <w:t>建设规划</w:t>
      </w:r>
      <w:bookmarkEnd w:id="85"/>
    </w:p>
    <w:p w14:paraId="582ACA76">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规划考虑各镇街至少布置一个居民装修垃圾收集点。目前增城区共有居民装修垃圾收集点30个，含临时收集点，形成各镇街至少建有一个居民装修垃圾收集点的设施布置格局。各镇街应遵循先建后拆的原则，保障镇街范围内至少建有一个居民装修垃圾收集点，并积极引导新建居住小区在规划建设时同步配套设置装修垃圾收集点并与小区一并投入使用。</w:t>
      </w:r>
    </w:p>
    <w:p w14:paraId="73847529">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规划期对现有居民装修垃圾收集点进行升级改造，以确保达到《广州市装饰装修废弃物临时收集点设置规范》等相关规范要求。</w:t>
      </w:r>
    </w:p>
    <w:p w14:paraId="73ADD6C9">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新建及升级改造的居民装修垃圾收集点的转运能力应能满足服务街区的需求，转运规模宜不低于2万立方米/年，收集点堆放区有效容积宜不小于60立方米。全区现有居民装修垃圾收集点30个，则总处理规模可达60万立方米/年。现有居民装修垃圾收集点情况如下：</w:t>
      </w:r>
    </w:p>
    <w:p w14:paraId="5F660BB2">
      <w:pPr>
        <w:pStyle w:val="65"/>
        <w:keepNext w:val="0"/>
        <w:keepLines w:val="0"/>
        <w:pageBreakBefore w:val="0"/>
        <w:widowControl/>
        <w:numPr>
          <w:ilvl w:val="0"/>
          <w:numId w:val="6"/>
        </w:numPr>
        <w:kinsoku/>
        <w:wordWrap/>
        <w:overflowPunct w:val="0"/>
        <w:topLinePunct w:val="0"/>
        <w:autoSpaceDE/>
        <w:autoSpaceDN/>
        <w:bidi w:val="0"/>
        <w:adjustRightInd/>
        <w:snapToGrid/>
        <w:spacing w:after="192" w:afterLines="50"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现有居民装修垃圾收集点情况一览表</w:t>
      </w:r>
    </w:p>
    <w:tbl>
      <w:tblPr>
        <w:tblStyle w:val="44"/>
        <w:tblW w:w="8778" w:type="dxa"/>
        <w:jc w:val="center"/>
        <w:tblLayout w:type="fixed"/>
        <w:tblCellMar>
          <w:top w:w="0" w:type="dxa"/>
          <w:left w:w="108" w:type="dxa"/>
          <w:bottom w:w="0" w:type="dxa"/>
          <w:right w:w="108" w:type="dxa"/>
        </w:tblCellMar>
      </w:tblPr>
      <w:tblGrid>
        <w:gridCol w:w="799"/>
        <w:gridCol w:w="3780"/>
        <w:gridCol w:w="2531"/>
        <w:gridCol w:w="1668"/>
      </w:tblGrid>
      <w:tr w14:paraId="33732B3A">
        <w:tblPrEx>
          <w:tblCellMar>
            <w:top w:w="0" w:type="dxa"/>
            <w:left w:w="108" w:type="dxa"/>
            <w:bottom w:w="0" w:type="dxa"/>
            <w:right w:w="108" w:type="dxa"/>
          </w:tblCellMar>
        </w:tblPrEx>
        <w:trPr>
          <w:trHeight w:val="349" w:hRule="atLeast"/>
          <w:tblHeader/>
          <w:jc w:val="center"/>
        </w:trPr>
        <w:tc>
          <w:tcPr>
            <w:tcW w:w="799" w:type="dxa"/>
            <w:tcBorders>
              <w:top w:val="single" w:color="000000" w:sz="4" w:space="0"/>
              <w:left w:val="single" w:color="000000" w:sz="4" w:space="0"/>
              <w:right w:val="single" w:color="000000" w:sz="4" w:space="0"/>
            </w:tcBorders>
            <w:noWrap/>
            <w:vAlign w:val="center"/>
          </w:tcPr>
          <w:p w14:paraId="15CFC66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序号</w:t>
            </w:r>
          </w:p>
        </w:tc>
        <w:tc>
          <w:tcPr>
            <w:tcW w:w="3780" w:type="dxa"/>
            <w:tcBorders>
              <w:top w:val="single" w:color="000000" w:sz="4" w:space="0"/>
              <w:left w:val="single" w:color="000000" w:sz="4" w:space="0"/>
              <w:right w:val="single" w:color="000000" w:sz="4" w:space="0"/>
            </w:tcBorders>
            <w:noWrap/>
            <w:vAlign w:val="center"/>
          </w:tcPr>
          <w:p w14:paraId="75526AA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项目名称</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49425AE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项目选址</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198A2DC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规划任务</w:t>
            </w:r>
          </w:p>
        </w:tc>
      </w:tr>
      <w:tr w14:paraId="6F67EF5B">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0A70EC6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23AF098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朱村街联兴村装修垃圾堆放点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4DC7168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朱村街联兴村</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5300925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1BCF8B2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1C35184C">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719CA35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60E7F13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装修垃圾堆放点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1B0AB39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永宁街崇和花园旁停车场内</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939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2DE3DAA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663C4D0C">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2CB9A1D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0BD2EB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沙头村堆放点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7EB27BB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仙村镇沙头苍下旧村街八巷8号对面</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2F70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661B62B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07AB434F">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5DA1911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4</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12177FB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仙村镇上境村装修垃圾堆放点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7CC1F52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仙村镇上境村官厅桥孔旁</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F2F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1063924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5C9AAEBF">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7356001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5</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6294E39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碧桂园豪园</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1F98D9B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石滩镇水岸花园5街后面车库出入口侧边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15C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2D11448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19175EE9">
        <w:tblPrEx>
          <w:tblCellMar>
            <w:top w:w="0" w:type="dxa"/>
            <w:left w:w="108" w:type="dxa"/>
            <w:bottom w:w="0" w:type="dxa"/>
            <w:right w:w="108" w:type="dxa"/>
          </w:tblCellMar>
        </w:tblPrEx>
        <w:trPr>
          <w:trHeight w:val="906"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2E45DDB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6</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55F4900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观园壹号</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191592B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石滩镇A1栋背后废旧大件物品、及装修垃圾临时堆放处</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4D100B0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0D48F01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3056ABF7">
        <w:tblPrEx>
          <w:tblCellMar>
            <w:top w:w="0" w:type="dxa"/>
            <w:left w:w="108" w:type="dxa"/>
            <w:bottom w:w="0" w:type="dxa"/>
            <w:right w:w="108" w:type="dxa"/>
          </w:tblCellMar>
        </w:tblPrEx>
        <w:trPr>
          <w:trHeight w:val="805"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3C21157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7</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1AD11A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汇商新城（第一城）</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4F2E275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石滩镇四期5栋后</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10D4BC2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07299C0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1F334C74">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7C9432B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8</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512BA1A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嘉御豪庭</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26210E1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石滩镇嘉御豪庭荔福东路垃圾站</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F54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599CBBD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55262E92">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0ABE03B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9</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336962B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嘉誉花园</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06BCD04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石滩镇垃圾中转站</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C1B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5951941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1897E4D2">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1F6B1BE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10</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4EFC6AC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琥珀花园</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27C564D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石滩镇垃圾中转站</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2B72F62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6073FED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338DE81F">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6AEE361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11</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5623574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绿湖首府</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0039D55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石滩镇四期公园垃圾中转站</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0D327B7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7CD983F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1254EC5D">
        <w:tblPrEx>
          <w:tblCellMar>
            <w:top w:w="0" w:type="dxa"/>
            <w:left w:w="108" w:type="dxa"/>
            <w:bottom w:w="0" w:type="dxa"/>
            <w:right w:w="108" w:type="dxa"/>
          </w:tblCellMar>
        </w:tblPrEx>
        <w:trPr>
          <w:trHeight w:val="720"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1AE161B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12</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C5A169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小楼镇生活垃圾中转站</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0FA3D47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小楼镇虎头坳街</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7548DCE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7464431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01AD6979">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31F62EF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13</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29DDE94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派潭镇垃圾中转站装修垃圾堆放点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1944E93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派潭镇高村村西岭垃圾中转站</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136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1C44F00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253D01BC">
        <w:tblPrEx>
          <w:tblCellMar>
            <w:top w:w="0" w:type="dxa"/>
            <w:left w:w="108" w:type="dxa"/>
            <w:bottom w:w="0" w:type="dxa"/>
            <w:right w:w="108" w:type="dxa"/>
          </w:tblCellMar>
        </w:tblPrEx>
        <w:trPr>
          <w:trHeight w:val="882"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28E4F75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bookmarkStart w:id="86" w:name="_Toc19537"/>
            <w:r>
              <w:rPr>
                <w:rFonts w:hint="eastAsia" w:ascii="仿宋_GB2312" w:hAnsi="仿宋_GB2312" w:eastAsia="仿宋_GB2312" w:cs="仿宋_GB2312"/>
                <w:color w:val="auto"/>
                <w:spacing w:val="0"/>
                <w:kern w:val="2"/>
                <w:sz w:val="24"/>
                <w:szCs w:val="24"/>
                <w:highlight w:val="none"/>
                <w:lang w:val="en-US" w:eastAsia="zh-CN" w:bidi="ar-SA"/>
              </w:rPr>
              <w:t>14</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07798B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佳大公寓便民回收点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761C31C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宁西街新耀南路6号佳大公寓</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786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38ACA8C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031A3077">
        <w:tblPrEx>
          <w:tblCellMar>
            <w:top w:w="0" w:type="dxa"/>
            <w:left w:w="108" w:type="dxa"/>
            <w:bottom w:w="0" w:type="dxa"/>
            <w:right w:w="108" w:type="dxa"/>
          </w:tblCellMar>
        </w:tblPrEx>
        <w:trPr>
          <w:trHeight w:val="906"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2D54493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15</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CBCFB7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保利平方便民回收点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386AFDF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宁西街创优路51号保利平方花园北门旁（南山幼儿园对面）</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9BD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2496478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14971EE5">
        <w:tblPrEx>
          <w:tblCellMar>
            <w:top w:w="0" w:type="dxa"/>
            <w:left w:w="108" w:type="dxa"/>
            <w:bottom w:w="0" w:type="dxa"/>
            <w:right w:w="108" w:type="dxa"/>
          </w:tblCellMar>
        </w:tblPrEx>
        <w:trPr>
          <w:trHeight w:val="882"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3C32A5F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16</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9453C7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宁西街百湖村便民回收点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18F176E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宁西街百湖村三湖路环阁2号斜对面</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734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6B0CF83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2A41780D">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7416FDD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17</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573F187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金竹路资源集运中心堆放点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23FC786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荔城街金竹路（压缩站内）</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EA0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5C1F2E3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0570DB9D">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15CC6C3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18</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F11A99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富民路资源集运中心堆放点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76D6CA2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荔城街富民路（压缩站内）</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6A2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2DE4509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51C9FB0D">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792B25D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19</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4241C66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到蔚片堆放点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6CD8214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正果镇到蔚村旧围合作社路口</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5FA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05A3C6E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465619E9">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008FDE6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20</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39DC37C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中西片堆放点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5A53612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正果镇中西村万安园旁</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E5A9">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012E16B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2C7DFF7B">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614A620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21</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767D066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正果社区堆放点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5430C24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正果镇正果大桥旁</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C6F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6C0029B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73CF1014">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424EAA1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22</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7B599E1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增江街资源集运中心</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3F3C02E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增江街工业路（惠康医院旁）</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AEC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0AA57C8B">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2EC81DB7">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11A5988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23</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695EB5D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光耀村堆放点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7C2DAAC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 xml:space="preserve">增江街光耀水泥厂旁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A35A">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3584B3F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4EDE2C60">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56289AD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24</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29D68A3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联益王大合堆放点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7127026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 xml:space="preserve">增江街联益村王大合高速路桥底  </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8A7D">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289C08E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1E19C54B">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57F1E0B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25</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6332AFC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广州中航城花园装修垃圾堆放点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3994618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中新镇垃圾中转站旁</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532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388DC56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28BB50C9">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308E33D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26</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2A4D06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中海香樟墅小区装修垃圾堆放点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4796353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中新镇东七街大门口</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672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19A0D00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1CE68DAD">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4DEA0D5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27</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608B5814">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钟岭村装修垃圾堆放点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65E5AA0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中新镇钟岭村委旁</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990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5AEAA51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7E28D9EB">
        <w:tblPrEx>
          <w:tblCellMar>
            <w:top w:w="0" w:type="dxa"/>
            <w:left w:w="108" w:type="dxa"/>
            <w:bottom w:w="0" w:type="dxa"/>
            <w:right w:w="108" w:type="dxa"/>
          </w:tblCellMar>
        </w:tblPrEx>
        <w:trPr>
          <w:trHeight w:val="734"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7483789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28</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0000A0A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荔湖街建筑废弃物处理站</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52B6A7C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荔湖街罗岗村水龙氹</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B9FC">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5CE1855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39EB07A9">
        <w:tblPrEx>
          <w:tblCellMar>
            <w:top w:w="0" w:type="dxa"/>
            <w:left w:w="108" w:type="dxa"/>
            <w:bottom w:w="0" w:type="dxa"/>
            <w:right w:w="108" w:type="dxa"/>
          </w:tblCellMar>
        </w:tblPrEx>
        <w:trPr>
          <w:trHeight w:val="882"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08548C3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29</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32189A3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广州捷达再生资源有限公司固定循环利用项目</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23C13EB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新塘镇荔新九路41号之一（锅炉房）</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868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18F373F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r w14:paraId="2BDFC94E">
        <w:tblPrEx>
          <w:tblCellMar>
            <w:top w:w="0" w:type="dxa"/>
            <w:left w:w="108" w:type="dxa"/>
            <w:bottom w:w="0" w:type="dxa"/>
            <w:right w:w="108" w:type="dxa"/>
          </w:tblCellMar>
        </w:tblPrEx>
        <w:trPr>
          <w:trHeight w:val="752" w:hRule="atLeast"/>
          <w:jc w:val="center"/>
        </w:trPr>
        <w:tc>
          <w:tcPr>
            <w:tcW w:w="799" w:type="dxa"/>
            <w:tcBorders>
              <w:top w:val="single" w:color="000000" w:sz="4" w:space="0"/>
              <w:left w:val="single" w:color="000000" w:sz="4" w:space="0"/>
              <w:bottom w:val="single" w:color="000000" w:sz="4" w:space="0"/>
              <w:right w:val="single" w:color="000000" w:sz="4" w:space="0"/>
            </w:tcBorders>
            <w:noWrap/>
            <w:vAlign w:val="center"/>
          </w:tcPr>
          <w:p w14:paraId="05A76D9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30</w:t>
            </w:r>
          </w:p>
        </w:tc>
        <w:tc>
          <w:tcPr>
            <w:tcW w:w="3780" w:type="dxa"/>
            <w:tcBorders>
              <w:top w:val="single" w:color="000000" w:sz="4" w:space="0"/>
              <w:left w:val="single" w:color="000000" w:sz="4" w:space="0"/>
              <w:bottom w:val="single" w:color="000000" w:sz="4" w:space="0"/>
              <w:right w:val="single" w:color="000000" w:sz="4" w:space="0"/>
            </w:tcBorders>
            <w:noWrap/>
            <w:vAlign w:val="center"/>
          </w:tcPr>
          <w:p w14:paraId="5F547EF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尚东阳光装修垃圾临时堆放点</w:t>
            </w:r>
          </w:p>
        </w:tc>
        <w:tc>
          <w:tcPr>
            <w:tcW w:w="2531" w:type="dxa"/>
            <w:tcBorders>
              <w:top w:val="single" w:color="000000" w:sz="4" w:space="0"/>
              <w:left w:val="single" w:color="000000" w:sz="4" w:space="0"/>
              <w:bottom w:val="single" w:color="000000" w:sz="4" w:space="0"/>
              <w:right w:val="single" w:color="000000" w:sz="4" w:space="0"/>
            </w:tcBorders>
            <w:noWrap/>
            <w:vAlign w:val="center"/>
          </w:tcPr>
          <w:p w14:paraId="5701123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新塘镇尚东阳关7街5号后面</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778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既有设施</w:t>
            </w:r>
          </w:p>
          <w:p w14:paraId="02B9E14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升级改造</w:t>
            </w:r>
          </w:p>
        </w:tc>
      </w:tr>
    </w:tbl>
    <w:p w14:paraId="5A2EF61C">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87" w:name="_Toc25586"/>
      <w:r>
        <w:rPr>
          <w:rFonts w:hint="eastAsia" w:ascii="Times New Roman" w:hAnsi="Times New Roman" w:cs="楷体_GB2312"/>
          <w:b/>
          <w:bCs w:val="0"/>
          <w:color w:val="auto"/>
          <w:spacing w:val="0"/>
          <w:kern w:val="2"/>
          <w:sz w:val="32"/>
          <w:szCs w:val="32"/>
          <w:highlight w:val="none"/>
          <w:lang w:val="en-US" w:eastAsia="zh-CN" w:bidi="ar-SA"/>
        </w:rPr>
        <w:t>中转设施运营与监督管理要求</w:t>
      </w:r>
      <w:bookmarkEnd w:id="86"/>
      <w:bookmarkEnd w:id="87"/>
    </w:p>
    <w:p w14:paraId="22FED8FF">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highlight w:val="none"/>
          <w:lang w:eastAsia="zh-CN"/>
        </w:rPr>
      </w:pPr>
      <w:r>
        <w:rPr>
          <w:rFonts w:hint="eastAsia" w:ascii="仿宋_GB2312" w:hAnsi="仿宋_GB2312" w:eastAsia="仿宋_GB2312" w:cs="仿宋_GB2312"/>
          <w:color w:val="auto"/>
          <w:spacing w:val="0"/>
          <w:sz w:val="32"/>
          <w:szCs w:val="32"/>
          <w:highlight w:val="none"/>
          <w:lang w:val="en-US" w:eastAsia="zh-CN"/>
        </w:rPr>
        <w:t>建筑垃圾</w:t>
      </w:r>
      <w:r>
        <w:rPr>
          <w:rFonts w:hint="eastAsia" w:ascii="仿宋_GB2312" w:hAnsi="仿宋_GB2312" w:eastAsia="仿宋_GB2312" w:cs="仿宋_GB2312"/>
          <w:b w:val="0"/>
          <w:bCs w:val="0"/>
          <w:color w:val="auto"/>
          <w:spacing w:val="0"/>
          <w:kern w:val="2"/>
          <w:sz w:val="32"/>
          <w:szCs w:val="32"/>
          <w:highlight w:val="none"/>
          <w:lang w:val="en-US" w:eastAsia="zh-CN" w:bidi="ar-SA"/>
        </w:rPr>
        <w:t>中转设施</w:t>
      </w:r>
      <w:r>
        <w:rPr>
          <w:rFonts w:hint="eastAsia" w:ascii="仿宋_GB2312" w:hAnsi="仿宋_GB2312" w:eastAsia="仿宋_GB2312" w:cs="仿宋_GB2312"/>
          <w:color w:val="auto"/>
          <w:spacing w:val="0"/>
          <w:sz w:val="32"/>
          <w:szCs w:val="32"/>
          <w:highlight w:val="none"/>
          <w:lang w:val="en-US" w:eastAsia="zh-CN"/>
        </w:rPr>
        <w:t>应当遵守下列规定：（1）建立规范完整的生产台账，并定期向</w:t>
      </w:r>
      <w:r>
        <w:rPr>
          <w:rFonts w:hint="eastAsia" w:ascii="仿宋_GB2312" w:hAnsi="仿宋_GB2312" w:eastAsia="仿宋_GB2312" w:cs="仿宋_GB2312"/>
          <w:color w:val="auto"/>
          <w:sz w:val="32"/>
          <w:szCs w:val="32"/>
          <w:highlight w:val="none"/>
          <w:lang w:val="en-US" w:eastAsia="zh-CN"/>
        </w:rPr>
        <w:t>区级建筑垃圾主管部门</w:t>
      </w:r>
      <w:r>
        <w:rPr>
          <w:rFonts w:hint="eastAsia" w:ascii="仿宋_GB2312" w:hAnsi="仿宋_GB2312" w:eastAsia="仿宋_GB2312" w:cs="仿宋_GB2312"/>
          <w:color w:val="auto"/>
          <w:spacing w:val="0"/>
          <w:sz w:val="32"/>
          <w:szCs w:val="32"/>
          <w:highlight w:val="none"/>
          <w:lang w:val="en-US" w:eastAsia="zh-CN"/>
        </w:rPr>
        <w:t>报送数据；（2）不得超过经核准的堆放容量；（3）分区、分类堆填，按照有关规定进行作业规划、设计和运营；（4）不得接收工业垃圾、生活垃圾、污泥、淤泥、危险废物等；（5）建立安全管理制度，采取有效措施保障安全生产，防止失稳滑坡、环境污染、水土流失或者其他危害。法律、法规、规章规定的其他要求。</w:t>
      </w:r>
    </w:p>
    <w:p w14:paraId="647CCB64">
      <w:pPr>
        <w:pStyle w:val="3"/>
        <w:bidi w:val="0"/>
        <w:ind w:left="420" w:leftChars="0" w:firstLine="220" w:firstLineChars="0"/>
        <w:rPr>
          <w:rFonts w:hint="default" w:ascii="Times New Roman" w:hAnsi="Times New Roman"/>
          <w:b/>
          <w:bCs/>
          <w:color w:val="auto"/>
          <w:spacing w:val="0"/>
          <w:highlight w:val="none"/>
          <w:lang w:val="en-US" w:eastAsia="zh-CN"/>
        </w:rPr>
      </w:pPr>
      <w:bookmarkStart w:id="88" w:name="_Toc30675"/>
      <w:bookmarkStart w:id="89" w:name="_Toc14267"/>
      <w:r>
        <w:rPr>
          <w:rFonts w:hint="eastAsia" w:ascii="Times New Roman" w:hAnsi="Times New Roman" w:cs="黑体"/>
          <w:b/>
          <w:bCs/>
          <w:color w:val="auto"/>
          <w:spacing w:val="0"/>
          <w:sz w:val="32"/>
          <w:szCs w:val="32"/>
          <w:highlight w:val="none"/>
          <w:lang w:val="en-US" w:eastAsia="zh-CN"/>
        </w:rPr>
        <w:t>建筑垃圾综合利用</w:t>
      </w:r>
      <w:r>
        <w:rPr>
          <w:rFonts w:hint="eastAsia" w:ascii="Times New Roman" w:hAnsi="Times New Roman" w:eastAsia="黑体" w:cs="黑体"/>
          <w:b/>
          <w:bCs/>
          <w:color w:val="auto"/>
          <w:spacing w:val="0"/>
          <w:sz w:val="32"/>
          <w:szCs w:val="32"/>
          <w:highlight w:val="none"/>
          <w:lang w:val="en-US" w:eastAsia="zh-CN"/>
        </w:rPr>
        <w:t>策略</w:t>
      </w:r>
      <w:bookmarkEnd w:id="88"/>
      <w:bookmarkEnd w:id="89"/>
    </w:p>
    <w:p w14:paraId="17754B2D">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90" w:name="_Toc11047"/>
      <w:bookmarkStart w:id="91" w:name="_Toc10338"/>
      <w:bookmarkStart w:id="92" w:name="_Toc4746"/>
      <w:bookmarkStart w:id="93" w:name="_Toc20552"/>
      <w:bookmarkStart w:id="94" w:name="_Toc24528"/>
      <w:r>
        <w:rPr>
          <w:rFonts w:hint="default" w:ascii="Times New Roman" w:hAnsi="Times New Roman" w:cs="楷体_GB2312"/>
          <w:b/>
          <w:bCs w:val="0"/>
          <w:color w:val="auto"/>
          <w:spacing w:val="0"/>
          <w:kern w:val="2"/>
          <w:sz w:val="32"/>
          <w:szCs w:val="32"/>
          <w:highlight w:val="none"/>
          <w:lang w:val="en-US" w:eastAsia="zh-CN" w:bidi="ar-SA"/>
        </w:rPr>
        <w:t>建筑垃圾</w:t>
      </w:r>
      <w:r>
        <w:rPr>
          <w:rFonts w:hint="eastAsia" w:ascii="Times New Roman" w:hAnsi="Times New Roman" w:cs="楷体_GB2312"/>
          <w:b/>
          <w:bCs w:val="0"/>
          <w:color w:val="auto"/>
          <w:spacing w:val="0"/>
          <w:kern w:val="2"/>
          <w:sz w:val="32"/>
          <w:szCs w:val="32"/>
          <w:highlight w:val="none"/>
          <w:lang w:val="en-US" w:eastAsia="zh-CN" w:bidi="ar-SA"/>
        </w:rPr>
        <w:t>直接利用方式与路径</w:t>
      </w:r>
      <w:bookmarkEnd w:id="90"/>
      <w:bookmarkEnd w:id="91"/>
      <w:bookmarkEnd w:id="92"/>
      <w:bookmarkEnd w:id="93"/>
      <w:bookmarkEnd w:id="94"/>
    </w:p>
    <w:p w14:paraId="55995530">
      <w:pPr>
        <w:widowControl/>
        <w:shd w:val="clear" w:color="auto" w:fill="auto"/>
        <w:overflowPunct w:val="0"/>
        <w:adjustRightInd/>
        <w:snapToGrid/>
        <w:spacing w:line="600" w:lineRule="exact"/>
        <w:ind w:firstLine="643"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1.工程渣土直接</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利用</w:t>
      </w:r>
    </w:p>
    <w:p w14:paraId="7CD1DF6E">
      <w:pPr>
        <w:widowControl/>
        <w:shd w:val="clear" w:color="auto" w:fill="auto"/>
        <w:overflowPunct w:val="0"/>
        <w:adjustRightInd/>
        <w:snapToGrid/>
        <w:spacing w:line="600" w:lineRule="exact"/>
        <w:ind w:firstLine="640"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color w:val="auto"/>
          <w:spacing w:val="0"/>
          <w:sz w:val="32"/>
          <w:szCs w:val="32"/>
          <w:highlight w:val="none"/>
          <w:lang w:val="en-US" w:eastAsia="zh-CN"/>
        </w:rPr>
        <w:t>工程渣土中的表层耕植土不宜和其他土类、建筑垃圾混合，可用于农田改造、土地复垦、绿地覆土等；其他符合条件的工程渣土可采用用于土方平衡、林业用土、环境治理、路基填垫、山体修复、堆山造景、烧结制品以及回填等方式进行再利用。</w:t>
      </w:r>
    </w:p>
    <w:p w14:paraId="7A262CE4">
      <w:pPr>
        <w:widowControl/>
        <w:shd w:val="clear" w:color="auto" w:fill="auto"/>
        <w:overflowPunct w:val="0"/>
        <w:adjustRightInd/>
        <w:snapToGrid/>
        <w:spacing w:line="600" w:lineRule="exact"/>
        <w:ind w:firstLine="643"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w:t>
      </w:r>
      <w:r>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t>.工程垃圾、拆除垃圾直接</w:t>
      </w: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利用</w:t>
      </w:r>
    </w:p>
    <w:p w14:paraId="1953C882">
      <w:pPr>
        <w:widowControl/>
        <w:shd w:val="clear" w:color="auto" w:fill="auto"/>
        <w:overflowPunct w:val="0"/>
        <w:adjustRightInd/>
        <w:snapToGrid/>
        <w:spacing w:line="600" w:lineRule="exact"/>
        <w:ind w:firstLine="640" w:firstLineChars="200"/>
        <w:jc w:val="both"/>
        <w:rPr>
          <w:rFonts w:hint="default"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color w:val="auto"/>
          <w:spacing w:val="0"/>
          <w:sz w:val="32"/>
          <w:szCs w:val="32"/>
          <w:highlight w:val="none"/>
          <w:lang w:val="en-US" w:eastAsia="zh-CN"/>
        </w:rPr>
        <w:t>工程垃圾、拆除垃圾经分类后的混凝土、砖块等，经过必要的预处理，达到设计相关要求后，其利用方法主要有：（1）用作渣土桩填料；（2）用作夯扩桩填料；（3）大型建筑、广场、市政设施建设时，将其作为回填材料来使用。</w:t>
      </w:r>
    </w:p>
    <w:p w14:paraId="1B7C7B41">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95" w:name="_Toc16421"/>
      <w:bookmarkStart w:id="96" w:name="_Toc2893"/>
      <w:bookmarkStart w:id="97" w:name="_Toc19507"/>
      <w:bookmarkStart w:id="98" w:name="_Toc3343"/>
      <w:bookmarkStart w:id="99" w:name="_Toc30676"/>
      <w:r>
        <w:rPr>
          <w:rFonts w:hint="default" w:ascii="Times New Roman" w:hAnsi="Times New Roman" w:cs="楷体_GB2312"/>
          <w:b/>
          <w:bCs w:val="0"/>
          <w:color w:val="auto"/>
          <w:spacing w:val="0"/>
          <w:kern w:val="2"/>
          <w:sz w:val="32"/>
          <w:szCs w:val="32"/>
          <w:highlight w:val="none"/>
          <w:lang w:val="en-US" w:eastAsia="zh-CN" w:bidi="ar-SA"/>
        </w:rPr>
        <w:t>建筑垃圾</w:t>
      </w:r>
      <w:r>
        <w:rPr>
          <w:rFonts w:hint="eastAsia" w:ascii="Times New Roman" w:hAnsi="Times New Roman" w:cs="楷体_GB2312"/>
          <w:b/>
          <w:bCs w:val="0"/>
          <w:color w:val="auto"/>
          <w:spacing w:val="0"/>
          <w:kern w:val="2"/>
          <w:sz w:val="32"/>
          <w:szCs w:val="32"/>
          <w:highlight w:val="none"/>
          <w:lang w:val="en-US" w:eastAsia="zh-CN" w:bidi="ar-SA"/>
        </w:rPr>
        <w:t>资源化利用方式与路径</w:t>
      </w:r>
      <w:bookmarkEnd w:id="95"/>
      <w:bookmarkEnd w:id="96"/>
      <w:bookmarkEnd w:id="97"/>
      <w:bookmarkEnd w:id="98"/>
      <w:bookmarkEnd w:id="99"/>
    </w:p>
    <w:p w14:paraId="1524C569">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1.工程渣土资源化利用</w:t>
      </w:r>
    </w:p>
    <w:p w14:paraId="0DEE327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工程渣土应根据土层、类别、特性确定用途，粉砂（土）、砂土以及卵（砾）石、岩石、淤砂等应分类收集，其性能符合国家有关标准的，可用作再生骨料、再生混凝土原料。</w:t>
      </w:r>
    </w:p>
    <w:p w14:paraId="19E5A955">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2.工程泥浆资源化利用</w:t>
      </w:r>
    </w:p>
    <w:p w14:paraId="0A440EB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工程泥浆经脱水、固化后形成的泥饼，经检测符合条件或者无害化处理后，可用作回填、场地覆盖或制备再生产品。</w:t>
      </w:r>
    </w:p>
    <w:p w14:paraId="2169050C">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工程泥浆分选后形成的砂、石骨料，其性能符合国家有关标准的，可用作再生骨料、再生混凝土原料。</w:t>
      </w:r>
    </w:p>
    <w:p w14:paraId="1CEE5912">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3.工程垃圾资源化利用</w:t>
      </w:r>
    </w:p>
    <w:p w14:paraId="1D909F74">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工程垃圾中的废弃混凝土优先用于生产再生骨料，废弃沥青混合料优先用于生产再生混合料；废弃模板根据材质分类回收，竹木材质宜用作再生板材、纸张或生物质燃料等的原材料。</w:t>
      </w:r>
    </w:p>
    <w:p w14:paraId="18111594">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4.拆除垃圾资源化利用</w:t>
      </w:r>
    </w:p>
    <w:p w14:paraId="4C27B7CB">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拆除垃圾中的废弃混凝土、砂浆、石材、砖瓦、陶瓷可用于生产再生骨料；废弃沥青混合料可用于生产再生沥青混合料；废弃金属、木材、玻璃、塑料等根据材质分类回收利用。</w:t>
      </w:r>
    </w:p>
    <w:p w14:paraId="593C7FFB">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5.装修垃圾资源化利用</w:t>
      </w:r>
    </w:p>
    <w:p w14:paraId="5B2837F4">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装修垃圾中的废弃混凝土、砂浆、石材、砖瓦、陶瓷可用于生产再生骨料；石膏、加气混凝土砌块等轻质材料可用于生产掺合料；废弃金属、木材、玻璃、塑料等根据材质分类回收利用。</w:t>
      </w:r>
    </w:p>
    <w:p w14:paraId="4CC44B79">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00" w:name="_Toc10903"/>
      <w:bookmarkStart w:id="101" w:name="_Toc32539"/>
      <w:bookmarkStart w:id="102" w:name="_Toc11858"/>
      <w:bookmarkStart w:id="103" w:name="_Toc2857"/>
      <w:bookmarkStart w:id="104" w:name="_Toc10796"/>
      <w:r>
        <w:rPr>
          <w:rFonts w:hint="eastAsia" w:ascii="Times New Roman" w:hAnsi="Times New Roman" w:cs="楷体_GB2312"/>
          <w:b/>
          <w:bCs w:val="0"/>
          <w:color w:val="auto"/>
          <w:spacing w:val="0"/>
          <w:kern w:val="2"/>
          <w:sz w:val="32"/>
          <w:szCs w:val="32"/>
          <w:highlight w:val="none"/>
          <w:lang w:val="en-US" w:eastAsia="zh-CN" w:bidi="ar-SA"/>
        </w:rPr>
        <w:t>资源化利用项目选址与建设要求</w:t>
      </w:r>
      <w:bookmarkEnd w:id="100"/>
      <w:bookmarkEnd w:id="101"/>
      <w:bookmarkEnd w:id="102"/>
      <w:bookmarkEnd w:id="103"/>
      <w:bookmarkEnd w:id="104"/>
    </w:p>
    <w:p w14:paraId="2AFD7C1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w:t>
      </w:r>
      <w:r>
        <w:rPr>
          <w:rFonts w:hint="eastAsia" w:ascii="仿宋_GB2312" w:hAnsi="仿宋_GB2312" w:eastAsia="仿宋_GB2312" w:cs="仿宋_GB2312"/>
          <w:b w:val="0"/>
          <w:bCs w:val="0"/>
          <w:color w:val="auto"/>
          <w:spacing w:val="0"/>
          <w:sz w:val="32"/>
          <w:szCs w:val="32"/>
          <w:highlight w:val="none"/>
          <w:lang w:val="en-US" w:eastAsia="zh-CN"/>
        </w:rPr>
        <w:t>资源化利用项目</w:t>
      </w:r>
      <w:r>
        <w:rPr>
          <w:rFonts w:hint="eastAsia" w:ascii="仿宋_GB2312" w:hAnsi="仿宋_GB2312" w:eastAsia="仿宋_GB2312" w:cs="仿宋_GB2312"/>
          <w:color w:val="auto"/>
          <w:spacing w:val="0"/>
          <w:sz w:val="32"/>
          <w:szCs w:val="32"/>
          <w:highlight w:val="none"/>
          <w:lang w:val="en-US" w:eastAsia="zh-CN"/>
        </w:rPr>
        <w:t>的建设选址可考虑工业用地，优先利用旧厂房进行选址建设，条件允许的情况下可采用循环产业园的形式与消纳场统筹建设。选址及建设应依法依规，应符合《建筑垃圾处理技术标准》（CJJ/T 134）、《建筑废弃物再生工厂设计标准》（GB 51322）、《建筑垃圾资源化处理厂运行规范》（T/CAS 415）、《广东省“三线一单”生态环境分区管控方案》（粤府﹝2020﹞71号）、《广州市人民政府关于印发广州市生态环境分区管控方案（2024年修订）的通知》（穗府规〔2024〕4号）、《广东省水污染防治条例》等相关文件要求。禁止在东江干流和一级支流两岸最高水位线水平外延五百米范围内新建废弃物堆放场和处理场。</w:t>
      </w:r>
      <w:r>
        <w:rPr>
          <w:rFonts w:hint="eastAsia" w:ascii="仿宋_GB2312" w:hAnsi="仿宋_GB2312" w:eastAsia="仿宋_GB2312" w:cs="仿宋_GB2312"/>
          <w:b/>
          <w:bCs/>
          <w:color w:val="auto"/>
          <w:spacing w:val="0"/>
          <w:sz w:val="32"/>
          <w:szCs w:val="32"/>
          <w:highlight w:val="none"/>
          <w:lang w:val="en-US" w:eastAsia="zh-CN"/>
        </w:rPr>
        <w:t>资源化利用项目的基础建设要求包括但不限于以下内容</w:t>
      </w:r>
      <w:r>
        <w:rPr>
          <w:rFonts w:hint="eastAsia" w:ascii="仿宋_GB2312" w:hAnsi="仿宋_GB2312" w:eastAsia="仿宋_GB2312" w:cs="仿宋_GB2312"/>
          <w:color w:val="auto"/>
          <w:spacing w:val="0"/>
          <w:sz w:val="32"/>
          <w:szCs w:val="32"/>
          <w:highlight w:val="none"/>
          <w:lang w:val="en-US" w:eastAsia="zh-CN"/>
        </w:rPr>
        <w:t>：</w:t>
      </w:r>
    </w:p>
    <w:p w14:paraId="2831718B">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1.场地硬化方面要求</w:t>
      </w:r>
    </w:p>
    <w:p w14:paraId="2EC63647">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Calibri" w:cs="宋体"/>
          <w:b w:val="0"/>
          <w:bCs w:val="0"/>
          <w:color w:val="auto"/>
          <w:sz w:val="32"/>
          <w:szCs w:val="32"/>
          <w:highlight w:val="none"/>
          <w:lang w:val="en-US" w:eastAsia="zh-CN" w:bidi="ar-SA"/>
        </w:rPr>
      </w:pPr>
      <w:r>
        <w:rPr>
          <w:rFonts w:hint="eastAsia" w:ascii="仿宋_GB2312" w:hAnsi="Calibri" w:cs="宋体"/>
          <w:b w:val="0"/>
          <w:bCs w:val="0"/>
          <w:color w:val="auto"/>
          <w:sz w:val="32"/>
          <w:szCs w:val="32"/>
          <w:highlight w:val="none"/>
          <w:lang w:val="en-US" w:eastAsia="zh-CN" w:bidi="ar-SA"/>
        </w:rPr>
        <w:t>生产区路面应采取硬化处理，并配备场地洒水、冲洗设备，定时冲洗，保持路面湿润清洁不起尘，道路两旁和生活区应设置绿化带隔离。</w:t>
      </w:r>
    </w:p>
    <w:p w14:paraId="4C233079">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2.场地雨污分流方面要求</w:t>
      </w:r>
    </w:p>
    <w:p w14:paraId="132C801B">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（1）场所应有雨、污分流设施，防止污染周边环境。建筑垃圾堆放区地坪标高应高于周围场地至少 0.15m，四周应设置排水沟，满足场地雨水导排要求。</w:t>
      </w:r>
    </w:p>
    <w:p w14:paraId="008A862D">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3.生产车间封闭要求</w:t>
      </w:r>
    </w:p>
    <w:p w14:paraId="1FC87EBD">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（1）建筑废弃物处置车间、再生产品制造车间，以及物料堆场、储库必须按封闭式结构设计。（GB 51322的条文解释：建筑废弃物处置过程粉尘污染严重，布置在封闭厂房内采取降尘、除尘措施，可控制粉尘对环境的污染。所以认为“物料堆场、储库必须按封闭式结构设计”是指建筑垃圾物料堆场、储库，而非资源化再生产品堆场。各种类别的建筑垃圾经资源化生产线一系列加工程序后的成品属于再生建材产品，应纳入建材管理，</w:t>
      </w:r>
      <w:r>
        <w:rPr>
          <w:rFonts w:hint="eastAsia" w:ascii="仿宋_GB2312" w:hAnsi="仿宋_GB2312" w:eastAsia="仿宋_GB2312" w:cs="仿宋_GB2312"/>
          <w:b/>
          <w:bCs/>
          <w:color w:val="auto"/>
          <w:spacing w:val="0"/>
          <w:sz w:val="32"/>
          <w:szCs w:val="32"/>
          <w:highlight w:val="none"/>
          <w:lang w:val="en-US" w:eastAsia="zh-CN"/>
        </w:rPr>
        <w:t>所以，再生建材产品堆场没有硬性规定必须按封闭式结构设计</w:t>
      </w:r>
      <w:r>
        <w:rPr>
          <w:rFonts w:hint="eastAsia" w:ascii="仿宋_GB2312" w:hAnsi="仿宋_GB2312" w:eastAsia="仿宋_GB2312" w:cs="仿宋_GB2312"/>
          <w:color w:val="auto"/>
          <w:spacing w:val="0"/>
          <w:sz w:val="32"/>
          <w:szCs w:val="32"/>
          <w:highlight w:val="none"/>
          <w:lang w:val="en-US" w:eastAsia="zh-CN"/>
        </w:rPr>
        <w:t>）</w:t>
      </w:r>
      <w:r>
        <w:rPr>
          <w:rFonts w:hint="eastAsia" w:ascii="仿宋_GB2312" w:hAnsi="仿宋_GB2312" w:eastAsia="仿宋_GB2312" w:cs="仿宋_GB2312"/>
          <w:b/>
          <w:bCs/>
          <w:color w:val="auto"/>
          <w:spacing w:val="0"/>
          <w:sz w:val="32"/>
          <w:szCs w:val="32"/>
          <w:highlight w:val="none"/>
          <w:lang w:val="en-US" w:eastAsia="zh-CN"/>
        </w:rPr>
        <w:t>。</w:t>
      </w:r>
    </w:p>
    <w:p w14:paraId="05BA775D">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（2）固定式生产线应采用封闭式生产厂房，移动式生产线应采用固定围挡。</w:t>
      </w:r>
    </w:p>
    <w:p w14:paraId="0702F70C">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4.物料堆放方面要求</w:t>
      </w:r>
    </w:p>
    <w:p w14:paraId="24B98C6D">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Calibri" w:cs="宋体"/>
          <w:b w:val="0"/>
          <w:bCs w:val="0"/>
          <w:color w:val="auto"/>
          <w:sz w:val="32"/>
          <w:szCs w:val="32"/>
          <w:highlight w:val="none"/>
          <w:lang w:val="en-US" w:eastAsia="zh-CN" w:bidi="ar-SA"/>
        </w:rPr>
      </w:pPr>
      <w:r>
        <w:rPr>
          <w:rFonts w:hint="eastAsia" w:ascii="仿宋_GB2312" w:hAnsi="Calibri" w:cs="宋体"/>
          <w:b w:val="0"/>
          <w:bCs w:val="0"/>
          <w:color w:val="auto"/>
          <w:sz w:val="32"/>
          <w:szCs w:val="32"/>
          <w:highlight w:val="none"/>
          <w:lang w:val="en-US" w:eastAsia="zh-CN" w:bidi="ar-SA"/>
        </w:rPr>
        <w:t>建筑垃圾堆放高度高出地坪不宜超过3m。当超过3m时，应进行堆体和地基稳定性验算，保证堆体和地基的稳定安全。当堆放场地附近有挖方工程时，应进行堆体和挖方边坡稳定性验算，保证挖方工程安全。</w:t>
      </w:r>
    </w:p>
    <w:p w14:paraId="1C10A87C">
      <w:pPr>
        <w:pStyle w:val="2"/>
        <w:keepNext w:val="0"/>
        <w:keepLines w:val="0"/>
        <w:pageBreakBefore w:val="0"/>
        <w:widowControl/>
        <w:kinsoku/>
        <w:wordWrap/>
        <w:topLinePunct w:val="0"/>
        <w:autoSpaceDE/>
        <w:autoSpaceDN/>
        <w:bidi w:val="0"/>
        <w:adjustRightInd/>
        <w:snapToGrid/>
        <w:spacing w:line="600" w:lineRule="exact"/>
        <w:ind w:firstLine="643" w:firstLineChars="200"/>
        <w:textAlignment w:val="auto"/>
        <w:rPr>
          <w:rFonts w:hint="eastAsia" w:ascii="仿宋_GB2312" w:hAnsi="Calibri" w:cs="宋体"/>
          <w:b/>
          <w:bCs/>
          <w:color w:val="auto"/>
          <w:sz w:val="32"/>
          <w:szCs w:val="32"/>
          <w:highlight w:val="none"/>
          <w:lang w:val="en-US" w:eastAsia="zh-CN" w:bidi="ar-SA"/>
        </w:rPr>
      </w:pPr>
      <w:r>
        <w:rPr>
          <w:rFonts w:hint="eastAsia" w:ascii="仿宋_GB2312" w:hAnsi="Calibri" w:cs="宋体"/>
          <w:b/>
          <w:bCs/>
          <w:color w:val="auto"/>
          <w:sz w:val="32"/>
          <w:szCs w:val="32"/>
          <w:highlight w:val="none"/>
          <w:lang w:val="en-US" w:eastAsia="zh-CN" w:bidi="ar-SA"/>
        </w:rPr>
        <w:t>5.环保措施方面要求</w:t>
      </w:r>
    </w:p>
    <w:p w14:paraId="7D299A88">
      <w:pPr>
        <w:pStyle w:val="2"/>
        <w:keepNext w:val="0"/>
        <w:keepLines w:val="0"/>
        <w:pageBreakBefore w:val="0"/>
        <w:widowControl/>
        <w:kinsoku/>
        <w:wordWrap/>
        <w:topLinePunct w:val="0"/>
        <w:autoSpaceDE/>
        <w:autoSpaceDN/>
        <w:bidi w:val="0"/>
        <w:adjustRightInd/>
        <w:snapToGrid/>
        <w:spacing w:line="600" w:lineRule="exact"/>
        <w:ind w:firstLine="640" w:firstLineChars="200"/>
        <w:jc w:val="both"/>
        <w:textAlignment w:val="auto"/>
        <w:rPr>
          <w:rFonts w:hint="default" w:ascii="仿宋_GB2312" w:hAnsi="Calibri" w:cs="宋体"/>
          <w:b w:val="0"/>
          <w:bCs w:val="0"/>
          <w:color w:val="auto"/>
          <w:sz w:val="32"/>
          <w:szCs w:val="32"/>
          <w:highlight w:val="none"/>
          <w:lang w:val="en-US" w:eastAsia="zh-CN" w:bidi="ar-SA"/>
        </w:rPr>
      </w:pPr>
      <w:r>
        <w:rPr>
          <w:rFonts w:hint="eastAsia" w:ascii="FangSong_GB2312" w:hAnsi="FangSong_GB2312" w:eastAsia="FangSong_GB2312"/>
          <w:color w:val="auto"/>
          <w:sz w:val="32"/>
          <w:szCs w:val="32"/>
        </w:rPr>
        <w:t>企业应采取有效的环保措施，保证大气污染物、污水和噪声等排放达到相关标准要求。厂区大气污染物排放应符合 DB44/27的规定，污水排放应符合DB44/26和GB/T 31962的较严值，厂界噪声应符合GB 12348的规定</w:t>
      </w:r>
      <w:r>
        <w:rPr>
          <w:rFonts w:hint="eastAsia" w:ascii="仿宋_GB2312" w:hAnsi="Calibri" w:cs="宋体"/>
          <w:b w:val="0"/>
          <w:bCs w:val="0"/>
          <w:color w:val="auto"/>
          <w:sz w:val="32"/>
          <w:szCs w:val="32"/>
          <w:highlight w:val="none"/>
          <w:lang w:val="en-US" w:eastAsia="zh-CN" w:bidi="ar-SA"/>
        </w:rPr>
        <w:t>。</w:t>
      </w:r>
    </w:p>
    <w:p w14:paraId="3A554446">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05" w:name="_Toc7911"/>
      <w:r>
        <w:rPr>
          <w:rFonts w:hint="eastAsia" w:ascii="Times New Roman" w:hAnsi="Times New Roman" w:eastAsia="仿宋_GB2312" w:cs="仿宋_GB2312"/>
          <w:b/>
          <w:bCs/>
          <w:i w:val="0"/>
          <w:iCs w:val="0"/>
          <w:color w:val="auto"/>
          <w:spacing w:val="0"/>
          <w:kern w:val="2"/>
          <w:sz w:val="32"/>
          <w:szCs w:val="32"/>
          <w:highlight w:val="none"/>
          <w:vertAlign w:val="baseline"/>
          <w:lang w:val="en-US" w:eastAsia="zh-CN" w:bidi="ar-SA"/>
        </w:rPr>
        <w:t>资源化项目建设规划</w:t>
      </w:r>
      <w:bookmarkEnd w:id="105"/>
    </w:p>
    <w:p w14:paraId="13385410">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1.既有资源化利用项目基本情况</w:t>
      </w:r>
    </w:p>
    <w:p w14:paraId="55289E3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sz w:val="32"/>
          <w:szCs w:val="32"/>
          <w:highlight w:val="none"/>
          <w:lang w:val="en-US" w:eastAsia="zh-CN"/>
        </w:rPr>
        <w:t>目前增城区共有</w:t>
      </w:r>
      <w:r>
        <w:rPr>
          <w:rFonts w:hint="eastAsia" w:ascii="仿宋_GB2312" w:hAnsi="仿宋_GB2312" w:eastAsia="仿宋_GB2312" w:cs="仿宋_GB2312"/>
          <w:color w:val="auto"/>
          <w:spacing w:val="0"/>
          <w:kern w:val="2"/>
          <w:sz w:val="32"/>
          <w:szCs w:val="32"/>
          <w:highlight w:val="none"/>
          <w:lang w:val="en-US" w:eastAsia="zh-CN" w:bidi="ar-SA"/>
        </w:rPr>
        <w:t>资源化利用项目20个，总设计处理能力1081.1万立方米/年，总体上基本满足资源化利用需求。具体项目见下表：</w:t>
      </w:r>
    </w:p>
    <w:p w14:paraId="4B63CF36">
      <w:pPr>
        <w:pStyle w:val="65"/>
        <w:keepNext w:val="0"/>
        <w:keepLines w:val="0"/>
        <w:pageBreakBefore w:val="0"/>
        <w:widowControl/>
        <w:numPr>
          <w:ilvl w:val="0"/>
          <w:numId w:val="6"/>
        </w:numPr>
        <w:kinsoku/>
        <w:wordWrap/>
        <w:overflowPunct w:val="0"/>
        <w:topLinePunct w:val="0"/>
        <w:autoSpaceDE/>
        <w:autoSpaceDN/>
        <w:bidi w:val="0"/>
        <w:adjustRightInd/>
        <w:snapToGrid/>
        <w:spacing w:after="192" w:afterLines="50"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w:t>
      </w:r>
      <w:r>
        <w:rPr>
          <w:rFonts w:hint="eastAsia" w:ascii="仿宋_GB2312" w:hAnsi="仿宋_GB2312" w:cs="仿宋_GB2312"/>
          <w:b/>
          <w:bCs/>
          <w:color w:val="auto"/>
          <w:spacing w:val="0"/>
          <w:kern w:val="2"/>
          <w:sz w:val="28"/>
          <w:szCs w:val="28"/>
          <w:highlight w:val="none"/>
          <w:lang w:val="en-US" w:eastAsia="zh-CN" w:bidi="ar-SA"/>
        </w:rPr>
        <w:t>既</w:t>
      </w:r>
      <w:r>
        <w:rPr>
          <w:rFonts w:hint="eastAsia" w:cs="仿宋_GB2312"/>
          <w:b/>
          <w:bCs/>
          <w:color w:val="auto"/>
          <w:spacing w:val="0"/>
          <w:kern w:val="2"/>
          <w:sz w:val="28"/>
          <w:szCs w:val="28"/>
          <w:highlight w:val="none"/>
          <w:lang w:val="en-US" w:eastAsia="zh-CN" w:bidi="ar-SA"/>
        </w:rPr>
        <w:t>有资源化项目基本情况一览表</w:t>
      </w:r>
    </w:p>
    <w:tbl>
      <w:tblPr>
        <w:tblStyle w:val="44"/>
        <w:tblW w:w="9891" w:type="dxa"/>
        <w:jc w:val="center"/>
        <w:tblLayout w:type="fixed"/>
        <w:tblCellMar>
          <w:top w:w="0" w:type="dxa"/>
          <w:left w:w="108" w:type="dxa"/>
          <w:bottom w:w="0" w:type="dxa"/>
          <w:right w:w="108" w:type="dxa"/>
        </w:tblCellMar>
      </w:tblPr>
      <w:tblGrid>
        <w:gridCol w:w="863"/>
        <w:gridCol w:w="3229"/>
        <w:gridCol w:w="2987"/>
        <w:gridCol w:w="1472"/>
        <w:gridCol w:w="1340"/>
      </w:tblGrid>
      <w:tr w14:paraId="3CA94DF5">
        <w:tblPrEx>
          <w:tblCellMar>
            <w:top w:w="0" w:type="dxa"/>
            <w:left w:w="108" w:type="dxa"/>
            <w:bottom w:w="0" w:type="dxa"/>
            <w:right w:w="108" w:type="dxa"/>
          </w:tblCellMar>
        </w:tblPrEx>
        <w:trPr>
          <w:trHeight w:val="477" w:hRule="atLeast"/>
          <w:tblHeader/>
          <w:jc w:val="center"/>
        </w:trPr>
        <w:tc>
          <w:tcPr>
            <w:tcW w:w="863" w:type="dxa"/>
            <w:tcBorders>
              <w:top w:val="single" w:color="000000" w:sz="4" w:space="0"/>
              <w:left w:val="single" w:color="000000" w:sz="4" w:space="0"/>
              <w:right w:val="single" w:color="000000" w:sz="4" w:space="0"/>
            </w:tcBorders>
            <w:noWrap/>
            <w:vAlign w:val="center"/>
          </w:tcPr>
          <w:p w14:paraId="7FB862A6">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序号</w:t>
            </w:r>
          </w:p>
        </w:tc>
        <w:tc>
          <w:tcPr>
            <w:tcW w:w="3229" w:type="dxa"/>
            <w:tcBorders>
              <w:top w:val="single" w:color="000000" w:sz="4" w:space="0"/>
              <w:left w:val="single" w:color="000000" w:sz="4" w:space="0"/>
              <w:right w:val="single" w:color="000000" w:sz="4" w:space="0"/>
            </w:tcBorders>
            <w:noWrap/>
            <w:vAlign w:val="center"/>
          </w:tcPr>
          <w:p w14:paraId="3AF3F25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项目名称</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70B6DE17">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项目地址</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5A21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设施规模</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84140">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备注</w:t>
            </w:r>
          </w:p>
        </w:tc>
      </w:tr>
      <w:tr w14:paraId="4D667514">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noWrap/>
            <w:vAlign w:val="center"/>
          </w:tcPr>
          <w:p w14:paraId="035AEF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07E0A45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广州美烽建材有限公司</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7DCAA97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增江街四丰村树吓路</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812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81万</w:t>
            </w:r>
          </w:p>
          <w:p w14:paraId="5B133BF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E00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5848CA68">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noWrap/>
            <w:vAlign w:val="center"/>
          </w:tcPr>
          <w:p w14:paraId="32A0F36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7EEA603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广州市创合建筑废料处置有限公司固定式循环利用项目</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38B8BAB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朱村街南岗村岗背（土名）厂房</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6DAAA14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60万</w:t>
            </w:r>
          </w:p>
          <w:p w14:paraId="21F7B43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06946D1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2BF071D0">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noWrap/>
            <w:vAlign w:val="center"/>
          </w:tcPr>
          <w:p w14:paraId="49A91A1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282A74E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潮穗再生资源有限公司</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5D32138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朱村街横塱村康庄路19号</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23F50C8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30万</w:t>
            </w:r>
          </w:p>
          <w:p w14:paraId="74B7F8C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576CC2C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77A99D3B">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noWrap/>
            <w:vAlign w:val="center"/>
          </w:tcPr>
          <w:p w14:paraId="0997A00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4</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07B87A8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广州市易德建材有限公司固定式循环利用项目</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4ED223D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朱村大道东497号（办公楼D-1）</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4DEDC60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35万</w:t>
            </w:r>
          </w:p>
          <w:p w14:paraId="20DE318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6775DC1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7DCDA8BC">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noWrap/>
            <w:vAlign w:val="center"/>
          </w:tcPr>
          <w:p w14:paraId="115E3A7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5</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2DAD922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广州悦基再生资源有限公司</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4E4E62A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朱村街南岗村新楼（土名）</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1AB855B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63.5万</w:t>
            </w:r>
          </w:p>
          <w:p w14:paraId="30D2916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603A36B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4DC927F6">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noWrap/>
            <w:vAlign w:val="center"/>
          </w:tcPr>
          <w:p w14:paraId="5A6C270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6</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2CC2EE7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广东创展再生资源利用有限公司固定式循环利用项目</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37CEA64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南岗村寺山塘1号</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206A61B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50万</w:t>
            </w:r>
          </w:p>
          <w:p w14:paraId="6498EDE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4A7A4BC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654E418E">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noWrap/>
            <w:vAlign w:val="center"/>
          </w:tcPr>
          <w:p w14:paraId="107826C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7</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18FB328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增城区荔湖街建筑废弃物固定式循环利用项目（广州市臻毅建筑废料处置有限公司）</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0D25A12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荔湖街罗岗村水龙氹</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7B698B1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60万</w:t>
            </w:r>
          </w:p>
          <w:p w14:paraId="53C525C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6D3FD47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56230B7F">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88A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8</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71311D0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广州新利建环保科技有限公司</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7007549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荔湖街道罗岗村水龙氹</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69BC2FF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50.4万</w:t>
            </w:r>
          </w:p>
          <w:p w14:paraId="2A97354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0F6FE68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Times New Roman" w:hAnsi="Times New Roman" w:eastAsia="仿宋_GB2312" w:cs="仿宋_GB2312"/>
                <w:color w:val="auto"/>
                <w:spacing w:val="0"/>
                <w:kern w:val="2"/>
                <w:sz w:val="24"/>
                <w:szCs w:val="24"/>
                <w:highlight w:val="none"/>
                <w:lang w:val="en-US" w:eastAsia="zh-CN" w:bidi="ar-SA"/>
              </w:rPr>
              <w:t>设有装修垃圾处置设施</w:t>
            </w:r>
          </w:p>
        </w:tc>
      </w:tr>
      <w:tr w14:paraId="106B6FEA">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4D5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9</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73B5625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广州龙烨建材有限公司</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6F7DE46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永宁街郭村村南边岭路一号</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171D6F4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25万</w:t>
            </w:r>
          </w:p>
          <w:p w14:paraId="18E77DA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0D5807A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2FED0D53">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4F3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10</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6BAE687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广州市恒佳新型建材有限公司固体利用项目</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7D99250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广州市增城区永宁街和平开发区106号（厂房C3）</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28EB138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30万</w:t>
            </w:r>
          </w:p>
          <w:p w14:paraId="444BAFF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4EF047A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2908DB27">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9117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11</w:t>
            </w:r>
          </w:p>
        </w:tc>
        <w:tc>
          <w:tcPr>
            <w:tcW w:w="3229" w:type="dxa"/>
            <w:tcBorders>
              <w:top w:val="single" w:color="000000" w:sz="4" w:space="0"/>
              <w:left w:val="single" w:color="000000" w:sz="4" w:space="0"/>
              <w:bottom w:val="single" w:color="000000" w:sz="4" w:space="0"/>
              <w:right w:val="single" w:color="000000" w:sz="4" w:space="0"/>
            </w:tcBorders>
            <w:noWrap/>
            <w:vAlign w:val="center"/>
          </w:tcPr>
          <w:p w14:paraId="6DBCB13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广州市华发建材有限公司</w:t>
            </w:r>
          </w:p>
        </w:tc>
        <w:tc>
          <w:tcPr>
            <w:tcW w:w="2987" w:type="dxa"/>
            <w:tcBorders>
              <w:top w:val="single" w:color="000000" w:sz="4" w:space="0"/>
              <w:left w:val="single" w:color="000000" w:sz="4" w:space="0"/>
              <w:bottom w:val="single" w:color="000000" w:sz="4" w:space="0"/>
              <w:right w:val="single" w:color="000000" w:sz="4" w:space="0"/>
            </w:tcBorders>
            <w:noWrap/>
            <w:vAlign w:val="center"/>
          </w:tcPr>
          <w:p w14:paraId="107D730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永宁街湖东村西湖岭</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3B112B9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108万</w:t>
            </w:r>
          </w:p>
          <w:p w14:paraId="21EFF38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628B592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2CD2C5CC">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F53F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12</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8935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广州市三安建材有限公司</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170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新塘镇塘边村沙埔银沙开发区</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610BC9C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70万</w:t>
            </w:r>
          </w:p>
          <w:p w14:paraId="3510881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3AAA24B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1ECB5479">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3B1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13</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664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广州捷达再生资源有限公司</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D6A1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新塘镇荔新九路41号之一（锅炉房）</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4F3FC81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31.2万</w:t>
            </w:r>
          </w:p>
          <w:p w14:paraId="3946383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7B808AD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Times New Roman" w:hAnsi="Times New Roman" w:eastAsia="仿宋_GB2312" w:cs="仿宋_GB2312"/>
                <w:color w:val="auto"/>
                <w:spacing w:val="0"/>
                <w:kern w:val="2"/>
                <w:sz w:val="24"/>
                <w:szCs w:val="24"/>
                <w:highlight w:val="none"/>
                <w:lang w:val="en-US" w:eastAsia="zh-CN" w:bidi="ar-SA"/>
              </w:rPr>
              <w:t>设有装修垃圾处置设施</w:t>
            </w:r>
          </w:p>
        </w:tc>
      </w:tr>
      <w:tr w14:paraId="2660F37C">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A3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14</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028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广州胜源水泥有限公司固定式循环利用项目</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2F5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新塘镇沙埔上基村上基社十字基（土名）</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462CB32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26万</w:t>
            </w:r>
          </w:p>
          <w:p w14:paraId="0B86C5A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450C011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33A833FD">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75C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15</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0E1C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广州市新志达建筑废料处置有限公司</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7E6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新塘镇白石村河边路北围1号</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3F69955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108万</w:t>
            </w:r>
          </w:p>
          <w:p w14:paraId="4B97BB9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28C2070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6C6A0F42">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7E1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16</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699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广州宏一再生资源有限公司</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35E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石滩镇田桥村水门埔</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751C39A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30万</w:t>
            </w:r>
          </w:p>
          <w:p w14:paraId="04D14E0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394C1CE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7BB3DD7D">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noWrap/>
            <w:vAlign w:val="center"/>
          </w:tcPr>
          <w:p w14:paraId="15A803E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17</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B57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广州市建丰建材有限公司</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DEB2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中新镇霞迳村霞迳冚（土名）</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33E7803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58万</w:t>
            </w:r>
          </w:p>
          <w:p w14:paraId="61404D5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2913BD6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59B2EF4E">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5B6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18</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DAA2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广州市悦辉建材有限公司</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27A0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中新镇新新路99号</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563E1D1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60万</w:t>
            </w:r>
          </w:p>
          <w:p w14:paraId="58C3E11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57DF328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71FCF34E">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61B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19</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907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广州市金砂环保科技有限公司</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7B5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中新镇五联村围墩二路8号</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5B4F35E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75万</w:t>
            </w:r>
          </w:p>
          <w:p w14:paraId="691DB12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22ABBAC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p>
        </w:tc>
      </w:tr>
      <w:tr w14:paraId="37AC3D96">
        <w:tblPrEx>
          <w:tblCellMar>
            <w:top w:w="0" w:type="dxa"/>
            <w:left w:w="108" w:type="dxa"/>
            <w:bottom w:w="0" w:type="dxa"/>
            <w:right w:w="108" w:type="dxa"/>
          </w:tblCellMar>
        </w:tblPrEx>
        <w:trPr>
          <w:trHeight w:val="640" w:hRule="atLeast"/>
          <w:jc w:val="center"/>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810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20</w:t>
            </w:r>
          </w:p>
        </w:tc>
        <w:tc>
          <w:tcPr>
            <w:tcW w:w="32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1038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广州城市资源绿色路材研究制造中心建设项目</w:t>
            </w:r>
          </w:p>
        </w:tc>
        <w:tc>
          <w:tcPr>
            <w:tcW w:w="2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BE9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仙村镇沙滘村沙滘工业路1号之五</w:t>
            </w:r>
          </w:p>
        </w:tc>
        <w:tc>
          <w:tcPr>
            <w:tcW w:w="1472" w:type="dxa"/>
            <w:tcBorders>
              <w:top w:val="single" w:color="000000" w:sz="4" w:space="0"/>
              <w:left w:val="single" w:color="000000" w:sz="4" w:space="0"/>
              <w:bottom w:val="single" w:color="000000" w:sz="4" w:space="0"/>
              <w:right w:val="single" w:color="000000" w:sz="4" w:space="0"/>
            </w:tcBorders>
            <w:noWrap/>
            <w:vAlign w:val="center"/>
          </w:tcPr>
          <w:p w14:paraId="1D54F29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30万</w:t>
            </w:r>
          </w:p>
          <w:p w14:paraId="7A1B1D1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340" w:type="dxa"/>
            <w:tcBorders>
              <w:top w:val="single" w:color="000000" w:sz="4" w:space="0"/>
              <w:left w:val="single" w:color="000000" w:sz="4" w:space="0"/>
              <w:bottom w:val="single" w:color="000000" w:sz="4" w:space="0"/>
              <w:right w:val="single" w:color="000000" w:sz="4" w:space="0"/>
            </w:tcBorders>
            <w:noWrap/>
            <w:vAlign w:val="center"/>
          </w:tcPr>
          <w:p w14:paraId="3F51BA7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Times New Roman" w:hAnsi="Times New Roman" w:eastAsia="仿宋_GB2312" w:cs="仿宋_GB2312"/>
                <w:color w:val="auto"/>
                <w:spacing w:val="0"/>
                <w:kern w:val="2"/>
                <w:sz w:val="24"/>
                <w:szCs w:val="24"/>
                <w:highlight w:val="none"/>
                <w:lang w:val="en-US" w:eastAsia="zh-CN" w:bidi="ar-SA"/>
              </w:rPr>
              <w:t>设有装修垃圾处置设施</w:t>
            </w:r>
          </w:p>
        </w:tc>
      </w:tr>
      <w:tr w14:paraId="5A8FF3FD">
        <w:tblPrEx>
          <w:tblCellMar>
            <w:top w:w="0" w:type="dxa"/>
            <w:left w:w="108" w:type="dxa"/>
            <w:bottom w:w="0" w:type="dxa"/>
            <w:right w:w="108" w:type="dxa"/>
          </w:tblCellMar>
        </w:tblPrEx>
        <w:trPr>
          <w:trHeight w:val="565" w:hRule="atLeast"/>
          <w:jc w:val="center"/>
        </w:trPr>
        <w:tc>
          <w:tcPr>
            <w:tcW w:w="7079" w:type="dxa"/>
            <w:gridSpan w:val="3"/>
            <w:tcBorders>
              <w:top w:val="single" w:color="000000" w:sz="4" w:space="0"/>
              <w:left w:val="single" w:color="000000" w:sz="4" w:space="0"/>
              <w:bottom w:val="single" w:color="000000" w:sz="4" w:space="0"/>
              <w:right w:val="single" w:color="000000" w:sz="4" w:space="0"/>
            </w:tcBorders>
            <w:noWrap/>
            <w:vAlign w:val="center"/>
          </w:tcPr>
          <w:p w14:paraId="262402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既有项目总规模</w:t>
            </w:r>
          </w:p>
        </w:tc>
        <w:tc>
          <w:tcPr>
            <w:tcW w:w="2812" w:type="dxa"/>
            <w:gridSpan w:val="2"/>
            <w:tcBorders>
              <w:top w:val="single" w:color="000000" w:sz="4" w:space="0"/>
              <w:left w:val="single" w:color="000000" w:sz="4" w:space="0"/>
              <w:bottom w:val="single" w:color="000000" w:sz="4" w:space="0"/>
              <w:right w:val="single" w:color="000000" w:sz="4" w:space="0"/>
            </w:tcBorders>
            <w:noWrap/>
            <w:vAlign w:val="center"/>
          </w:tcPr>
          <w:p w14:paraId="2CEB41F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1081.1万立方米/年</w:t>
            </w:r>
          </w:p>
        </w:tc>
      </w:tr>
    </w:tbl>
    <w:p w14:paraId="024BB979">
      <w:pPr>
        <w:overflowPunct w:val="0"/>
        <w:spacing w:line="600" w:lineRule="exact"/>
        <w:ind w:firstLine="643" w:firstLineChars="200"/>
        <w:jc w:val="both"/>
        <w:rPr>
          <w:rFonts w:hint="eastAsia" w:ascii="仿宋_GB2312" w:hAnsi="仿宋_GB2312" w:eastAsia="仿宋_GB2312" w:cs="仿宋_GB2312"/>
          <w:b/>
          <w:bCs/>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2.资源化利用项目建设规划</w:t>
      </w:r>
    </w:p>
    <w:p w14:paraId="57E54FA6">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广州市建筑垃圾污染环境防治工作规划（2024-2026）》提出增城区至2026年资源化利用项目建设总体任务目标为525万立方米/年（含既有设施处理能力），结合对增城区既有设施的设计处置能力、建设标准、实际运营情况分析和对未来建筑垃圾产生量的预测，立足于解决增城区内建筑垃圾的产销平衡问题，聚焦装修垃圾等低值建筑垃圾处置设施能力补强，提出增城区资源化利用项目建设规划要求：</w:t>
      </w:r>
    </w:p>
    <w:p w14:paraId="7CA8148A">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bCs/>
          <w:color w:val="auto"/>
          <w:spacing w:val="0"/>
          <w:kern w:val="2"/>
          <w:sz w:val="32"/>
          <w:szCs w:val="32"/>
          <w:highlight w:val="none"/>
          <w:lang w:val="en-US" w:eastAsia="zh-CN" w:bidi="ar-SA"/>
        </w:rPr>
        <w:t>一是指导既有资源化利用企业提升建设运营水平。</w:t>
      </w:r>
      <w:r>
        <w:rPr>
          <w:rFonts w:hint="eastAsia" w:ascii="仿宋_GB2312" w:hAnsi="仿宋_GB2312" w:eastAsia="仿宋_GB2312" w:cs="仿宋_GB2312"/>
          <w:color w:val="auto"/>
          <w:spacing w:val="0"/>
          <w:kern w:val="2"/>
          <w:sz w:val="32"/>
          <w:szCs w:val="32"/>
          <w:highlight w:val="none"/>
          <w:lang w:val="en-US" w:eastAsia="zh-CN" w:bidi="ar-SA"/>
        </w:rPr>
        <w:t>指导企业按“（四）资源化利用项目选址与建设要求”中的</w:t>
      </w:r>
      <w:r>
        <w:rPr>
          <w:rFonts w:hint="eastAsia" w:ascii="仿宋_GB2312" w:hAnsi="仿宋_GB2312" w:eastAsia="仿宋_GB2312" w:cs="仿宋_GB2312"/>
          <w:b w:val="0"/>
          <w:bCs w:val="0"/>
          <w:color w:val="auto"/>
          <w:spacing w:val="0"/>
          <w:sz w:val="32"/>
          <w:szCs w:val="32"/>
          <w:highlight w:val="none"/>
          <w:lang w:val="en-US" w:eastAsia="zh-CN"/>
        </w:rPr>
        <w:t>资源化利用项目的基础建设要求，升级改造设施、厂房和场地，提升运营管理水平，达到广州市的统一要求。资源化利用企业提升改造的过程，也是“汰弱留强”的过程、也是筛选“耐心资本”的过程，更是区域设施整合的过程。通过政府有效引导，市场发挥有效配置资源的作用，淘汰、整合落后产能，达到高标准建设、规范化管理、企业竞争力增强的良好效果。</w:t>
      </w:r>
    </w:p>
    <w:p w14:paraId="57F69C56">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二是引导企业投资建设处置装修垃圾等低值建筑垃圾的生产线，破解装修垃圾处置难题。</w:t>
      </w:r>
      <w:r>
        <w:rPr>
          <w:rFonts w:hint="eastAsia" w:ascii="仿宋_GB2312" w:hAnsi="仿宋_GB2312" w:eastAsia="仿宋_GB2312" w:cs="仿宋_GB2312"/>
          <w:b w:val="0"/>
          <w:bCs w:val="0"/>
          <w:color w:val="auto"/>
          <w:spacing w:val="0"/>
          <w:sz w:val="32"/>
          <w:szCs w:val="32"/>
          <w:highlight w:val="none"/>
          <w:lang w:val="en-US" w:eastAsia="zh-CN"/>
        </w:rPr>
        <w:t>首先，针对既有的3家（广州新利建环保科技有限公司、广州捷达再生资源有限公司、广州城市资源绿色路材研究制造中心建设项目）具备装修垃圾处置能力的企业，结合其生产线设置、设计能力、实际处置量等情况，指导企业提升建设运营水平。</w:t>
      </w:r>
    </w:p>
    <w:p w14:paraId="7E56537A">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val="0"/>
          <w:bCs w:val="0"/>
          <w:color w:val="auto"/>
          <w:spacing w:val="0"/>
          <w:sz w:val="32"/>
          <w:szCs w:val="32"/>
          <w:highlight w:val="none"/>
          <w:lang w:val="en-US" w:eastAsia="zh-CN"/>
        </w:rPr>
        <w:t>为更好地平衡区域设施布局，有效降低装修垃圾运输成本，政府应引导、助推企业在中北部、西部和南部片区规划建设具备装修垃圾处置能力的资源化利用厂：（1）</w:t>
      </w:r>
      <w:r>
        <w:rPr>
          <w:rFonts w:hint="eastAsia" w:ascii="仿宋_GB2312" w:hAnsi="仿宋_GB2312" w:eastAsia="仿宋_GB2312" w:cs="仿宋_GB2312"/>
          <w:color w:val="auto"/>
          <w:spacing w:val="0"/>
          <w:kern w:val="2"/>
          <w:sz w:val="32"/>
          <w:szCs w:val="32"/>
          <w:highlight w:val="none"/>
          <w:lang w:val="en-US" w:eastAsia="zh-CN" w:bidi="ar-SA"/>
        </w:rPr>
        <w:t>规划期内启动建设增城区中北部建筑垃圾资源化利用项目（含装修垃圾处置生产线），按相关选址要求，在中部（荔城街、增江街）或北部（正果镇、派潭镇、小楼镇）范围内进行设施选址，设计规模为30万立方米/年，用地需求约2.5万平方米；（2）规划期内启动建设增城区西部建筑垃圾资源化利用项目（含装修垃圾处置生产线），按相关选址要求，在中新镇范围内进行设施选址，设计规模为30</w:t>
      </w:r>
      <w:r>
        <w:rPr>
          <w:rFonts w:hint="eastAsia" w:ascii="Times New Roman" w:hAnsi="Times New Roman" w:eastAsia="仿宋_GB2312" w:cs="Times New Roman"/>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kern w:val="2"/>
          <w:sz w:val="32"/>
          <w:szCs w:val="32"/>
          <w:highlight w:val="none"/>
          <w:lang w:val="en-US" w:eastAsia="zh-CN" w:bidi="ar-SA"/>
        </w:rPr>
        <w:t>50万立方米/年，用地需求约4万平方米。（3）规划期内启动建设增城区南部建筑垃圾资源化利用项目（含装修垃圾处置生产线），按相关选址要求，在石滩镇三江片区范围内进行设施选址，设计规模为30</w:t>
      </w:r>
      <w:r>
        <w:rPr>
          <w:rFonts w:hint="eastAsia" w:ascii="Times New Roman" w:hAnsi="Times New Roman" w:eastAsia="仿宋_GB2312" w:cs="Times New Roman"/>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kern w:val="2"/>
          <w:sz w:val="32"/>
          <w:szCs w:val="32"/>
          <w:highlight w:val="none"/>
          <w:lang w:val="en-US" w:eastAsia="zh-CN" w:bidi="ar-SA"/>
        </w:rPr>
        <w:t>50万立方米/年，用地需求约4万平方米。装修垃圾处置设施</w:t>
      </w:r>
      <w:r>
        <w:rPr>
          <w:rFonts w:hint="eastAsia" w:ascii="仿宋_GB2312" w:hAnsi="仿宋_GB2312" w:eastAsia="仿宋_GB2312" w:cs="仿宋_GB2312"/>
          <w:color w:val="auto"/>
          <w:spacing w:val="0"/>
          <w:sz w:val="32"/>
          <w:szCs w:val="32"/>
          <w:highlight w:val="none"/>
          <w:lang w:val="en-US" w:eastAsia="zh-CN"/>
        </w:rPr>
        <w:t>项目建设规划情况如下表：</w:t>
      </w:r>
    </w:p>
    <w:p w14:paraId="3D658547">
      <w:pPr>
        <w:pStyle w:val="65"/>
        <w:keepNext w:val="0"/>
        <w:keepLines w:val="0"/>
        <w:pageBreakBefore w:val="0"/>
        <w:widowControl/>
        <w:numPr>
          <w:ilvl w:val="0"/>
          <w:numId w:val="6"/>
        </w:numPr>
        <w:kinsoku/>
        <w:wordWrap/>
        <w:overflowPunct w:val="0"/>
        <w:topLinePunct w:val="0"/>
        <w:autoSpaceDE/>
        <w:autoSpaceDN/>
        <w:bidi w:val="0"/>
        <w:adjustRightInd/>
        <w:snapToGrid/>
        <w:spacing w:after="192" w:afterLines="50"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cs="仿宋_GB2312"/>
          <w:b/>
          <w:bCs/>
          <w:color w:val="auto"/>
          <w:spacing w:val="0"/>
          <w:kern w:val="2"/>
          <w:sz w:val="28"/>
          <w:szCs w:val="28"/>
          <w:highlight w:val="none"/>
          <w:lang w:val="en-US" w:eastAsia="zh-CN" w:bidi="ar-SA"/>
        </w:rPr>
        <w:t xml:space="preserve"> </w:t>
      </w:r>
      <w:r>
        <w:rPr>
          <w:rFonts w:hint="eastAsia" w:ascii="Times New Roman" w:hAnsi="Times New Roman" w:cs="仿宋_GB2312"/>
          <w:b/>
          <w:bCs/>
          <w:color w:val="auto"/>
          <w:spacing w:val="0"/>
          <w:kern w:val="2"/>
          <w:sz w:val="28"/>
          <w:szCs w:val="28"/>
          <w:highlight w:val="none"/>
          <w:lang w:val="en-US" w:eastAsia="zh-CN" w:bidi="ar-SA"/>
        </w:rPr>
        <w:t>规划新增装修垃圾处置</w:t>
      </w:r>
      <w:r>
        <w:rPr>
          <w:rFonts w:hint="eastAsia" w:cs="仿宋_GB2312"/>
          <w:b/>
          <w:bCs/>
          <w:color w:val="auto"/>
          <w:spacing w:val="0"/>
          <w:kern w:val="2"/>
          <w:sz w:val="28"/>
          <w:szCs w:val="28"/>
          <w:highlight w:val="none"/>
          <w:lang w:val="en-US" w:eastAsia="zh-CN" w:bidi="ar-SA"/>
        </w:rPr>
        <w:t>设施</w:t>
      </w:r>
      <w:r>
        <w:rPr>
          <w:rFonts w:hint="eastAsia" w:ascii="Times New Roman" w:hAnsi="Times New Roman" w:cs="仿宋_GB2312"/>
          <w:b/>
          <w:bCs/>
          <w:color w:val="auto"/>
          <w:spacing w:val="0"/>
          <w:kern w:val="2"/>
          <w:sz w:val="28"/>
          <w:szCs w:val="28"/>
          <w:highlight w:val="none"/>
          <w:lang w:val="en-US" w:eastAsia="zh-CN" w:bidi="ar-SA"/>
        </w:rPr>
        <w:t>项目建设情况一览表</w:t>
      </w:r>
    </w:p>
    <w:tbl>
      <w:tblPr>
        <w:tblStyle w:val="44"/>
        <w:tblW w:w="10183" w:type="dxa"/>
        <w:jc w:val="center"/>
        <w:tblLayout w:type="fixed"/>
        <w:tblCellMar>
          <w:top w:w="0" w:type="dxa"/>
          <w:left w:w="108" w:type="dxa"/>
          <w:bottom w:w="0" w:type="dxa"/>
          <w:right w:w="108" w:type="dxa"/>
        </w:tblCellMar>
      </w:tblPr>
      <w:tblGrid>
        <w:gridCol w:w="750"/>
        <w:gridCol w:w="2795"/>
        <w:gridCol w:w="2515"/>
        <w:gridCol w:w="1257"/>
        <w:gridCol w:w="1348"/>
        <w:gridCol w:w="1518"/>
      </w:tblGrid>
      <w:tr w14:paraId="541EE353">
        <w:tblPrEx>
          <w:tblCellMar>
            <w:top w:w="0" w:type="dxa"/>
            <w:left w:w="108" w:type="dxa"/>
            <w:bottom w:w="0" w:type="dxa"/>
            <w:right w:w="108" w:type="dxa"/>
          </w:tblCellMar>
        </w:tblPrEx>
        <w:trPr>
          <w:trHeight w:val="440" w:hRule="atLeast"/>
          <w:tblHeader/>
          <w:jc w:val="center"/>
        </w:trPr>
        <w:tc>
          <w:tcPr>
            <w:tcW w:w="750" w:type="dxa"/>
            <w:tcBorders>
              <w:top w:val="single" w:color="000000" w:sz="4" w:space="0"/>
              <w:left w:val="single" w:color="000000" w:sz="4" w:space="0"/>
              <w:right w:val="single" w:color="000000" w:sz="4" w:space="0"/>
            </w:tcBorders>
            <w:noWrap/>
            <w:vAlign w:val="center"/>
          </w:tcPr>
          <w:p w14:paraId="7ABA240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序号</w:t>
            </w:r>
          </w:p>
        </w:tc>
        <w:tc>
          <w:tcPr>
            <w:tcW w:w="2795" w:type="dxa"/>
            <w:tcBorders>
              <w:top w:val="single" w:color="000000" w:sz="4" w:space="0"/>
              <w:left w:val="single" w:color="000000" w:sz="4" w:space="0"/>
              <w:right w:val="single" w:color="000000" w:sz="4" w:space="0"/>
            </w:tcBorders>
            <w:noWrap/>
            <w:vAlign w:val="center"/>
          </w:tcPr>
          <w:p w14:paraId="035CC18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项目名称</w:t>
            </w:r>
          </w:p>
        </w:tc>
        <w:tc>
          <w:tcPr>
            <w:tcW w:w="2515" w:type="dxa"/>
            <w:tcBorders>
              <w:top w:val="single" w:color="000000" w:sz="4" w:space="0"/>
              <w:left w:val="single" w:color="000000" w:sz="4" w:space="0"/>
              <w:bottom w:val="single" w:color="000000" w:sz="4" w:space="0"/>
              <w:right w:val="single" w:color="000000" w:sz="4" w:space="0"/>
            </w:tcBorders>
            <w:noWrap/>
            <w:vAlign w:val="center"/>
          </w:tcPr>
          <w:p w14:paraId="7161BCBE">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项目选址</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2DD4D253">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建设时间</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14C5">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设施规模</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A1A2">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Times New Roman" w:hAnsi="Times New Roman" w:eastAsia="仿宋_GB2312" w:cs="仿宋_GB2312"/>
                <w:b/>
                <w:bCs/>
                <w:color w:val="auto"/>
                <w:spacing w:val="0"/>
                <w:kern w:val="2"/>
                <w:sz w:val="24"/>
                <w:szCs w:val="24"/>
                <w:highlight w:val="none"/>
                <w:lang w:val="en-US" w:eastAsia="zh-CN" w:bidi="ar-SA"/>
              </w:rPr>
            </w:pPr>
            <w:r>
              <w:rPr>
                <w:rFonts w:hint="eastAsia" w:ascii="仿宋_GB2312" w:hAnsi="仿宋_GB2312" w:eastAsia="仿宋_GB2312" w:cs="仿宋_GB2312"/>
                <w:b/>
                <w:bCs/>
                <w:color w:val="auto"/>
                <w:spacing w:val="0"/>
                <w:kern w:val="2"/>
                <w:sz w:val="24"/>
                <w:szCs w:val="24"/>
                <w:highlight w:val="none"/>
                <w:lang w:val="en-US" w:eastAsia="zh-CN" w:bidi="ar-SA"/>
              </w:rPr>
              <w:t>备注</w:t>
            </w:r>
          </w:p>
        </w:tc>
      </w:tr>
      <w:tr w14:paraId="4B528E79">
        <w:tblPrEx>
          <w:tblCellMar>
            <w:top w:w="0" w:type="dxa"/>
            <w:left w:w="108" w:type="dxa"/>
            <w:bottom w:w="0" w:type="dxa"/>
            <w:right w:w="108" w:type="dxa"/>
          </w:tblCellMar>
        </w:tblPrEx>
        <w:trPr>
          <w:trHeight w:val="10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B053DF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1</w:t>
            </w:r>
          </w:p>
        </w:tc>
        <w:tc>
          <w:tcPr>
            <w:tcW w:w="2795" w:type="dxa"/>
            <w:tcBorders>
              <w:top w:val="single" w:color="000000" w:sz="4" w:space="0"/>
              <w:left w:val="single" w:color="000000" w:sz="4" w:space="0"/>
              <w:bottom w:val="single" w:color="000000" w:sz="4" w:space="0"/>
              <w:right w:val="single" w:color="000000" w:sz="4" w:space="0"/>
            </w:tcBorders>
            <w:noWrap/>
            <w:vAlign w:val="center"/>
          </w:tcPr>
          <w:p w14:paraId="7BFCC32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增城区中北部建筑垃圾资源化利用项目</w:t>
            </w:r>
          </w:p>
        </w:tc>
        <w:tc>
          <w:tcPr>
            <w:tcW w:w="2515" w:type="dxa"/>
            <w:tcBorders>
              <w:top w:val="single" w:color="000000" w:sz="4" w:space="0"/>
              <w:left w:val="single" w:color="000000" w:sz="4" w:space="0"/>
              <w:bottom w:val="single" w:color="000000" w:sz="4" w:space="0"/>
              <w:right w:val="single" w:color="000000" w:sz="4" w:space="0"/>
            </w:tcBorders>
            <w:noWrap/>
            <w:vAlign w:val="center"/>
          </w:tcPr>
          <w:p w14:paraId="2E28DBC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引导社会企业按相关要求在荔城街、增江街、正果镇、派潭镇、小楼镇范围内选址</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370468F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规划期内启动建设</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B4D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30万</w:t>
            </w:r>
          </w:p>
          <w:p w14:paraId="22423E3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973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Times New Roman" w:hAnsi="Times New Roman" w:eastAsia="仿宋_GB2312" w:cs="仿宋_GB2312"/>
                <w:color w:val="auto"/>
                <w:spacing w:val="0"/>
                <w:kern w:val="2"/>
                <w:sz w:val="24"/>
                <w:szCs w:val="24"/>
                <w:highlight w:val="none"/>
                <w:lang w:val="en-US" w:eastAsia="zh-CN" w:bidi="ar-SA"/>
              </w:rPr>
              <w:t>含装修垃圾处置生产线</w:t>
            </w:r>
          </w:p>
        </w:tc>
      </w:tr>
      <w:tr w14:paraId="3F1E2E89">
        <w:tblPrEx>
          <w:tblCellMar>
            <w:top w:w="0" w:type="dxa"/>
            <w:left w:w="108" w:type="dxa"/>
            <w:bottom w:w="0" w:type="dxa"/>
            <w:right w:w="108" w:type="dxa"/>
          </w:tblCellMar>
        </w:tblPrEx>
        <w:trPr>
          <w:trHeight w:val="931"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A11AE0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2</w:t>
            </w:r>
          </w:p>
        </w:tc>
        <w:tc>
          <w:tcPr>
            <w:tcW w:w="2795" w:type="dxa"/>
            <w:tcBorders>
              <w:top w:val="single" w:color="000000" w:sz="4" w:space="0"/>
              <w:left w:val="single" w:color="000000" w:sz="4" w:space="0"/>
              <w:bottom w:val="single" w:color="000000" w:sz="4" w:space="0"/>
              <w:right w:val="single" w:color="000000" w:sz="4" w:space="0"/>
            </w:tcBorders>
            <w:noWrap/>
            <w:vAlign w:val="center"/>
          </w:tcPr>
          <w:p w14:paraId="6C5EC68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增城区西部建筑垃圾资源化利用项目</w:t>
            </w:r>
          </w:p>
        </w:tc>
        <w:tc>
          <w:tcPr>
            <w:tcW w:w="2515" w:type="dxa"/>
            <w:tcBorders>
              <w:top w:val="single" w:color="000000" w:sz="4" w:space="0"/>
              <w:left w:val="single" w:color="000000" w:sz="4" w:space="0"/>
              <w:bottom w:val="single" w:color="000000" w:sz="4" w:space="0"/>
              <w:right w:val="single" w:color="000000" w:sz="4" w:space="0"/>
            </w:tcBorders>
            <w:noWrap/>
            <w:vAlign w:val="center"/>
          </w:tcPr>
          <w:p w14:paraId="35ED978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引导社会企业按相关要求在中新镇选址</w:t>
            </w:r>
          </w:p>
        </w:tc>
        <w:tc>
          <w:tcPr>
            <w:tcW w:w="1257" w:type="dxa"/>
            <w:tcBorders>
              <w:top w:val="single" w:color="000000" w:sz="4" w:space="0"/>
              <w:left w:val="single" w:color="000000" w:sz="4" w:space="0"/>
              <w:bottom w:val="single" w:color="000000" w:sz="4" w:space="0"/>
              <w:right w:val="single" w:color="000000" w:sz="4" w:space="0"/>
            </w:tcBorders>
            <w:noWrap/>
            <w:vAlign w:val="center"/>
          </w:tcPr>
          <w:p w14:paraId="58834A9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规划期内启动建设</w:t>
            </w:r>
          </w:p>
        </w:tc>
        <w:tc>
          <w:tcPr>
            <w:tcW w:w="1348" w:type="dxa"/>
            <w:tcBorders>
              <w:top w:val="single" w:color="000000" w:sz="4" w:space="0"/>
              <w:left w:val="single" w:color="000000" w:sz="4" w:space="0"/>
              <w:bottom w:val="single" w:color="000000" w:sz="4" w:space="0"/>
              <w:right w:val="single" w:color="000000" w:sz="4" w:space="0"/>
            </w:tcBorders>
            <w:noWrap/>
            <w:vAlign w:val="center"/>
          </w:tcPr>
          <w:p w14:paraId="5E01BEC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30</w:t>
            </w:r>
            <w:r>
              <w:rPr>
                <w:rFonts w:hint="eastAsia" w:ascii="Times New Roman" w:hAnsi="Times New Roman" w:eastAsia="仿宋_GB2312" w:cs="Times New Roman"/>
                <w:color w:val="auto"/>
                <w:spacing w:val="0"/>
                <w:kern w:val="2"/>
                <w:sz w:val="24"/>
                <w:szCs w:val="24"/>
                <w:highlight w:val="none"/>
                <w:lang w:val="en-US" w:eastAsia="zh-CN" w:bidi="ar-SA"/>
              </w:rPr>
              <w:t>~</w:t>
            </w:r>
            <w:r>
              <w:rPr>
                <w:rFonts w:hint="eastAsia" w:ascii="仿宋_GB2312" w:hAnsi="仿宋_GB2312" w:eastAsia="仿宋_GB2312" w:cs="仿宋_GB2312"/>
                <w:color w:val="auto"/>
                <w:spacing w:val="0"/>
                <w:kern w:val="2"/>
                <w:sz w:val="24"/>
                <w:szCs w:val="24"/>
                <w:highlight w:val="none"/>
                <w:lang w:val="en-US" w:eastAsia="zh-CN" w:bidi="ar-SA"/>
              </w:rPr>
              <w:t>50万</w:t>
            </w:r>
          </w:p>
          <w:p w14:paraId="75CDC6C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518" w:type="dxa"/>
            <w:tcBorders>
              <w:top w:val="single" w:color="000000" w:sz="4" w:space="0"/>
              <w:left w:val="single" w:color="000000" w:sz="4" w:space="0"/>
              <w:bottom w:val="single" w:color="000000" w:sz="4" w:space="0"/>
              <w:right w:val="single" w:color="000000" w:sz="4" w:space="0"/>
            </w:tcBorders>
            <w:noWrap/>
            <w:vAlign w:val="center"/>
          </w:tcPr>
          <w:p w14:paraId="30C86D5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Times New Roman" w:hAnsi="Times New Roman" w:eastAsia="仿宋_GB2312" w:cs="仿宋_GB2312"/>
                <w:color w:val="auto"/>
                <w:spacing w:val="0"/>
                <w:kern w:val="2"/>
                <w:sz w:val="24"/>
                <w:szCs w:val="24"/>
                <w:highlight w:val="none"/>
                <w:lang w:val="en-US" w:eastAsia="zh-CN" w:bidi="ar-SA"/>
              </w:rPr>
              <w:t>含装修垃圾处置生产线</w:t>
            </w:r>
          </w:p>
        </w:tc>
      </w:tr>
      <w:tr w14:paraId="290F110A">
        <w:tblPrEx>
          <w:tblCellMar>
            <w:top w:w="0" w:type="dxa"/>
            <w:left w:w="108" w:type="dxa"/>
            <w:bottom w:w="0" w:type="dxa"/>
            <w:right w:w="108" w:type="dxa"/>
          </w:tblCellMar>
        </w:tblPrEx>
        <w:trPr>
          <w:trHeight w:val="931"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424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仿宋_GB2312"/>
                <w:color w:val="auto"/>
                <w:spacing w:val="0"/>
                <w:kern w:val="2"/>
                <w:sz w:val="24"/>
                <w:szCs w:val="24"/>
                <w:highlight w:val="none"/>
                <w:lang w:val="en-US" w:eastAsia="zh-CN" w:bidi="ar-SA"/>
              </w:rPr>
            </w:pPr>
            <w:r>
              <w:rPr>
                <w:rFonts w:hint="eastAsia" w:eastAsia="仿宋_GB2312" w:cs="仿宋_GB2312"/>
                <w:color w:val="auto"/>
                <w:spacing w:val="0"/>
                <w:kern w:val="2"/>
                <w:sz w:val="24"/>
                <w:szCs w:val="24"/>
                <w:highlight w:val="none"/>
                <w:lang w:val="en-US" w:eastAsia="zh-CN" w:bidi="ar-SA"/>
              </w:rPr>
              <w:t>3</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94A6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增城区南部建筑垃圾资源化利用项目</w:t>
            </w:r>
          </w:p>
        </w:tc>
        <w:tc>
          <w:tcPr>
            <w:tcW w:w="2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81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引导社会企业按相关要求在石滩镇三江片区选址</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13F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规划期内启动建设</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DAC6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30</w:t>
            </w:r>
            <w:r>
              <w:rPr>
                <w:rFonts w:hint="eastAsia" w:ascii="Times New Roman" w:hAnsi="Times New Roman" w:eastAsia="仿宋_GB2312" w:cs="Times New Roman"/>
                <w:color w:val="auto"/>
                <w:spacing w:val="0"/>
                <w:kern w:val="2"/>
                <w:sz w:val="24"/>
                <w:szCs w:val="24"/>
                <w:highlight w:val="none"/>
                <w:lang w:val="en-US" w:eastAsia="zh-CN" w:bidi="ar-SA"/>
              </w:rPr>
              <w:t>~</w:t>
            </w:r>
            <w:r>
              <w:rPr>
                <w:rFonts w:hint="eastAsia" w:ascii="仿宋_GB2312" w:hAnsi="仿宋_GB2312" w:eastAsia="仿宋_GB2312" w:cs="仿宋_GB2312"/>
                <w:color w:val="auto"/>
                <w:spacing w:val="0"/>
                <w:kern w:val="2"/>
                <w:sz w:val="24"/>
                <w:szCs w:val="24"/>
                <w:highlight w:val="none"/>
                <w:lang w:val="en-US" w:eastAsia="zh-CN" w:bidi="ar-SA"/>
              </w:rPr>
              <w:t>50万</w:t>
            </w:r>
          </w:p>
          <w:p w14:paraId="183A7A4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立方米/年</w:t>
            </w:r>
          </w:p>
        </w:tc>
        <w:tc>
          <w:tcPr>
            <w:tcW w:w="1518" w:type="dxa"/>
            <w:tcBorders>
              <w:top w:val="single" w:color="000000" w:sz="4" w:space="0"/>
              <w:left w:val="single" w:color="000000" w:sz="4" w:space="0"/>
              <w:bottom w:val="single" w:color="000000" w:sz="4" w:space="0"/>
              <w:right w:val="single" w:color="000000" w:sz="4" w:space="0"/>
            </w:tcBorders>
            <w:noWrap/>
            <w:vAlign w:val="center"/>
          </w:tcPr>
          <w:p w14:paraId="7C31A27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Times New Roman" w:hAnsi="Times New Roman" w:eastAsia="仿宋_GB2312" w:cs="仿宋_GB2312"/>
                <w:color w:val="auto"/>
                <w:spacing w:val="0"/>
                <w:kern w:val="2"/>
                <w:sz w:val="24"/>
                <w:szCs w:val="24"/>
                <w:highlight w:val="none"/>
                <w:lang w:val="en-US" w:eastAsia="zh-CN" w:bidi="ar-SA"/>
              </w:rPr>
              <w:t>含装修垃圾处置生产线</w:t>
            </w:r>
          </w:p>
        </w:tc>
      </w:tr>
      <w:tr w14:paraId="192F87A5">
        <w:tblPrEx>
          <w:tblCellMar>
            <w:top w:w="0" w:type="dxa"/>
            <w:left w:w="108" w:type="dxa"/>
            <w:bottom w:w="0" w:type="dxa"/>
            <w:right w:w="108" w:type="dxa"/>
          </w:tblCellMar>
        </w:tblPrEx>
        <w:trPr>
          <w:trHeight w:val="587" w:hRule="atLeast"/>
          <w:jc w:val="center"/>
        </w:trPr>
        <w:tc>
          <w:tcPr>
            <w:tcW w:w="7317" w:type="dxa"/>
            <w:gridSpan w:val="4"/>
            <w:tcBorders>
              <w:top w:val="single" w:color="000000" w:sz="4" w:space="0"/>
              <w:left w:val="single" w:color="000000" w:sz="4" w:space="0"/>
              <w:bottom w:val="single" w:color="000000" w:sz="4" w:space="0"/>
              <w:right w:val="single" w:color="000000" w:sz="4" w:space="0"/>
            </w:tcBorders>
            <w:noWrap/>
            <w:vAlign w:val="center"/>
          </w:tcPr>
          <w:p w14:paraId="226E9A2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新增设施总规模</w:t>
            </w:r>
          </w:p>
        </w:tc>
        <w:tc>
          <w:tcPr>
            <w:tcW w:w="2866" w:type="dxa"/>
            <w:gridSpan w:val="2"/>
            <w:tcBorders>
              <w:top w:val="single" w:color="000000" w:sz="4" w:space="0"/>
              <w:left w:val="single" w:color="000000" w:sz="4" w:space="0"/>
              <w:bottom w:val="single" w:color="000000" w:sz="4" w:space="0"/>
              <w:right w:val="single" w:color="000000" w:sz="4" w:space="0"/>
            </w:tcBorders>
            <w:noWrap/>
            <w:vAlign w:val="center"/>
          </w:tcPr>
          <w:p w14:paraId="319BD94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4"/>
                <w:szCs w:val="24"/>
                <w:highlight w:val="none"/>
                <w:lang w:val="en-US" w:eastAsia="zh-CN" w:bidi="ar-SA"/>
              </w:rPr>
            </w:pPr>
            <w:r>
              <w:rPr>
                <w:rFonts w:hint="eastAsia" w:ascii="仿宋_GB2312" w:hAnsi="仿宋_GB2312" w:eastAsia="仿宋_GB2312" w:cs="仿宋_GB2312"/>
                <w:color w:val="auto"/>
                <w:spacing w:val="0"/>
                <w:kern w:val="2"/>
                <w:sz w:val="24"/>
                <w:szCs w:val="24"/>
                <w:highlight w:val="none"/>
                <w:lang w:val="en-US" w:eastAsia="zh-CN" w:bidi="ar-SA"/>
              </w:rPr>
              <w:t>不少于90万立方米/年</w:t>
            </w:r>
          </w:p>
        </w:tc>
      </w:tr>
    </w:tbl>
    <w:p w14:paraId="70D5F849">
      <w:pPr>
        <w:keepNext w:val="0"/>
        <w:keepLines w:val="0"/>
        <w:pageBreakBefore w:val="0"/>
        <w:widowControl/>
        <w:kinsoku/>
        <w:wordWrap/>
        <w:overflowPunct w:val="0"/>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color w:val="auto"/>
          <w:spacing w:val="0"/>
          <w:sz w:val="24"/>
          <w:szCs w:val="24"/>
          <w:highlight w:val="none"/>
          <w:lang w:val="en-US" w:eastAsia="zh-CN"/>
        </w:rPr>
      </w:pPr>
      <w:bookmarkStart w:id="106" w:name="_Toc5620"/>
      <w:bookmarkStart w:id="107" w:name="_Toc4274"/>
      <w:bookmarkStart w:id="108" w:name="_Toc22672"/>
      <w:bookmarkStart w:id="109" w:name="_Toc29118"/>
      <w:r>
        <w:rPr>
          <w:rFonts w:hint="eastAsia" w:ascii="仿宋_GB2312" w:hAnsi="仿宋_GB2312" w:eastAsia="仿宋_GB2312" w:cs="仿宋_GB2312"/>
          <w:b w:val="0"/>
          <w:bCs w:val="0"/>
          <w:color w:val="auto"/>
          <w:spacing w:val="0"/>
          <w:sz w:val="24"/>
          <w:szCs w:val="24"/>
          <w:highlight w:val="none"/>
          <w:lang w:val="en-US" w:eastAsia="zh-CN"/>
        </w:rPr>
        <w:t>注：上表规划项目含既有资源化利用项目升级改造增设装修垃圾处置生产线。</w:t>
      </w:r>
    </w:p>
    <w:p w14:paraId="66E48F1A">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三是管控增量、大力推动工地就地就近资源化利用。</w:t>
      </w:r>
      <w:r>
        <w:rPr>
          <w:rFonts w:hint="eastAsia" w:ascii="仿宋_GB2312" w:hAnsi="仿宋_GB2312" w:eastAsia="仿宋_GB2312" w:cs="仿宋_GB2312"/>
          <w:b w:val="0"/>
          <w:bCs w:val="0"/>
          <w:color w:val="auto"/>
          <w:spacing w:val="0"/>
          <w:kern w:val="2"/>
          <w:sz w:val="32"/>
          <w:szCs w:val="32"/>
          <w:highlight w:val="none"/>
          <w:lang w:val="en-US" w:eastAsia="zh-CN" w:bidi="ar-SA"/>
        </w:rPr>
        <w:t>以“就地资源化、就近循环利用、减量化、区域安全处置”原则管控增量。区域的城市更新项目，特别是有一定规模的连片开发工程项目，按国家、省市相关要求应就地就近资源化利用，按相关要求编制建筑垃圾处理方案并有效实施，确保建筑垃圾处置全过程闭环管理，保障源头减量有效落实。</w:t>
      </w:r>
    </w:p>
    <w:p w14:paraId="7B181B7D">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color w:val="auto"/>
          <w:spacing w:val="0"/>
          <w:kern w:val="2"/>
          <w:sz w:val="32"/>
          <w:szCs w:val="32"/>
          <w:highlight w:val="none"/>
          <w:lang w:val="en-US" w:eastAsia="zh-CN" w:bidi="ar-SA"/>
        </w:rPr>
      </w:pPr>
      <w:r>
        <w:rPr>
          <w:rFonts w:hint="eastAsia" w:ascii="仿宋_GB2312" w:hAnsi="仿宋_GB2312" w:eastAsia="仿宋_GB2312" w:cs="仿宋_GB2312"/>
          <w:b/>
          <w:bCs/>
          <w:color w:val="auto"/>
          <w:spacing w:val="0"/>
          <w:kern w:val="2"/>
          <w:sz w:val="32"/>
          <w:szCs w:val="32"/>
          <w:highlight w:val="none"/>
          <w:lang w:val="en-US" w:eastAsia="zh-CN" w:bidi="ar-SA"/>
        </w:rPr>
        <w:t>四是探索更高效的资源化利用工艺，推动产业协同处置方式作为建筑垃圾处置的辅助手段。</w:t>
      </w:r>
      <w:r>
        <w:rPr>
          <w:rFonts w:hint="eastAsia" w:ascii="仿宋_GB2312" w:hAnsi="仿宋_GB2312" w:eastAsia="仿宋_GB2312" w:cs="仿宋_GB2312"/>
          <w:b w:val="0"/>
          <w:bCs w:val="0"/>
          <w:color w:val="auto"/>
          <w:spacing w:val="0"/>
          <w:kern w:val="2"/>
          <w:sz w:val="32"/>
          <w:szCs w:val="32"/>
          <w:highlight w:val="none"/>
          <w:lang w:val="en-US" w:eastAsia="zh-CN" w:bidi="ar-SA"/>
        </w:rPr>
        <w:t>增城区的明达水泥厂，收置建筑垃圾分拣后的砖渣，经破碎、研磨等预处理工序后作为水泥的混合原料，既提高了水泥产品的品位，又协同处置了建筑垃圾的分拣尾料，一举两得。另外，水泥厂投资建设建筑垃圾分拣生产线，筛分的轻物质还可以入炉协同焚烧（水泥窑协同焚烧），实现建筑垃圾的全流程全量化资源化利用。据调研了解，台泥（英德）水泥有限公司已经投资建设运营了相关生产线，正在处置英德市城区的建筑垃圾。多措并举、多路并进，鼓励企业结合自身的发展，探索多种建筑垃圾资源化利用途径。产业协同既能解决建筑垃圾的回收循环利用，也能解决产品去向的难题，大力倡导产业协同处置方式作为建筑垃圾循环利用处置的新路径。</w:t>
      </w:r>
    </w:p>
    <w:p w14:paraId="63E5A4C8">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综上，为解决增城区现有建筑垃圾资源化利用项目存在的问题，探索通过建筑垃圾处置设施相关的公共资源有偿使用等方式，促进增城区建筑垃圾资源化利用企业平稳、健康发展，提高资源化利用项目准入门槛。</w:t>
      </w:r>
      <w:r>
        <w:rPr>
          <w:rFonts w:hint="eastAsia" w:ascii="仿宋_GB2312" w:hAnsi="仿宋_GB2312" w:eastAsia="仿宋_GB2312" w:cs="仿宋_GB2312"/>
          <w:b/>
          <w:bCs/>
          <w:color w:val="auto"/>
          <w:spacing w:val="0"/>
          <w:kern w:val="2"/>
          <w:sz w:val="32"/>
          <w:szCs w:val="32"/>
          <w:highlight w:val="none"/>
          <w:lang w:val="en-US" w:eastAsia="zh-CN" w:bidi="ar-SA"/>
        </w:rPr>
        <w:t>增城区以“市场主导、规划引领、政府指导、创新赋能”的原则推进建筑垃圾资源化利用项目的规划建设，系统性解决建筑垃圾处置难题。</w:t>
      </w:r>
      <w:r>
        <w:rPr>
          <w:rFonts w:hint="eastAsia" w:ascii="仿宋_GB2312" w:hAnsi="仿宋_GB2312" w:eastAsia="仿宋_GB2312" w:cs="仿宋_GB2312"/>
          <w:color w:val="auto"/>
          <w:spacing w:val="0"/>
          <w:kern w:val="2"/>
          <w:sz w:val="32"/>
          <w:szCs w:val="32"/>
          <w:highlight w:val="none"/>
          <w:lang w:val="en-US" w:eastAsia="zh-CN" w:bidi="ar-SA"/>
        </w:rPr>
        <w:t>遵循市场规律</w:t>
      </w:r>
      <w:r>
        <w:rPr>
          <w:rFonts w:hint="eastAsia" w:ascii="仿宋_GB2312" w:hAnsi="仿宋_GB2312" w:eastAsia="仿宋_GB2312" w:cs="仿宋_GB2312"/>
          <w:b w:val="0"/>
          <w:bCs w:val="0"/>
          <w:color w:val="auto"/>
          <w:spacing w:val="0"/>
          <w:kern w:val="2"/>
          <w:sz w:val="32"/>
          <w:szCs w:val="32"/>
          <w:highlight w:val="none"/>
          <w:lang w:val="en-US" w:eastAsia="zh-CN" w:bidi="ar-SA"/>
        </w:rPr>
        <w:t>，优胜劣汰、区域均衡，</w:t>
      </w:r>
      <w:r>
        <w:rPr>
          <w:rFonts w:hint="eastAsia" w:ascii="仿宋_GB2312" w:hAnsi="仿宋_GB2312" w:eastAsia="仿宋_GB2312" w:cs="仿宋_GB2312"/>
          <w:color w:val="auto"/>
          <w:spacing w:val="0"/>
          <w:kern w:val="2"/>
          <w:sz w:val="32"/>
          <w:szCs w:val="32"/>
          <w:highlight w:val="none"/>
          <w:lang w:val="en-US" w:eastAsia="zh-CN" w:bidi="ar-SA"/>
        </w:rPr>
        <w:t>通过</w:t>
      </w:r>
      <w:r>
        <w:rPr>
          <w:rFonts w:hint="eastAsia" w:ascii="仿宋_GB2312" w:hAnsi="仿宋_GB2312" w:eastAsia="仿宋_GB2312" w:cs="仿宋_GB2312"/>
          <w:b w:val="0"/>
          <w:bCs w:val="0"/>
          <w:color w:val="auto"/>
          <w:spacing w:val="0"/>
          <w:kern w:val="2"/>
          <w:sz w:val="32"/>
          <w:szCs w:val="32"/>
          <w:highlight w:val="none"/>
          <w:lang w:val="en-US" w:eastAsia="zh-CN" w:bidi="ar-SA"/>
        </w:rPr>
        <w:t>政府指导既有资源化利用企业提升建设运营水平</w:t>
      </w:r>
      <w:r>
        <w:rPr>
          <w:rFonts w:hint="eastAsia" w:ascii="仿宋_GB2312" w:hAnsi="仿宋_GB2312" w:cs="仿宋_GB2312"/>
          <w:b w:val="0"/>
          <w:bCs w:val="0"/>
          <w:color w:val="auto"/>
          <w:spacing w:val="0"/>
          <w:kern w:val="2"/>
          <w:sz w:val="32"/>
          <w:szCs w:val="32"/>
          <w:highlight w:val="none"/>
          <w:lang w:val="en-US" w:eastAsia="zh-CN" w:bidi="ar-SA"/>
        </w:rPr>
        <w:t>和规范</w:t>
      </w:r>
      <w:r>
        <w:rPr>
          <w:rFonts w:hint="eastAsia" w:ascii="仿宋_GB2312" w:hAnsi="仿宋_GB2312" w:eastAsia="仿宋_GB2312" w:cs="仿宋_GB2312"/>
          <w:color w:val="auto"/>
          <w:spacing w:val="0"/>
          <w:kern w:val="2"/>
          <w:sz w:val="32"/>
          <w:szCs w:val="32"/>
          <w:highlight w:val="none"/>
          <w:lang w:val="en-US" w:eastAsia="zh-CN" w:bidi="ar-SA"/>
        </w:rPr>
        <w:t>化建设要求自然淘汰一些落后产能，优胜劣汰，同时鼓励</w:t>
      </w:r>
      <w:r>
        <w:rPr>
          <w:rFonts w:hint="eastAsia" w:ascii="仿宋_GB2312" w:hAnsi="仿宋_GB2312" w:eastAsia="仿宋_GB2312" w:cs="仿宋_GB2312"/>
          <w:b w:val="0"/>
          <w:bCs w:val="0"/>
          <w:color w:val="auto"/>
          <w:spacing w:val="0"/>
          <w:sz w:val="32"/>
          <w:szCs w:val="32"/>
          <w:highlight w:val="none"/>
          <w:lang w:val="en-US" w:eastAsia="zh-CN"/>
        </w:rPr>
        <w:t>“耐心资本”进行产业升级、根据市场行情增配生产线，充分发挥市场有效配置资源的作用。结合前期调研和过去三年增城区建筑废弃物处理相关数据，现提出增城区循环利用企业规划分布情况（详见表12，产业配套企业和工地现场利用项目根据产业配套使用功能，适时调整布局），促进</w:t>
      </w:r>
      <w:r>
        <w:rPr>
          <w:rFonts w:hint="eastAsia" w:ascii="仿宋_GB2312" w:hAnsi="仿宋_GB2312" w:eastAsia="仿宋_GB2312" w:cs="仿宋_GB2312"/>
          <w:b w:val="0"/>
          <w:bCs w:val="0"/>
          <w:color w:val="auto"/>
          <w:spacing w:val="0"/>
          <w:kern w:val="2"/>
          <w:sz w:val="32"/>
          <w:szCs w:val="32"/>
          <w:highlight w:val="none"/>
          <w:lang w:val="en-US" w:eastAsia="zh-CN" w:bidi="ar-SA"/>
        </w:rPr>
        <w:t>区域建筑垃圾的产销平衡达至较均衡状态</w:t>
      </w:r>
      <w:r>
        <w:rPr>
          <w:rFonts w:hint="eastAsia" w:ascii="仿宋_GB2312" w:hAnsi="仿宋_GB2312" w:eastAsia="仿宋_GB2312" w:cs="仿宋_GB2312"/>
          <w:b w:val="0"/>
          <w:bCs w:val="0"/>
          <w:color w:val="auto"/>
          <w:spacing w:val="0"/>
          <w:sz w:val="32"/>
          <w:szCs w:val="32"/>
          <w:highlight w:val="none"/>
          <w:lang w:val="en-US" w:eastAsia="zh-CN"/>
        </w:rPr>
        <w:t>。</w:t>
      </w:r>
    </w:p>
    <w:p w14:paraId="599D82FA">
      <w:pPr>
        <w:pStyle w:val="65"/>
        <w:keepNext w:val="0"/>
        <w:keepLines w:val="0"/>
        <w:pageBreakBefore w:val="0"/>
        <w:widowControl/>
        <w:numPr>
          <w:ilvl w:val="0"/>
          <w:numId w:val="6"/>
        </w:numPr>
        <w:kinsoku/>
        <w:wordWrap/>
        <w:overflowPunct w:val="0"/>
        <w:topLinePunct w:val="0"/>
        <w:autoSpaceDE/>
        <w:autoSpaceDN/>
        <w:bidi w:val="0"/>
        <w:adjustRightInd/>
        <w:snapToGrid/>
        <w:spacing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cs="仿宋_GB2312"/>
          <w:b/>
          <w:bCs/>
          <w:color w:val="auto"/>
          <w:spacing w:val="0"/>
          <w:kern w:val="2"/>
          <w:sz w:val="28"/>
          <w:szCs w:val="28"/>
          <w:highlight w:val="none"/>
          <w:lang w:val="en-US" w:eastAsia="zh-CN" w:bidi="ar-SA"/>
        </w:rPr>
        <w:t xml:space="preserve"> 增城区建筑垃圾资源化利用企业发展规划信息表</w:t>
      </w:r>
    </w:p>
    <w:tbl>
      <w:tblPr>
        <w:tblStyle w:val="45"/>
        <w:tblpPr w:leftFromText="180" w:rightFromText="180" w:vertAnchor="text" w:horzAnchor="page" w:tblpXSpec="center" w:tblpY="246"/>
        <w:tblOverlap w:val="never"/>
        <w:tblW w:w="10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592"/>
        <w:gridCol w:w="577"/>
        <w:gridCol w:w="789"/>
        <w:gridCol w:w="614"/>
        <w:gridCol w:w="587"/>
        <w:gridCol w:w="604"/>
        <w:gridCol w:w="604"/>
        <w:gridCol w:w="604"/>
        <w:gridCol w:w="604"/>
        <w:gridCol w:w="604"/>
        <w:gridCol w:w="490"/>
        <w:gridCol w:w="491"/>
        <w:gridCol w:w="446"/>
        <w:gridCol w:w="859"/>
      </w:tblGrid>
      <w:tr w14:paraId="42B3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907" w:type="dxa"/>
            <w:shd w:val="clear" w:color="auto" w:fill="auto"/>
            <w:vAlign w:val="center"/>
          </w:tcPr>
          <w:p w14:paraId="227D5802">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地理位置</w:t>
            </w:r>
          </w:p>
        </w:tc>
        <w:tc>
          <w:tcPr>
            <w:tcW w:w="3159" w:type="dxa"/>
            <w:gridSpan w:val="5"/>
            <w:shd w:val="clear" w:color="auto" w:fill="auto"/>
            <w:vAlign w:val="center"/>
          </w:tcPr>
          <w:p w14:paraId="3D4D9F3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南部</w:t>
            </w:r>
          </w:p>
        </w:tc>
        <w:tc>
          <w:tcPr>
            <w:tcW w:w="3020" w:type="dxa"/>
            <w:gridSpan w:val="5"/>
            <w:shd w:val="clear" w:color="auto" w:fill="auto"/>
            <w:vAlign w:val="center"/>
          </w:tcPr>
          <w:p w14:paraId="7771EF96">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中部</w:t>
            </w:r>
          </w:p>
        </w:tc>
        <w:tc>
          <w:tcPr>
            <w:tcW w:w="1427" w:type="dxa"/>
            <w:gridSpan w:val="3"/>
            <w:shd w:val="clear" w:color="auto" w:fill="auto"/>
            <w:vAlign w:val="center"/>
          </w:tcPr>
          <w:p w14:paraId="75FC0FBF">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北部</w:t>
            </w:r>
          </w:p>
        </w:tc>
        <w:tc>
          <w:tcPr>
            <w:tcW w:w="859" w:type="dxa"/>
            <w:shd w:val="clear" w:color="auto" w:fill="auto"/>
            <w:vAlign w:val="center"/>
          </w:tcPr>
          <w:p w14:paraId="2143EB3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合计</w:t>
            </w:r>
          </w:p>
        </w:tc>
      </w:tr>
      <w:tr w14:paraId="11B3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907" w:type="dxa"/>
            <w:shd w:val="clear" w:color="auto" w:fill="auto"/>
            <w:vAlign w:val="center"/>
          </w:tcPr>
          <w:p w14:paraId="5C07D396">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镇街</w:t>
            </w:r>
          </w:p>
        </w:tc>
        <w:tc>
          <w:tcPr>
            <w:tcW w:w="592" w:type="dxa"/>
            <w:shd w:val="clear" w:color="auto" w:fill="auto"/>
            <w:vAlign w:val="center"/>
          </w:tcPr>
          <w:p w14:paraId="0F5BF9E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宁西</w:t>
            </w:r>
          </w:p>
        </w:tc>
        <w:tc>
          <w:tcPr>
            <w:tcW w:w="577" w:type="dxa"/>
            <w:shd w:val="clear" w:color="auto" w:fill="auto"/>
            <w:vAlign w:val="center"/>
          </w:tcPr>
          <w:p w14:paraId="031B68C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永宁</w:t>
            </w:r>
          </w:p>
        </w:tc>
        <w:tc>
          <w:tcPr>
            <w:tcW w:w="789" w:type="dxa"/>
            <w:shd w:val="clear" w:color="auto" w:fill="auto"/>
            <w:vAlign w:val="center"/>
          </w:tcPr>
          <w:p w14:paraId="0EF2D579">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新塘</w:t>
            </w:r>
          </w:p>
        </w:tc>
        <w:tc>
          <w:tcPr>
            <w:tcW w:w="614" w:type="dxa"/>
            <w:shd w:val="clear" w:color="auto" w:fill="auto"/>
            <w:vAlign w:val="center"/>
          </w:tcPr>
          <w:p w14:paraId="2178BBF0">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仙村</w:t>
            </w:r>
          </w:p>
        </w:tc>
        <w:tc>
          <w:tcPr>
            <w:tcW w:w="587" w:type="dxa"/>
            <w:shd w:val="clear" w:color="auto" w:fill="auto"/>
            <w:vAlign w:val="center"/>
          </w:tcPr>
          <w:p w14:paraId="66D3476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石滩</w:t>
            </w:r>
          </w:p>
        </w:tc>
        <w:tc>
          <w:tcPr>
            <w:tcW w:w="604" w:type="dxa"/>
            <w:shd w:val="clear" w:color="auto" w:fill="auto"/>
            <w:vAlign w:val="center"/>
          </w:tcPr>
          <w:p w14:paraId="717BFB50">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荔城</w:t>
            </w:r>
          </w:p>
        </w:tc>
        <w:tc>
          <w:tcPr>
            <w:tcW w:w="604" w:type="dxa"/>
            <w:shd w:val="clear" w:color="auto" w:fill="auto"/>
            <w:vAlign w:val="center"/>
          </w:tcPr>
          <w:p w14:paraId="79B75556">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荔湖</w:t>
            </w:r>
          </w:p>
        </w:tc>
        <w:tc>
          <w:tcPr>
            <w:tcW w:w="604" w:type="dxa"/>
            <w:shd w:val="clear" w:color="auto" w:fill="auto"/>
            <w:vAlign w:val="center"/>
          </w:tcPr>
          <w:p w14:paraId="0F97A98B">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增江</w:t>
            </w:r>
          </w:p>
        </w:tc>
        <w:tc>
          <w:tcPr>
            <w:tcW w:w="604" w:type="dxa"/>
            <w:shd w:val="clear" w:color="auto" w:fill="auto"/>
            <w:vAlign w:val="center"/>
          </w:tcPr>
          <w:p w14:paraId="34489B6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中新</w:t>
            </w:r>
          </w:p>
        </w:tc>
        <w:tc>
          <w:tcPr>
            <w:tcW w:w="604" w:type="dxa"/>
            <w:shd w:val="clear" w:color="auto" w:fill="auto"/>
            <w:vAlign w:val="center"/>
          </w:tcPr>
          <w:p w14:paraId="6F4EFD2A">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朱村</w:t>
            </w:r>
          </w:p>
        </w:tc>
        <w:tc>
          <w:tcPr>
            <w:tcW w:w="490" w:type="dxa"/>
            <w:shd w:val="clear" w:color="auto" w:fill="auto"/>
            <w:vAlign w:val="center"/>
          </w:tcPr>
          <w:p w14:paraId="2A5684B6">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小楼</w:t>
            </w:r>
          </w:p>
        </w:tc>
        <w:tc>
          <w:tcPr>
            <w:tcW w:w="491" w:type="dxa"/>
            <w:shd w:val="clear" w:color="auto" w:fill="auto"/>
            <w:vAlign w:val="center"/>
          </w:tcPr>
          <w:p w14:paraId="7610276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正果</w:t>
            </w:r>
          </w:p>
        </w:tc>
        <w:tc>
          <w:tcPr>
            <w:tcW w:w="446" w:type="dxa"/>
            <w:shd w:val="clear" w:color="auto" w:fill="auto"/>
            <w:vAlign w:val="center"/>
          </w:tcPr>
          <w:p w14:paraId="2A3B03B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派潭</w:t>
            </w:r>
          </w:p>
        </w:tc>
        <w:tc>
          <w:tcPr>
            <w:tcW w:w="859" w:type="dxa"/>
            <w:shd w:val="clear" w:color="auto" w:fill="auto"/>
            <w:vAlign w:val="center"/>
          </w:tcPr>
          <w:p w14:paraId="1C47FCF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sz w:val="32"/>
                <w:szCs w:val="32"/>
                <w:highlight w:val="none"/>
                <w:vertAlign w:val="baseline"/>
                <w:lang w:val="en-US" w:eastAsia="zh-CN"/>
              </w:rPr>
            </w:pPr>
          </w:p>
        </w:tc>
      </w:tr>
      <w:tr w14:paraId="040F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907" w:type="dxa"/>
            <w:shd w:val="clear" w:color="auto" w:fill="auto"/>
            <w:vAlign w:val="center"/>
          </w:tcPr>
          <w:p w14:paraId="37EE61D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规划企业数（个）</w:t>
            </w:r>
          </w:p>
        </w:tc>
        <w:tc>
          <w:tcPr>
            <w:tcW w:w="592" w:type="dxa"/>
            <w:shd w:val="clear" w:color="auto" w:fill="auto"/>
            <w:vAlign w:val="center"/>
          </w:tcPr>
          <w:p w14:paraId="6588F2F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577" w:type="dxa"/>
            <w:shd w:val="clear" w:color="auto" w:fill="auto"/>
            <w:vAlign w:val="center"/>
          </w:tcPr>
          <w:p w14:paraId="29940C0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789" w:type="dxa"/>
            <w:shd w:val="clear" w:color="auto" w:fill="auto"/>
            <w:vAlign w:val="center"/>
          </w:tcPr>
          <w:p w14:paraId="0E8840F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2</w:t>
            </w:r>
          </w:p>
        </w:tc>
        <w:tc>
          <w:tcPr>
            <w:tcW w:w="614" w:type="dxa"/>
            <w:shd w:val="clear" w:color="auto" w:fill="auto"/>
            <w:vAlign w:val="center"/>
          </w:tcPr>
          <w:p w14:paraId="2E8D7B7A">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587" w:type="dxa"/>
            <w:shd w:val="clear" w:color="auto" w:fill="auto"/>
            <w:vAlign w:val="center"/>
          </w:tcPr>
          <w:p w14:paraId="09A66132">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2</w:t>
            </w:r>
          </w:p>
        </w:tc>
        <w:tc>
          <w:tcPr>
            <w:tcW w:w="604" w:type="dxa"/>
            <w:shd w:val="clear" w:color="auto" w:fill="auto"/>
            <w:vAlign w:val="center"/>
          </w:tcPr>
          <w:p w14:paraId="6EE879D0">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604" w:type="dxa"/>
            <w:shd w:val="clear" w:color="auto" w:fill="auto"/>
            <w:vAlign w:val="center"/>
          </w:tcPr>
          <w:p w14:paraId="026B2EF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604" w:type="dxa"/>
            <w:shd w:val="clear" w:color="auto" w:fill="auto"/>
            <w:vAlign w:val="center"/>
          </w:tcPr>
          <w:p w14:paraId="4FEADC3B">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604" w:type="dxa"/>
            <w:shd w:val="clear" w:color="auto" w:fill="auto"/>
            <w:vAlign w:val="center"/>
          </w:tcPr>
          <w:p w14:paraId="537264D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604" w:type="dxa"/>
            <w:shd w:val="clear" w:color="auto" w:fill="auto"/>
            <w:vAlign w:val="center"/>
          </w:tcPr>
          <w:p w14:paraId="7D048A11">
            <w:pPr>
              <w:keepNext w:val="0"/>
              <w:keepLines w:val="0"/>
              <w:pageBreakBefore w:val="0"/>
              <w:widowControl/>
              <w:kinsoku/>
              <w:wordWrap/>
              <w:overflowPunct w:val="0"/>
              <w:topLinePunct w:val="0"/>
              <w:autoSpaceDE/>
              <w:autoSpaceDN/>
              <w:bidi w:val="0"/>
              <w:adjustRightInd/>
              <w:snapToGrid/>
              <w:spacing w:line="240" w:lineRule="auto"/>
              <w:jc w:val="center"/>
              <w:textAlignment w:val="auto"/>
              <w:rPr>
                <w:color w:val="auto"/>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1427" w:type="dxa"/>
            <w:gridSpan w:val="3"/>
            <w:shd w:val="clear" w:color="auto" w:fill="auto"/>
            <w:vAlign w:val="center"/>
          </w:tcPr>
          <w:p w14:paraId="3E4B6F7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color w:val="auto"/>
              </w:rPr>
            </w:pPr>
            <w:r>
              <w:rPr>
                <w:rFonts w:hint="eastAsia" w:ascii="仿宋_GB2312" w:hAnsi="仿宋_GB2312" w:eastAsia="仿宋_GB2312" w:cs="仿宋_GB2312"/>
                <w:b w:val="0"/>
                <w:bCs w:val="0"/>
                <w:color w:val="auto"/>
                <w:spacing w:val="0"/>
                <w:sz w:val="32"/>
                <w:szCs w:val="32"/>
                <w:highlight w:val="none"/>
                <w:vertAlign w:val="baseline"/>
                <w:lang w:val="en-US" w:eastAsia="zh-CN"/>
              </w:rPr>
              <w:t>1</w:t>
            </w:r>
          </w:p>
        </w:tc>
        <w:tc>
          <w:tcPr>
            <w:tcW w:w="859" w:type="dxa"/>
            <w:shd w:val="clear" w:color="auto" w:fill="auto"/>
            <w:vAlign w:val="center"/>
          </w:tcPr>
          <w:p w14:paraId="5D803C95">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13</w:t>
            </w:r>
            <w:bookmarkStart w:id="234" w:name="_GoBack"/>
            <w:bookmarkEnd w:id="234"/>
          </w:p>
        </w:tc>
      </w:tr>
      <w:tr w14:paraId="0469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907" w:type="dxa"/>
            <w:shd w:val="clear" w:color="auto" w:fill="auto"/>
            <w:vAlign w:val="center"/>
          </w:tcPr>
          <w:p w14:paraId="7EB207A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规划产能（万立方米/年）</w:t>
            </w:r>
          </w:p>
        </w:tc>
        <w:tc>
          <w:tcPr>
            <w:tcW w:w="592" w:type="dxa"/>
            <w:shd w:val="clear" w:color="auto" w:fill="auto"/>
            <w:vAlign w:val="center"/>
          </w:tcPr>
          <w:p w14:paraId="5120C49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80</w:t>
            </w:r>
          </w:p>
        </w:tc>
        <w:tc>
          <w:tcPr>
            <w:tcW w:w="577" w:type="dxa"/>
            <w:shd w:val="clear" w:color="auto" w:fill="auto"/>
            <w:vAlign w:val="center"/>
          </w:tcPr>
          <w:p w14:paraId="6489B56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80</w:t>
            </w:r>
          </w:p>
        </w:tc>
        <w:tc>
          <w:tcPr>
            <w:tcW w:w="789" w:type="dxa"/>
            <w:shd w:val="clear" w:color="auto" w:fill="auto"/>
            <w:vAlign w:val="center"/>
          </w:tcPr>
          <w:p w14:paraId="1FAB415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150</w:t>
            </w:r>
          </w:p>
        </w:tc>
        <w:tc>
          <w:tcPr>
            <w:tcW w:w="614" w:type="dxa"/>
            <w:shd w:val="clear" w:color="auto" w:fill="auto"/>
            <w:vAlign w:val="center"/>
          </w:tcPr>
          <w:p w14:paraId="135C320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30</w:t>
            </w:r>
          </w:p>
        </w:tc>
        <w:tc>
          <w:tcPr>
            <w:tcW w:w="587" w:type="dxa"/>
            <w:shd w:val="clear" w:color="auto" w:fill="auto"/>
            <w:vAlign w:val="center"/>
          </w:tcPr>
          <w:p w14:paraId="7EB63C9C">
            <w:pPr>
              <w:keepNext w:val="0"/>
              <w:keepLines w:val="0"/>
              <w:pageBreakBefore w:val="0"/>
              <w:widowControl/>
              <w:kinsoku/>
              <w:wordWrap/>
              <w:overflowPunct w:val="0"/>
              <w:topLinePunct w:val="0"/>
              <w:autoSpaceDE/>
              <w:autoSpaceDN/>
              <w:bidi w:val="0"/>
              <w:adjustRightInd/>
              <w:snapToGrid/>
              <w:spacing w:line="240" w:lineRule="auto"/>
              <w:jc w:val="center"/>
              <w:textAlignment w:val="auto"/>
              <w:rPr>
                <w:color w:val="auto"/>
              </w:rPr>
            </w:pPr>
            <w:r>
              <w:rPr>
                <w:rFonts w:hint="eastAsia" w:ascii="仿宋_GB2312" w:hAnsi="仿宋_GB2312" w:eastAsia="仿宋_GB2312" w:cs="仿宋_GB2312"/>
                <w:b w:val="0"/>
                <w:bCs w:val="0"/>
                <w:color w:val="auto"/>
                <w:spacing w:val="0"/>
                <w:sz w:val="32"/>
                <w:szCs w:val="32"/>
                <w:highlight w:val="none"/>
                <w:vertAlign w:val="baseline"/>
                <w:lang w:val="en-US" w:eastAsia="zh-CN"/>
              </w:rPr>
              <w:t>80</w:t>
            </w:r>
          </w:p>
        </w:tc>
        <w:tc>
          <w:tcPr>
            <w:tcW w:w="604" w:type="dxa"/>
            <w:shd w:val="clear" w:color="auto" w:fill="auto"/>
            <w:vAlign w:val="center"/>
          </w:tcPr>
          <w:p w14:paraId="7A552B81">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50</w:t>
            </w:r>
          </w:p>
        </w:tc>
        <w:tc>
          <w:tcPr>
            <w:tcW w:w="604" w:type="dxa"/>
            <w:shd w:val="clear" w:color="auto" w:fill="auto"/>
            <w:vAlign w:val="center"/>
          </w:tcPr>
          <w:p w14:paraId="4A2E9212">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50</w:t>
            </w:r>
          </w:p>
        </w:tc>
        <w:tc>
          <w:tcPr>
            <w:tcW w:w="604" w:type="dxa"/>
            <w:shd w:val="clear" w:color="auto" w:fill="auto"/>
            <w:vAlign w:val="center"/>
          </w:tcPr>
          <w:p w14:paraId="2A8F9DD5">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50</w:t>
            </w:r>
          </w:p>
        </w:tc>
        <w:tc>
          <w:tcPr>
            <w:tcW w:w="604" w:type="dxa"/>
            <w:shd w:val="clear" w:color="auto" w:fill="auto"/>
            <w:vAlign w:val="center"/>
          </w:tcPr>
          <w:p w14:paraId="0182CC15">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80</w:t>
            </w:r>
          </w:p>
        </w:tc>
        <w:tc>
          <w:tcPr>
            <w:tcW w:w="604" w:type="dxa"/>
            <w:shd w:val="clear" w:color="auto" w:fill="auto"/>
            <w:vAlign w:val="center"/>
          </w:tcPr>
          <w:p w14:paraId="00A0002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color w:val="auto"/>
              </w:rPr>
            </w:pPr>
            <w:r>
              <w:rPr>
                <w:rFonts w:hint="eastAsia" w:ascii="仿宋_GB2312" w:hAnsi="仿宋_GB2312" w:eastAsia="仿宋_GB2312" w:cs="仿宋_GB2312"/>
                <w:b w:val="0"/>
                <w:bCs w:val="0"/>
                <w:color w:val="auto"/>
                <w:spacing w:val="0"/>
                <w:sz w:val="32"/>
                <w:szCs w:val="32"/>
                <w:highlight w:val="none"/>
                <w:vertAlign w:val="baseline"/>
                <w:lang w:val="en-US" w:eastAsia="zh-CN"/>
              </w:rPr>
              <w:t>80</w:t>
            </w:r>
          </w:p>
        </w:tc>
        <w:tc>
          <w:tcPr>
            <w:tcW w:w="1427" w:type="dxa"/>
            <w:gridSpan w:val="3"/>
            <w:shd w:val="clear" w:color="auto" w:fill="auto"/>
            <w:vAlign w:val="center"/>
          </w:tcPr>
          <w:p w14:paraId="130D1A6F">
            <w:pPr>
              <w:keepNext w:val="0"/>
              <w:keepLines w:val="0"/>
              <w:pageBreakBefore w:val="0"/>
              <w:widowControl/>
              <w:kinsoku/>
              <w:wordWrap/>
              <w:overflowPunct w:val="0"/>
              <w:topLinePunct w:val="0"/>
              <w:autoSpaceDE/>
              <w:autoSpaceDN/>
              <w:bidi w:val="0"/>
              <w:adjustRightInd/>
              <w:snapToGrid/>
              <w:spacing w:line="240" w:lineRule="auto"/>
              <w:jc w:val="center"/>
              <w:textAlignment w:val="auto"/>
              <w:rPr>
                <w:color w:val="auto"/>
              </w:rPr>
            </w:pPr>
            <w:r>
              <w:rPr>
                <w:rFonts w:hint="eastAsia" w:ascii="仿宋_GB2312" w:hAnsi="仿宋_GB2312" w:eastAsia="仿宋_GB2312" w:cs="仿宋_GB2312"/>
                <w:b w:val="0"/>
                <w:bCs w:val="0"/>
                <w:color w:val="auto"/>
                <w:spacing w:val="0"/>
                <w:sz w:val="32"/>
                <w:szCs w:val="32"/>
                <w:highlight w:val="none"/>
                <w:vertAlign w:val="baseline"/>
                <w:lang w:val="en-US" w:eastAsia="zh-CN"/>
              </w:rPr>
              <w:t>30</w:t>
            </w:r>
          </w:p>
        </w:tc>
        <w:tc>
          <w:tcPr>
            <w:tcW w:w="859" w:type="dxa"/>
            <w:shd w:val="clear" w:color="auto" w:fill="auto"/>
            <w:vAlign w:val="center"/>
          </w:tcPr>
          <w:p w14:paraId="5EF9FAAC">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sz w:val="32"/>
                <w:szCs w:val="32"/>
                <w:highlight w:val="none"/>
                <w:vertAlign w:val="baseline"/>
                <w:lang w:val="en-US" w:eastAsia="zh-CN"/>
              </w:rPr>
            </w:pPr>
            <w:r>
              <w:rPr>
                <w:rFonts w:hint="eastAsia" w:ascii="仿宋_GB2312" w:hAnsi="仿宋_GB2312" w:eastAsia="仿宋_GB2312" w:cs="仿宋_GB2312"/>
                <w:b w:val="0"/>
                <w:bCs w:val="0"/>
                <w:color w:val="auto"/>
                <w:spacing w:val="0"/>
                <w:sz w:val="32"/>
                <w:szCs w:val="32"/>
                <w:highlight w:val="none"/>
                <w:vertAlign w:val="baseline"/>
                <w:lang w:val="en-US" w:eastAsia="zh-CN"/>
              </w:rPr>
              <w:t>760</w:t>
            </w:r>
          </w:p>
        </w:tc>
      </w:tr>
    </w:tbl>
    <w:p w14:paraId="0D066994">
      <w:pPr>
        <w:pStyle w:val="2"/>
        <w:rPr>
          <w:rFonts w:hint="eastAsia"/>
          <w:color w:val="auto"/>
          <w:lang w:val="en-US" w:eastAsia="zh-CN"/>
        </w:rPr>
      </w:pPr>
    </w:p>
    <w:p w14:paraId="131DD976">
      <w:pPr>
        <w:bidi w:val="0"/>
        <w:spacing w:line="240" w:lineRule="auto"/>
        <w:jc w:val="center"/>
        <w:rPr>
          <w:rFonts w:hint="eastAsia" w:ascii="Times New Roman" w:hAnsi="Times New Roman" w:eastAsia="仿宋" w:cs="Times New Roman"/>
          <w:color w:val="auto"/>
          <w:kern w:val="2"/>
          <w:sz w:val="21"/>
          <w:szCs w:val="21"/>
          <w:lang w:val="en-US" w:eastAsia="zh-CN" w:bidi="ar-SA"/>
        </w:rPr>
      </w:pPr>
      <w:r>
        <w:rPr>
          <w:rFonts w:hint="eastAsia" w:ascii="仿宋_GB2312" w:hAnsi="仿宋_GB2312" w:eastAsia="仿宋_GB2312" w:cs="仿宋_GB2312"/>
          <w:b w:val="0"/>
          <w:bCs w:val="0"/>
          <w:color w:val="auto"/>
          <w:spacing w:val="0"/>
          <w:sz w:val="32"/>
          <w:szCs w:val="32"/>
          <w:highlight w:val="none"/>
          <w:lang w:val="en-US" w:eastAsia="zh-CN"/>
        </w:rPr>
        <w:drawing>
          <wp:inline distT="0" distB="0" distL="114300" distR="114300">
            <wp:extent cx="5535930" cy="7073265"/>
            <wp:effectExtent l="0" t="0" r="7620" b="13335"/>
            <wp:docPr id="1" name="图片 1" descr="G:/2024.19. 广州建筑垃圾规划X/【6】增城/2024-12-16【布局图】/增城范围0208.png增城范围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2024.19. 广州建筑垃圾规划X/【6】增城/2024-12-16【布局图】/增城范围0208.png增城范围0208"/>
                    <pic:cNvPicPr>
                      <a:picLocks noChangeAspect="1"/>
                    </pic:cNvPicPr>
                  </pic:nvPicPr>
                  <pic:blipFill>
                    <a:blip r:embed="rId24"/>
                    <a:srcRect l="16379" t="6354" r="34737" b="5312"/>
                    <a:stretch>
                      <a:fillRect/>
                    </a:stretch>
                  </pic:blipFill>
                  <pic:spPr>
                    <a:xfrm>
                      <a:off x="0" y="0"/>
                      <a:ext cx="5535930" cy="7073265"/>
                    </a:xfrm>
                    <a:prstGeom prst="rect">
                      <a:avLst/>
                    </a:prstGeom>
                  </pic:spPr>
                </pic:pic>
              </a:graphicData>
            </a:graphic>
          </wp:inline>
        </w:drawing>
      </w:r>
    </w:p>
    <w:p w14:paraId="610C9C70">
      <w:pPr>
        <w:keepNext w:val="0"/>
        <w:keepLines w:val="0"/>
        <w:pageBreakBefore w:val="0"/>
        <w:widowControl/>
        <w:kinsoku/>
        <w:wordWrap/>
        <w:overflowPunct w:val="0"/>
        <w:topLinePunct w:val="0"/>
        <w:autoSpaceDE/>
        <w:autoSpaceDN/>
        <w:bidi w:val="0"/>
        <w:adjustRightInd/>
        <w:snapToGrid/>
        <w:spacing w:line="600" w:lineRule="exact"/>
        <w:jc w:val="center"/>
        <w:textAlignment w:val="auto"/>
        <w:rPr>
          <w:rFonts w:hint="eastAsia" w:ascii="仿宋_GB2312" w:hAnsi="仿宋_GB2312" w:eastAsia="仿宋_GB2312" w:cs="仿宋_GB2312"/>
          <w:b w:val="0"/>
          <w:bCs w:val="0"/>
          <w:color w:val="auto"/>
          <w:spacing w:val="0"/>
          <w:kern w:val="2"/>
          <w:sz w:val="32"/>
          <w:szCs w:val="32"/>
          <w:highlight w:val="none"/>
          <w:lang w:val="en-US" w:eastAsia="zh-CN" w:bidi="ar-SA"/>
        </w:rPr>
      </w:pPr>
      <w:r>
        <w:rPr>
          <w:rFonts w:hint="eastAsia" w:ascii="仿宋_GB2312" w:hAnsi="仿宋_GB2312" w:eastAsia="仿宋_GB2312" w:cs="仿宋_GB2312"/>
          <w:b w:val="0"/>
          <w:bCs w:val="0"/>
          <w:color w:val="auto"/>
          <w:spacing w:val="0"/>
          <w:kern w:val="2"/>
          <w:sz w:val="32"/>
          <w:szCs w:val="32"/>
          <w:highlight w:val="none"/>
          <w:lang w:val="en-US" w:eastAsia="zh-CN" w:bidi="ar-SA"/>
        </w:rPr>
        <w:t>图2：规划建筑废垃圾处置设施覆盖范围图</w:t>
      </w:r>
    </w:p>
    <w:p w14:paraId="27882F0F">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10" w:name="_Toc16956"/>
      <w:r>
        <w:rPr>
          <w:rFonts w:hint="eastAsia" w:ascii="Times New Roman" w:hAnsi="Times New Roman" w:cs="楷体_GB2312"/>
          <w:b/>
          <w:bCs w:val="0"/>
          <w:color w:val="auto"/>
          <w:spacing w:val="0"/>
          <w:kern w:val="2"/>
          <w:sz w:val="32"/>
          <w:szCs w:val="32"/>
          <w:highlight w:val="none"/>
          <w:lang w:val="en-US" w:eastAsia="zh-CN" w:bidi="ar-SA"/>
        </w:rPr>
        <w:t>资源化利用项目运营与监督管理要求</w:t>
      </w:r>
      <w:bookmarkEnd w:id="106"/>
      <w:bookmarkEnd w:id="107"/>
      <w:bookmarkEnd w:id="108"/>
      <w:bookmarkEnd w:id="109"/>
      <w:bookmarkEnd w:id="110"/>
    </w:p>
    <w:p w14:paraId="596EB5D5">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w:t>
      </w:r>
      <w:r>
        <w:rPr>
          <w:rFonts w:hint="eastAsia" w:ascii="仿宋_GB2312" w:hAnsi="仿宋_GB2312" w:eastAsia="仿宋_GB2312" w:cs="仿宋_GB2312"/>
          <w:b w:val="0"/>
          <w:bCs w:val="0"/>
          <w:color w:val="auto"/>
          <w:spacing w:val="0"/>
          <w:sz w:val="32"/>
          <w:szCs w:val="32"/>
          <w:highlight w:val="none"/>
          <w:lang w:val="en-US" w:eastAsia="zh-CN"/>
        </w:rPr>
        <w:t>资源化利用项目</w:t>
      </w:r>
      <w:r>
        <w:rPr>
          <w:rFonts w:hint="eastAsia" w:ascii="仿宋_GB2312" w:hAnsi="仿宋_GB2312" w:eastAsia="仿宋_GB2312" w:cs="仿宋_GB2312"/>
          <w:color w:val="auto"/>
          <w:spacing w:val="0"/>
          <w:sz w:val="32"/>
          <w:szCs w:val="32"/>
          <w:highlight w:val="none"/>
          <w:lang w:val="en-US" w:eastAsia="zh-CN"/>
        </w:rPr>
        <w:t>应遵守下列规定：（1）建立规范完整的生产台账，并定期向</w:t>
      </w:r>
      <w:r>
        <w:rPr>
          <w:rFonts w:hint="eastAsia" w:ascii="仿宋_GB2312" w:hAnsi="仿宋_GB2312" w:eastAsia="仿宋_GB2312" w:cs="仿宋_GB2312"/>
          <w:color w:val="auto"/>
          <w:sz w:val="32"/>
          <w:szCs w:val="32"/>
          <w:highlight w:val="none"/>
          <w:lang w:val="en-US" w:eastAsia="zh-CN"/>
        </w:rPr>
        <w:t>区级建筑垃圾主管部门</w:t>
      </w:r>
      <w:r>
        <w:rPr>
          <w:rFonts w:hint="eastAsia" w:ascii="仿宋_GB2312" w:hAnsi="仿宋_GB2312" w:eastAsia="仿宋_GB2312" w:cs="仿宋_GB2312"/>
          <w:color w:val="auto"/>
          <w:spacing w:val="0"/>
          <w:sz w:val="32"/>
          <w:szCs w:val="32"/>
          <w:highlight w:val="none"/>
          <w:lang w:val="en-US" w:eastAsia="zh-CN"/>
        </w:rPr>
        <w:t>报送数据；（2）建立生产质量管理体系，综合利用产品应当符合国家和地方的产业政策、建材革新的有关规定以及产品质量标准；（3）不得以其他原料代替建筑垃圾作为综合利用产品主要原料；（4）建立安全管理制度，采取有效措施保障安全生产，防止环境污染、水土流失或者其他危害；（5）法律、法规、规章规定的其他要求。</w:t>
      </w:r>
    </w:p>
    <w:p w14:paraId="11046BD4">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11" w:name="_Toc2831"/>
      <w:bookmarkStart w:id="112" w:name="_Toc17854"/>
      <w:bookmarkStart w:id="113" w:name="_Toc25211"/>
      <w:bookmarkStart w:id="114" w:name="_Toc16821"/>
      <w:bookmarkStart w:id="115" w:name="_Toc28835"/>
      <w:r>
        <w:rPr>
          <w:rFonts w:hint="eastAsia" w:ascii="Times New Roman" w:hAnsi="Times New Roman" w:cs="楷体_GB2312"/>
          <w:b/>
          <w:bCs w:val="0"/>
          <w:color w:val="auto"/>
          <w:spacing w:val="0"/>
          <w:kern w:val="2"/>
          <w:sz w:val="32"/>
          <w:szCs w:val="32"/>
          <w:highlight w:val="none"/>
          <w:lang w:val="en-US" w:eastAsia="zh-CN" w:bidi="ar-SA"/>
        </w:rPr>
        <w:t>资源化利用扶持政策</w:t>
      </w:r>
      <w:bookmarkEnd w:id="111"/>
      <w:bookmarkEnd w:id="112"/>
      <w:bookmarkEnd w:id="113"/>
      <w:bookmarkEnd w:id="114"/>
      <w:bookmarkEnd w:id="115"/>
    </w:p>
    <w:p w14:paraId="1A60AE33">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1.产业落地保障：</w:t>
      </w:r>
      <w:r>
        <w:rPr>
          <w:rFonts w:hint="eastAsia" w:ascii="仿宋_GB2312" w:hAnsi="仿宋_GB2312" w:eastAsia="仿宋_GB2312" w:cs="仿宋_GB2312"/>
          <w:color w:val="auto"/>
          <w:spacing w:val="0"/>
          <w:sz w:val="32"/>
          <w:szCs w:val="32"/>
          <w:highlight w:val="none"/>
          <w:lang w:val="en-US" w:eastAsia="zh-CN"/>
        </w:rPr>
        <w:t>制定并实施产业落地保障政策，包括提供土地、厂房、基础设施等方面的支持，为建筑垃圾资源化利用产业的发展提供必要的条件和保障。通过积极引导和扶持，鼓励企业投资建设垃圾</w:t>
      </w:r>
      <w:r>
        <w:rPr>
          <w:rFonts w:hint="eastAsia" w:ascii="仿宋_GB2312" w:hAnsi="仿宋_GB2312" w:eastAsia="仿宋_GB2312" w:cs="仿宋_GB2312"/>
          <w:b w:val="0"/>
          <w:bCs w:val="0"/>
          <w:color w:val="auto"/>
          <w:spacing w:val="0"/>
          <w:sz w:val="32"/>
          <w:szCs w:val="32"/>
          <w:highlight w:val="none"/>
          <w:lang w:val="en-US" w:eastAsia="zh-CN"/>
        </w:rPr>
        <w:t>资源化利用项目</w:t>
      </w:r>
      <w:r>
        <w:rPr>
          <w:rFonts w:hint="eastAsia" w:ascii="仿宋_GB2312" w:hAnsi="仿宋_GB2312" w:eastAsia="仿宋_GB2312" w:cs="仿宋_GB2312"/>
          <w:color w:val="auto"/>
          <w:spacing w:val="0"/>
          <w:sz w:val="32"/>
          <w:szCs w:val="32"/>
          <w:highlight w:val="none"/>
          <w:lang w:val="en-US" w:eastAsia="zh-CN"/>
        </w:rPr>
        <w:t>，推动产业链的延伸和完善。</w:t>
      </w:r>
    </w:p>
    <w:p w14:paraId="1BB22E11">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2.产品推广应用：</w:t>
      </w:r>
      <w:r>
        <w:rPr>
          <w:rFonts w:hint="eastAsia" w:ascii="仿宋_GB2312" w:hAnsi="仿宋_GB2312" w:eastAsia="仿宋_GB2312" w:cs="仿宋_GB2312"/>
          <w:color w:val="auto"/>
          <w:spacing w:val="0"/>
          <w:sz w:val="32"/>
          <w:szCs w:val="32"/>
          <w:highlight w:val="none"/>
          <w:lang w:val="en-US" w:eastAsia="zh-CN"/>
        </w:rPr>
        <w:t>积极推广建筑垃圾综合利用产品的应用，包括广泛宣传建筑垃圾综合利用产品的优点和特性，加强与建筑、市政等领域的合作，推动建筑垃圾综合利用产品在建筑工程和市政工程中的应用。同时，鼓励和支持企业开展产品技术改进和创新，提高产品的品质和性能，满足市场和用户的需求。</w:t>
      </w:r>
    </w:p>
    <w:p w14:paraId="116FE3F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在政府资金建设项目中设定建筑垃圾综合利用产品的最低使用比例，鼓励和引导项目施工单位和相关企业采用建筑垃圾综合利用产品，促进建筑垃圾资源化利用产业的发展和综合利用产品的推广应用。市政工程、园林工程、道路（公路）工程、水务工程等项目，在可使用再生建材部位使用再生建材占同类建材产品的比例应不低于30%；财政和国有资金的房屋建筑工程、保障性住房、绿色建筑等项目，在可使用再生建材部位使用再生建材占同类建材产品的比例应不低于15%。</w:t>
      </w:r>
    </w:p>
    <w:p w14:paraId="6DDEA888">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3.产业发展政策：</w:t>
      </w:r>
      <w:r>
        <w:rPr>
          <w:rFonts w:hint="eastAsia" w:ascii="仿宋_GB2312" w:hAnsi="仿宋_GB2312" w:eastAsia="仿宋_GB2312" w:cs="仿宋_GB2312"/>
          <w:color w:val="auto"/>
          <w:spacing w:val="0"/>
          <w:sz w:val="32"/>
          <w:szCs w:val="32"/>
          <w:highlight w:val="none"/>
          <w:lang w:val="en-US" w:eastAsia="zh-CN"/>
        </w:rPr>
        <w:t>出台产业发展政策，包括税收优惠、财政补贴、信贷支持等方面的扶持措施，为建筑垃圾资源化利用产业的发展提供政策支持和资金保障。</w:t>
      </w:r>
    </w:p>
    <w:p w14:paraId="30D0E3E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p>
    <w:p w14:paraId="7D772CD9">
      <w:pPr>
        <w:pStyle w:val="3"/>
        <w:bidi w:val="0"/>
        <w:ind w:left="420" w:leftChars="0" w:firstLine="220" w:firstLineChars="0"/>
        <w:rPr>
          <w:rFonts w:hint="default" w:ascii="Times New Roman" w:hAnsi="Times New Roman"/>
          <w:b/>
          <w:bCs/>
          <w:color w:val="auto"/>
          <w:spacing w:val="0"/>
          <w:highlight w:val="none"/>
          <w:lang w:val="en-US" w:eastAsia="zh-CN"/>
        </w:rPr>
      </w:pPr>
      <w:bookmarkStart w:id="116" w:name="_Toc12597"/>
      <w:bookmarkStart w:id="117" w:name="_Toc2238"/>
      <w:r>
        <w:rPr>
          <w:rFonts w:hint="eastAsia" w:ascii="Times New Roman" w:hAnsi="Times New Roman" w:eastAsia="黑体" w:cs="黑体"/>
          <w:b/>
          <w:bCs/>
          <w:color w:val="auto"/>
          <w:spacing w:val="0"/>
          <w:sz w:val="32"/>
          <w:szCs w:val="32"/>
          <w:highlight w:val="none"/>
          <w:lang w:val="en-US" w:eastAsia="zh-CN"/>
        </w:rPr>
        <w:t>末端消纳与跨区域处置污染防治策略</w:t>
      </w:r>
      <w:bookmarkEnd w:id="116"/>
      <w:bookmarkEnd w:id="117"/>
    </w:p>
    <w:p w14:paraId="34ABFB9D">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18" w:name="_Toc2346"/>
      <w:bookmarkStart w:id="119" w:name="_Toc26156"/>
      <w:bookmarkStart w:id="120" w:name="_Toc17834"/>
      <w:bookmarkStart w:id="121" w:name="_Toc28581"/>
      <w:bookmarkStart w:id="122" w:name="_Toc3091"/>
      <w:r>
        <w:rPr>
          <w:rFonts w:hint="eastAsia" w:ascii="Times New Roman" w:hAnsi="Times New Roman" w:cs="楷体_GB2312"/>
          <w:b/>
          <w:bCs w:val="0"/>
          <w:color w:val="auto"/>
          <w:spacing w:val="0"/>
          <w:kern w:val="2"/>
          <w:sz w:val="32"/>
          <w:szCs w:val="32"/>
          <w:highlight w:val="none"/>
          <w:lang w:val="en-US" w:eastAsia="zh-CN" w:bidi="ar-SA"/>
        </w:rPr>
        <w:t>无害化处置策略与原则</w:t>
      </w:r>
      <w:bookmarkEnd w:id="118"/>
      <w:bookmarkEnd w:id="119"/>
      <w:bookmarkEnd w:id="120"/>
      <w:bookmarkEnd w:id="121"/>
      <w:bookmarkEnd w:id="122"/>
    </w:p>
    <w:p w14:paraId="2F2D014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规划采用“源头减量、回用为主、资源利用、消纳兜底”的方式进行分区域协同处理建筑垃圾。建筑垃圾应优先就地利用，鼓励具备条件的施工单位，在工程红线内建设建筑垃圾筛分、破碎生产线，在现场将满足质量要求的余料根据实际需求加工成各种工程材料，对建筑垃圾实施就地处置。其他不具备就地利用条件的建筑垃圾应分类收运、分类处理，传统的废砖瓦、砖块及泥土等采用直接回用、资源化利用（如制作环保砖、混合砂浆、骨料等）等方式进行资源化利用；建筑垃圾中不能回收利用的部分应分类预处理后，进入建筑垃圾消纳场或资源热力电厂，属于危险废物的须交由具备相应危险废物经营资质的单位处理，最终实现无害化。</w:t>
      </w:r>
    </w:p>
    <w:p w14:paraId="2C471561">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23" w:name="_Toc18178"/>
      <w:bookmarkStart w:id="124" w:name="_Toc4396"/>
      <w:bookmarkStart w:id="125" w:name="_Toc6401"/>
      <w:bookmarkStart w:id="126" w:name="_Toc26117"/>
      <w:bookmarkStart w:id="127" w:name="_Toc26539"/>
      <w:r>
        <w:rPr>
          <w:rFonts w:hint="eastAsia" w:ascii="Times New Roman" w:hAnsi="Times New Roman" w:cs="楷体_GB2312"/>
          <w:b/>
          <w:bCs w:val="0"/>
          <w:color w:val="auto"/>
          <w:spacing w:val="0"/>
          <w:kern w:val="2"/>
          <w:sz w:val="32"/>
          <w:szCs w:val="32"/>
          <w:highlight w:val="none"/>
          <w:lang w:val="en-US" w:eastAsia="zh-CN" w:bidi="ar-SA"/>
        </w:rPr>
        <w:t>消纳场选址与建设要求</w:t>
      </w:r>
      <w:bookmarkEnd w:id="123"/>
      <w:bookmarkEnd w:id="124"/>
      <w:bookmarkEnd w:id="125"/>
      <w:bookmarkEnd w:id="126"/>
      <w:bookmarkEnd w:id="127"/>
    </w:p>
    <w:p w14:paraId="2892CEA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鼓励依法依规充分利用采石场、废弃矿坑等现有条件建设建筑垃圾消纳场。有条件的地区可将消纳场与</w:t>
      </w:r>
      <w:r>
        <w:rPr>
          <w:rFonts w:hint="eastAsia" w:ascii="仿宋_GB2312" w:hAnsi="仿宋_GB2312" w:eastAsia="仿宋_GB2312" w:cs="仿宋_GB2312"/>
          <w:b w:val="0"/>
          <w:bCs w:val="0"/>
          <w:color w:val="auto"/>
          <w:spacing w:val="0"/>
          <w:sz w:val="32"/>
          <w:szCs w:val="32"/>
          <w:highlight w:val="none"/>
          <w:lang w:val="en-US" w:eastAsia="zh-CN"/>
        </w:rPr>
        <w:t>资源化利用项目</w:t>
      </w:r>
      <w:r>
        <w:rPr>
          <w:rFonts w:hint="eastAsia" w:ascii="仿宋_GB2312" w:hAnsi="仿宋_GB2312" w:eastAsia="仿宋_GB2312" w:cs="仿宋_GB2312"/>
          <w:color w:val="auto"/>
          <w:spacing w:val="0"/>
          <w:sz w:val="32"/>
          <w:szCs w:val="32"/>
          <w:highlight w:val="none"/>
          <w:lang w:val="en-US" w:eastAsia="zh-CN"/>
        </w:rPr>
        <w:t>统筹建设。选址及建设应依法依规，应符合《建筑垃圾处理技术标准》（CJJ/T 134）、《建筑余泥渣土受纳场建设技术规范》（DBJ/T 15-118）、《广东省“三线一单”生态环境分区管控方案》（粤府﹝2020﹞71号）、《广州市人民政府关于印发广州市生态环境分区管控方案（2024年修订）的通知》（穗府规〔2024〕4号）、《广东省水污染防治条例》等相关文件要求。禁止在东江干流和一级支流两岸最高水位线水平外延五百米范围内新建废弃物堆放场和处理场。</w:t>
      </w:r>
    </w:p>
    <w:p w14:paraId="4D21FC50">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28" w:name="_Toc6525"/>
      <w:r>
        <w:rPr>
          <w:rFonts w:hint="eastAsia" w:ascii="Times New Roman" w:hAnsi="Times New Roman" w:cs="楷体_GB2312"/>
          <w:b/>
          <w:bCs w:val="0"/>
          <w:color w:val="auto"/>
          <w:spacing w:val="0"/>
          <w:kern w:val="2"/>
          <w:sz w:val="32"/>
          <w:szCs w:val="32"/>
          <w:highlight w:val="none"/>
          <w:lang w:val="en-US" w:eastAsia="zh-CN" w:bidi="ar-SA"/>
        </w:rPr>
        <w:t>固定式消纳场建设规划</w:t>
      </w:r>
      <w:bookmarkEnd w:id="128"/>
    </w:p>
    <w:p w14:paraId="772050BA">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建筑垃圾宜优先考虑综合利用，符合条件的工程渣土可用于工程回填、土地平整等，消纳场作为安全保障及兜底设施。进入堆填场的工程渣土等，可因地制宜开展回用，腾退消纳场消纳容量，并延长其使用年限。</w:t>
      </w:r>
    </w:p>
    <w:p w14:paraId="67E044A5">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目前，增城区共有建筑垃圾消纳场1座，总设计库容500万立方米，总剩余库容499万立方米。</w:t>
      </w:r>
    </w:p>
    <w:p w14:paraId="06868750">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全区建筑垃圾工程回填/土地平整量2020年为1199.84万立方米，2021年为1241.52万立方米，2022年为662.55万立方米，2023年为905.79万立方米。结合增城的规划发展，预测规划期的工程回填/土地平整需求：2025年为1000万立方米；2026年为1050万立方米。2020年至2023年，增城区未有跨市处置建筑垃圾的情况。综上，工</w:t>
      </w:r>
      <w:r>
        <w:rPr>
          <w:rFonts w:hint="eastAsia" w:ascii="Times New Roman" w:hAnsi="Times New Roman" w:eastAsia="仿宋_GB2312" w:cs="仿宋_GB2312"/>
          <w:color w:val="auto"/>
          <w:spacing w:val="0"/>
          <w:sz w:val="32"/>
          <w:szCs w:val="32"/>
          <w:highlight w:val="none"/>
          <w:lang w:val="en-US" w:eastAsia="zh-CN"/>
        </w:rPr>
        <w:t>程回填/土地平整及跨市处置情况预测情况如下</w:t>
      </w:r>
      <w:r>
        <w:rPr>
          <w:rFonts w:hint="eastAsia" w:ascii="仿宋_GB2312" w:hAnsi="仿宋_GB2312" w:eastAsia="仿宋_GB2312" w:cs="仿宋_GB2312"/>
          <w:color w:val="auto"/>
          <w:spacing w:val="0"/>
          <w:sz w:val="32"/>
          <w:szCs w:val="32"/>
          <w:highlight w:val="none"/>
          <w:lang w:val="en-US" w:eastAsia="zh-CN"/>
        </w:rPr>
        <w:t>：</w:t>
      </w:r>
    </w:p>
    <w:p w14:paraId="7596FCDE">
      <w:pPr>
        <w:pStyle w:val="65"/>
        <w:keepNext w:val="0"/>
        <w:keepLines w:val="0"/>
        <w:pageBreakBefore w:val="0"/>
        <w:widowControl/>
        <w:numPr>
          <w:ilvl w:val="0"/>
          <w:numId w:val="6"/>
        </w:numPr>
        <w:shd w:val="clear" w:color="auto" w:fill="auto"/>
        <w:kinsoku/>
        <w:wordWrap/>
        <w:overflowPunct w:val="0"/>
        <w:topLinePunct w:val="0"/>
        <w:autoSpaceDE/>
        <w:autoSpaceDN/>
        <w:bidi w:val="0"/>
        <w:adjustRightInd/>
        <w:snapToGrid/>
        <w:spacing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工程回填及</w:t>
      </w:r>
      <w:r>
        <w:rPr>
          <w:rFonts w:hint="eastAsia" w:ascii="Times New Roman" w:hAnsi="Times New Roman" w:eastAsia="仿宋_GB2312" w:cs="仿宋_GB2312"/>
          <w:b/>
          <w:bCs/>
          <w:color w:val="auto"/>
          <w:spacing w:val="0"/>
          <w:kern w:val="2"/>
          <w:sz w:val="28"/>
          <w:szCs w:val="28"/>
          <w:highlight w:val="none"/>
          <w:lang w:val="en-US" w:eastAsia="zh-CN" w:bidi="ar-SA"/>
        </w:rPr>
        <w:t>固定式消纳场</w:t>
      </w:r>
      <w:r>
        <w:rPr>
          <w:rFonts w:hint="eastAsia" w:ascii="仿宋_GB2312" w:hAnsi="仿宋_GB2312" w:cs="仿宋_GB2312"/>
          <w:b/>
          <w:bCs/>
          <w:color w:val="auto"/>
          <w:spacing w:val="0"/>
          <w:kern w:val="2"/>
          <w:sz w:val="28"/>
          <w:szCs w:val="28"/>
          <w:highlight w:val="none"/>
          <w:lang w:val="en-US" w:eastAsia="zh-CN" w:bidi="ar-SA"/>
        </w:rPr>
        <w:t>需求</w:t>
      </w:r>
      <w:r>
        <w:rPr>
          <w:rFonts w:hint="eastAsia" w:ascii="仿宋_GB2312" w:hAnsi="仿宋_GB2312" w:eastAsia="仿宋_GB2312" w:cs="仿宋_GB2312"/>
          <w:b/>
          <w:bCs/>
          <w:color w:val="auto"/>
          <w:spacing w:val="0"/>
          <w:kern w:val="2"/>
          <w:sz w:val="28"/>
          <w:szCs w:val="28"/>
          <w:highlight w:val="none"/>
          <w:lang w:val="en-US" w:eastAsia="zh-CN" w:bidi="ar-SA"/>
        </w:rPr>
        <w:t>一览表（单位：万立方米/年）</w:t>
      </w:r>
    </w:p>
    <w:tbl>
      <w:tblPr>
        <w:tblStyle w:val="44"/>
        <w:tblW w:w="4993" w:type="pct"/>
        <w:jc w:val="center"/>
        <w:tblLayout w:type="fixed"/>
        <w:tblCellMar>
          <w:top w:w="0" w:type="dxa"/>
          <w:left w:w="108" w:type="dxa"/>
          <w:bottom w:w="0" w:type="dxa"/>
          <w:right w:w="108" w:type="dxa"/>
        </w:tblCellMar>
      </w:tblPr>
      <w:tblGrid>
        <w:gridCol w:w="2595"/>
        <w:gridCol w:w="2113"/>
        <w:gridCol w:w="2113"/>
        <w:gridCol w:w="2114"/>
      </w:tblGrid>
      <w:tr w14:paraId="315EC2B8">
        <w:tblPrEx>
          <w:tblCellMar>
            <w:top w:w="0" w:type="dxa"/>
            <w:left w:w="108" w:type="dxa"/>
            <w:bottom w:w="0" w:type="dxa"/>
            <w:right w:w="108" w:type="dxa"/>
          </w:tblCellMar>
        </w:tblPrEx>
        <w:trPr>
          <w:trHeight w:val="835" w:hRule="atLeast"/>
          <w:tblHeader/>
          <w:jc w:val="center"/>
        </w:trPr>
        <w:tc>
          <w:tcPr>
            <w:tcW w:w="1452" w:type="pct"/>
            <w:tcBorders>
              <w:top w:val="single" w:color="000000" w:sz="4" w:space="0"/>
              <w:left w:val="single" w:color="000000" w:sz="4" w:space="0"/>
              <w:bottom w:val="single" w:color="000000" w:sz="4" w:space="0"/>
              <w:right w:val="single" w:color="000000" w:sz="4" w:space="0"/>
            </w:tcBorders>
            <w:noWrap/>
            <w:vAlign w:val="center"/>
          </w:tcPr>
          <w:p w14:paraId="0BBC893E">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规划期限</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4862AE5C">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工程回填/</w:t>
            </w:r>
          </w:p>
          <w:p w14:paraId="72392904">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土地平整</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3F0A904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跨市处置</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5C07D6E5">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合计</w:t>
            </w:r>
          </w:p>
        </w:tc>
      </w:tr>
      <w:tr w14:paraId="2148D62F">
        <w:tblPrEx>
          <w:tblCellMar>
            <w:top w:w="0" w:type="dxa"/>
            <w:left w:w="108" w:type="dxa"/>
            <w:bottom w:w="0" w:type="dxa"/>
            <w:right w:w="108" w:type="dxa"/>
          </w:tblCellMar>
        </w:tblPrEx>
        <w:trPr>
          <w:trHeight w:val="835" w:hRule="atLeast"/>
          <w:jc w:val="center"/>
        </w:trPr>
        <w:tc>
          <w:tcPr>
            <w:tcW w:w="1452" w:type="pct"/>
            <w:tcBorders>
              <w:top w:val="single" w:color="000000" w:sz="4" w:space="0"/>
              <w:left w:val="single" w:color="000000" w:sz="4" w:space="0"/>
              <w:bottom w:val="single" w:color="000000" w:sz="4" w:space="0"/>
              <w:right w:val="single" w:color="000000" w:sz="4" w:space="0"/>
            </w:tcBorders>
            <w:noWrap/>
            <w:vAlign w:val="center"/>
          </w:tcPr>
          <w:p w14:paraId="442739E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2025年</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76DACC6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 xml:space="preserve">1000 </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68540A9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2718A173">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1000</w:t>
            </w:r>
          </w:p>
        </w:tc>
      </w:tr>
      <w:tr w14:paraId="583B5911">
        <w:tblPrEx>
          <w:tblCellMar>
            <w:top w:w="0" w:type="dxa"/>
            <w:left w:w="108" w:type="dxa"/>
            <w:bottom w:w="0" w:type="dxa"/>
            <w:right w:w="108" w:type="dxa"/>
          </w:tblCellMar>
        </w:tblPrEx>
        <w:trPr>
          <w:trHeight w:val="835" w:hRule="atLeast"/>
          <w:jc w:val="center"/>
        </w:trPr>
        <w:tc>
          <w:tcPr>
            <w:tcW w:w="1452" w:type="pct"/>
            <w:tcBorders>
              <w:top w:val="single" w:color="000000" w:sz="4" w:space="0"/>
              <w:left w:val="single" w:color="000000" w:sz="4" w:space="0"/>
              <w:bottom w:val="single" w:color="000000" w:sz="4" w:space="0"/>
              <w:right w:val="single" w:color="000000" w:sz="4" w:space="0"/>
            </w:tcBorders>
            <w:noWrap/>
            <w:vAlign w:val="center"/>
          </w:tcPr>
          <w:p w14:paraId="366BFC29">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2026年</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6B9023E6">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1050</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2CD2C0DD">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19C11022">
            <w:pPr>
              <w:keepNext w:val="0"/>
              <w:keepLines w:val="0"/>
              <w:pageBreakBefore w:val="0"/>
              <w:widowControl/>
              <w:shd w:val="clear" w:color="auto" w:fill="auto"/>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1050</w:t>
            </w:r>
          </w:p>
        </w:tc>
      </w:tr>
    </w:tbl>
    <w:p w14:paraId="3778C6D3">
      <w:pPr>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br w:type="page"/>
      </w:r>
    </w:p>
    <w:p w14:paraId="2A49E25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规划保留现状固定式建筑垃圾消纳场，剩余库容499万立方米，</w:t>
      </w:r>
      <w:r>
        <w:rPr>
          <w:rFonts w:hint="eastAsia" w:ascii="仿宋_GB2312" w:hAnsi="仿宋_GB2312" w:eastAsia="仿宋_GB2312" w:cs="仿宋_GB2312"/>
          <w:color w:val="auto"/>
          <w:spacing w:val="0"/>
          <w:kern w:val="2"/>
          <w:sz w:val="32"/>
          <w:szCs w:val="32"/>
          <w:highlight w:val="none"/>
          <w:lang w:val="en-US" w:eastAsia="zh-CN" w:bidi="ar-SA"/>
        </w:rPr>
        <w:t>预测至</w:t>
      </w:r>
      <w:r>
        <w:rPr>
          <w:rFonts w:hint="eastAsia" w:ascii="仿宋_GB2312" w:hAnsi="仿宋_GB2312" w:cs="仿宋_GB2312"/>
          <w:color w:val="auto"/>
          <w:spacing w:val="0"/>
          <w:kern w:val="2"/>
          <w:sz w:val="32"/>
          <w:szCs w:val="32"/>
          <w:highlight w:val="none"/>
          <w:lang w:val="en-US" w:eastAsia="zh-CN" w:bidi="ar-SA"/>
        </w:rPr>
        <w:t>规划期末（</w:t>
      </w:r>
      <w:r>
        <w:rPr>
          <w:rFonts w:hint="eastAsia" w:ascii="仿宋_GB2312" w:hAnsi="仿宋_GB2312" w:eastAsia="仿宋_GB2312" w:cs="仿宋_GB2312"/>
          <w:color w:val="auto"/>
          <w:spacing w:val="0"/>
          <w:kern w:val="2"/>
          <w:sz w:val="32"/>
          <w:szCs w:val="32"/>
          <w:highlight w:val="none"/>
          <w:lang w:val="en-US" w:eastAsia="zh-CN" w:bidi="ar-SA"/>
        </w:rPr>
        <w:t>2026年</w:t>
      </w:r>
      <w:r>
        <w:rPr>
          <w:rFonts w:hint="eastAsia" w:ascii="仿宋_GB2312" w:hAnsi="仿宋_GB2312" w:cs="仿宋_GB2312"/>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kern w:val="2"/>
          <w:sz w:val="32"/>
          <w:szCs w:val="32"/>
          <w:highlight w:val="none"/>
          <w:lang w:val="en-US" w:eastAsia="zh-CN" w:bidi="ar-SA"/>
        </w:rPr>
        <w:t>全区建筑垃圾产生量</w:t>
      </w:r>
      <w:r>
        <w:rPr>
          <w:rFonts w:hint="eastAsia" w:ascii="仿宋_GB2312" w:hAnsi="仿宋_GB2312" w:cs="仿宋_GB2312"/>
          <w:color w:val="auto"/>
          <w:spacing w:val="0"/>
          <w:kern w:val="2"/>
          <w:sz w:val="32"/>
          <w:szCs w:val="32"/>
          <w:highlight w:val="none"/>
          <w:lang w:val="en-US" w:eastAsia="zh-CN" w:bidi="ar-SA"/>
        </w:rPr>
        <w:t>1616.23</w:t>
      </w:r>
      <w:r>
        <w:rPr>
          <w:rFonts w:hint="eastAsia" w:ascii="仿宋_GB2312" w:hAnsi="仿宋_GB2312" w:eastAsia="仿宋_GB2312" w:cs="仿宋_GB2312"/>
          <w:color w:val="auto"/>
          <w:spacing w:val="0"/>
          <w:kern w:val="2"/>
          <w:sz w:val="32"/>
          <w:szCs w:val="32"/>
          <w:highlight w:val="none"/>
          <w:lang w:val="en-US" w:eastAsia="zh-CN" w:bidi="ar-SA"/>
        </w:rPr>
        <w:t>万立方米</w:t>
      </w:r>
      <w:r>
        <w:rPr>
          <w:rFonts w:hint="eastAsia" w:ascii="仿宋_GB2312" w:hAnsi="仿宋_GB2312" w:cs="仿宋_GB2312"/>
          <w:color w:val="auto"/>
          <w:spacing w:val="0"/>
          <w:kern w:val="2"/>
          <w:sz w:val="32"/>
          <w:szCs w:val="32"/>
          <w:highlight w:val="none"/>
          <w:lang w:val="en-US" w:eastAsia="zh-CN" w:bidi="ar-SA"/>
        </w:rPr>
        <w:t>/年，</w:t>
      </w:r>
      <w:r>
        <w:rPr>
          <w:rFonts w:hint="eastAsia" w:ascii="仿宋_GB2312" w:hAnsi="仿宋_GB2312" w:eastAsia="仿宋_GB2312" w:cs="仿宋_GB2312"/>
          <w:color w:val="auto"/>
          <w:spacing w:val="0"/>
          <w:sz w:val="32"/>
          <w:szCs w:val="32"/>
          <w:highlight w:val="none"/>
          <w:lang w:val="en-US" w:eastAsia="zh-CN"/>
        </w:rPr>
        <w:t>按工程回填/土地平整消纳量为1000万立方米/年考虑，建筑垃圾资源化利用企业整合后规划总体规模为760万立方米/年，按设施负荷率为60%考虑，则现状消纳场使用年限超过3年。增城区固定式建筑垃圾消纳场规划情况如下：</w:t>
      </w:r>
    </w:p>
    <w:p w14:paraId="54AA3D2F">
      <w:pPr>
        <w:pStyle w:val="65"/>
        <w:keepNext w:val="0"/>
        <w:keepLines w:val="0"/>
        <w:pageBreakBefore w:val="0"/>
        <w:widowControl/>
        <w:numPr>
          <w:ilvl w:val="0"/>
          <w:numId w:val="6"/>
        </w:numPr>
        <w:kinsoku/>
        <w:wordWrap/>
        <w:overflowPunct w:val="0"/>
        <w:topLinePunct w:val="0"/>
        <w:autoSpaceDE/>
        <w:autoSpaceDN/>
        <w:bidi w:val="0"/>
        <w:adjustRightInd/>
        <w:snapToGrid/>
        <w:spacing w:after="192" w:afterLines="50" w:line="600" w:lineRule="exact"/>
        <w:ind w:left="0" w:leftChars="0" w:firstLine="0" w:firstLineChars="0"/>
        <w:jc w:val="center"/>
        <w:textAlignment w:val="baseline"/>
        <w:rPr>
          <w:rFonts w:hint="eastAsia" w:ascii="Times New Roman" w:hAnsi="Times New Roman"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 xml:space="preserve"> 固定式消纳场建设规划情况一览表</w:t>
      </w:r>
    </w:p>
    <w:tbl>
      <w:tblPr>
        <w:tblStyle w:val="44"/>
        <w:tblW w:w="9053" w:type="dxa"/>
        <w:jc w:val="center"/>
        <w:tblLayout w:type="fixed"/>
        <w:tblCellMar>
          <w:top w:w="0" w:type="dxa"/>
          <w:left w:w="108" w:type="dxa"/>
          <w:bottom w:w="0" w:type="dxa"/>
          <w:right w:w="108" w:type="dxa"/>
        </w:tblCellMar>
      </w:tblPr>
      <w:tblGrid>
        <w:gridCol w:w="873"/>
        <w:gridCol w:w="2116"/>
        <w:gridCol w:w="1906"/>
        <w:gridCol w:w="1386"/>
        <w:gridCol w:w="1386"/>
        <w:gridCol w:w="1386"/>
      </w:tblGrid>
      <w:tr w14:paraId="5F53D2DE">
        <w:tblPrEx>
          <w:tblCellMar>
            <w:top w:w="0" w:type="dxa"/>
            <w:left w:w="108" w:type="dxa"/>
            <w:bottom w:w="0" w:type="dxa"/>
            <w:right w:w="108" w:type="dxa"/>
          </w:tblCellMar>
        </w:tblPrEx>
        <w:trPr>
          <w:trHeight w:val="535" w:hRule="atLeast"/>
          <w:tblHeader/>
          <w:jc w:val="center"/>
        </w:trPr>
        <w:tc>
          <w:tcPr>
            <w:tcW w:w="873" w:type="dxa"/>
            <w:tcBorders>
              <w:top w:val="single" w:color="000000" w:sz="4" w:space="0"/>
              <w:left w:val="single" w:color="000000" w:sz="4" w:space="0"/>
              <w:right w:val="single" w:color="000000" w:sz="4" w:space="0"/>
            </w:tcBorders>
            <w:noWrap/>
            <w:vAlign w:val="center"/>
          </w:tcPr>
          <w:p w14:paraId="25E0C19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序号</w:t>
            </w:r>
          </w:p>
        </w:tc>
        <w:tc>
          <w:tcPr>
            <w:tcW w:w="2116" w:type="dxa"/>
            <w:tcBorders>
              <w:top w:val="single" w:color="000000" w:sz="4" w:space="0"/>
              <w:left w:val="single" w:color="000000" w:sz="4" w:space="0"/>
              <w:right w:val="single" w:color="000000" w:sz="4" w:space="0"/>
            </w:tcBorders>
            <w:noWrap/>
            <w:vAlign w:val="center"/>
          </w:tcPr>
          <w:p w14:paraId="3AC6301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项目名称</w:t>
            </w:r>
          </w:p>
        </w:tc>
        <w:tc>
          <w:tcPr>
            <w:tcW w:w="1906" w:type="dxa"/>
            <w:tcBorders>
              <w:top w:val="single" w:color="000000" w:sz="4" w:space="0"/>
              <w:left w:val="single" w:color="000000" w:sz="4" w:space="0"/>
              <w:bottom w:val="single" w:color="000000" w:sz="4" w:space="0"/>
              <w:right w:val="single" w:color="000000" w:sz="4" w:space="0"/>
            </w:tcBorders>
            <w:noWrap/>
            <w:vAlign w:val="center"/>
          </w:tcPr>
          <w:p w14:paraId="5152839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项目选址</w:t>
            </w:r>
          </w:p>
        </w:tc>
        <w:tc>
          <w:tcPr>
            <w:tcW w:w="1386" w:type="dxa"/>
            <w:tcBorders>
              <w:top w:val="single" w:color="000000" w:sz="4" w:space="0"/>
              <w:left w:val="single" w:color="000000" w:sz="4" w:space="0"/>
              <w:bottom w:val="single" w:color="000000" w:sz="4" w:space="0"/>
              <w:right w:val="single" w:color="000000" w:sz="4" w:space="0"/>
            </w:tcBorders>
            <w:noWrap/>
            <w:vAlign w:val="center"/>
          </w:tcPr>
          <w:p w14:paraId="73A09B0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建设时间</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4AAB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设计库容</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4B4E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bCs/>
                <w:color w:val="auto"/>
                <w:spacing w:val="0"/>
                <w:kern w:val="2"/>
                <w:sz w:val="28"/>
                <w:szCs w:val="28"/>
                <w:highlight w:val="none"/>
                <w:lang w:val="en-US" w:eastAsia="zh-CN" w:bidi="ar-SA"/>
              </w:rPr>
            </w:pPr>
            <w:r>
              <w:rPr>
                <w:rFonts w:hint="eastAsia" w:ascii="仿宋_GB2312" w:hAnsi="仿宋_GB2312" w:eastAsia="仿宋_GB2312" w:cs="仿宋_GB2312"/>
                <w:b/>
                <w:bCs/>
                <w:color w:val="auto"/>
                <w:spacing w:val="0"/>
                <w:kern w:val="2"/>
                <w:sz w:val="28"/>
                <w:szCs w:val="28"/>
                <w:highlight w:val="none"/>
                <w:lang w:val="en-US" w:eastAsia="zh-CN" w:bidi="ar-SA"/>
              </w:rPr>
              <w:t>剩余库容</w:t>
            </w:r>
          </w:p>
        </w:tc>
      </w:tr>
      <w:tr w14:paraId="6F228736">
        <w:tblPrEx>
          <w:tblCellMar>
            <w:top w:w="0" w:type="dxa"/>
            <w:left w:w="108" w:type="dxa"/>
            <w:bottom w:w="0" w:type="dxa"/>
            <w:right w:w="108" w:type="dxa"/>
          </w:tblCellMar>
        </w:tblPrEx>
        <w:trPr>
          <w:trHeight w:val="1080" w:hRule="atLeast"/>
          <w:jc w:val="center"/>
        </w:trPr>
        <w:tc>
          <w:tcPr>
            <w:tcW w:w="873" w:type="dxa"/>
            <w:tcBorders>
              <w:top w:val="single" w:color="000000" w:sz="4" w:space="0"/>
              <w:left w:val="single" w:color="000000" w:sz="4" w:space="0"/>
              <w:bottom w:val="single" w:color="000000" w:sz="4" w:space="0"/>
              <w:right w:val="single" w:color="000000" w:sz="4" w:space="0"/>
            </w:tcBorders>
            <w:noWrap/>
            <w:vAlign w:val="center"/>
          </w:tcPr>
          <w:p w14:paraId="73AAB8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1</w:t>
            </w:r>
          </w:p>
        </w:tc>
        <w:tc>
          <w:tcPr>
            <w:tcW w:w="2116" w:type="dxa"/>
            <w:tcBorders>
              <w:top w:val="single" w:color="000000" w:sz="4" w:space="0"/>
              <w:left w:val="single" w:color="000000" w:sz="4" w:space="0"/>
              <w:bottom w:val="single" w:color="000000" w:sz="4" w:space="0"/>
              <w:right w:val="single" w:color="000000" w:sz="4" w:space="0"/>
            </w:tcBorders>
            <w:noWrap/>
            <w:vAlign w:val="center"/>
          </w:tcPr>
          <w:p w14:paraId="196724A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吉利石场闭坑复垦和生态</w:t>
            </w:r>
          </w:p>
          <w:p w14:paraId="328E757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修复项目</w:t>
            </w:r>
          </w:p>
        </w:tc>
        <w:tc>
          <w:tcPr>
            <w:tcW w:w="1906" w:type="dxa"/>
            <w:tcBorders>
              <w:top w:val="single" w:color="000000" w:sz="4" w:space="0"/>
              <w:left w:val="single" w:color="000000" w:sz="4" w:space="0"/>
              <w:bottom w:val="single" w:color="000000" w:sz="4" w:space="0"/>
              <w:right w:val="single" w:color="000000" w:sz="4" w:space="0"/>
            </w:tcBorders>
            <w:noWrap/>
            <w:vAlign w:val="center"/>
          </w:tcPr>
          <w:p w14:paraId="7BBB0C3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广州市增城区增江街三江四丰村焦窿</w:t>
            </w:r>
          </w:p>
        </w:tc>
        <w:tc>
          <w:tcPr>
            <w:tcW w:w="1386" w:type="dxa"/>
            <w:tcBorders>
              <w:top w:val="single" w:color="000000" w:sz="4" w:space="0"/>
              <w:left w:val="single" w:color="000000" w:sz="4" w:space="0"/>
              <w:bottom w:val="single" w:color="000000" w:sz="4" w:space="0"/>
              <w:right w:val="single" w:color="000000" w:sz="4" w:space="0"/>
            </w:tcBorders>
            <w:noWrap/>
            <w:vAlign w:val="center"/>
          </w:tcPr>
          <w:p w14:paraId="1358FF6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既有设施</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93B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500</w:t>
            </w:r>
            <w:r>
              <w:rPr>
                <w:rFonts w:hint="default" w:ascii="仿宋_GB2312" w:hAnsi="仿宋_GB2312" w:eastAsia="仿宋_GB2312" w:cs="仿宋_GB2312"/>
                <w:color w:val="auto"/>
                <w:spacing w:val="0"/>
                <w:kern w:val="2"/>
                <w:sz w:val="28"/>
                <w:szCs w:val="28"/>
                <w:highlight w:val="none"/>
                <w:lang w:val="en-US" w:eastAsia="zh-CN" w:bidi="ar-SA"/>
              </w:rPr>
              <w:t>万</w:t>
            </w:r>
          </w:p>
          <w:p w14:paraId="2E2CDE0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仿宋_GB2312"/>
                <w:color w:val="auto"/>
                <w:spacing w:val="0"/>
                <w:kern w:val="2"/>
                <w:sz w:val="28"/>
                <w:szCs w:val="28"/>
                <w:highlight w:val="none"/>
                <w:lang w:val="en-US" w:eastAsia="zh-CN" w:bidi="ar-SA"/>
              </w:rPr>
            </w:pPr>
            <w:r>
              <w:rPr>
                <w:rFonts w:hint="default" w:ascii="仿宋_GB2312" w:hAnsi="仿宋_GB2312" w:eastAsia="仿宋_GB2312" w:cs="仿宋_GB2312"/>
                <w:color w:val="auto"/>
                <w:spacing w:val="0"/>
                <w:kern w:val="2"/>
                <w:sz w:val="28"/>
                <w:szCs w:val="28"/>
                <w:highlight w:val="none"/>
                <w:lang w:val="en-US" w:eastAsia="zh-CN" w:bidi="ar-SA"/>
              </w:rPr>
              <w:t>立方米</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2A1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eastAsia" w:ascii="仿宋_GB2312" w:hAnsi="仿宋_GB2312" w:eastAsia="仿宋_GB2312" w:cs="仿宋_GB2312"/>
                <w:color w:val="auto"/>
                <w:spacing w:val="0"/>
                <w:kern w:val="2"/>
                <w:sz w:val="28"/>
                <w:szCs w:val="28"/>
                <w:highlight w:val="none"/>
                <w:lang w:val="en-US" w:eastAsia="zh-CN" w:bidi="ar-SA"/>
              </w:rPr>
              <w:t>499</w:t>
            </w:r>
            <w:r>
              <w:rPr>
                <w:rFonts w:hint="default" w:ascii="仿宋_GB2312" w:hAnsi="仿宋_GB2312" w:eastAsia="仿宋_GB2312" w:cs="仿宋_GB2312"/>
                <w:color w:val="auto"/>
                <w:spacing w:val="0"/>
                <w:kern w:val="2"/>
                <w:sz w:val="28"/>
                <w:szCs w:val="28"/>
                <w:highlight w:val="none"/>
                <w:lang w:val="en-US" w:eastAsia="zh-CN" w:bidi="ar-SA"/>
              </w:rPr>
              <w:t>万</w:t>
            </w:r>
          </w:p>
          <w:p w14:paraId="5D1CFE9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仿宋_GB2312" w:eastAsia="仿宋_GB2312" w:cs="仿宋_GB2312"/>
                <w:color w:val="auto"/>
                <w:spacing w:val="0"/>
                <w:kern w:val="2"/>
                <w:sz w:val="28"/>
                <w:szCs w:val="28"/>
                <w:highlight w:val="none"/>
                <w:lang w:val="en-US" w:eastAsia="zh-CN" w:bidi="ar-SA"/>
              </w:rPr>
            </w:pPr>
            <w:r>
              <w:rPr>
                <w:rFonts w:hint="default" w:ascii="仿宋_GB2312" w:hAnsi="仿宋_GB2312" w:eastAsia="仿宋_GB2312" w:cs="仿宋_GB2312"/>
                <w:color w:val="auto"/>
                <w:spacing w:val="0"/>
                <w:kern w:val="2"/>
                <w:sz w:val="28"/>
                <w:szCs w:val="28"/>
                <w:highlight w:val="none"/>
                <w:lang w:val="en-US" w:eastAsia="zh-CN" w:bidi="ar-SA"/>
              </w:rPr>
              <w:t>立方米</w:t>
            </w:r>
          </w:p>
        </w:tc>
      </w:tr>
    </w:tbl>
    <w:p w14:paraId="3F9762B8">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29" w:name="_Toc30813"/>
      <w:bookmarkStart w:id="130" w:name="_Toc3203"/>
      <w:r>
        <w:rPr>
          <w:rFonts w:hint="eastAsia" w:ascii="Times New Roman" w:hAnsi="Times New Roman" w:cs="楷体_GB2312"/>
          <w:b/>
          <w:bCs w:val="0"/>
          <w:color w:val="auto"/>
          <w:spacing w:val="0"/>
          <w:kern w:val="2"/>
          <w:sz w:val="32"/>
          <w:szCs w:val="32"/>
          <w:highlight w:val="none"/>
          <w:lang w:val="en-US" w:eastAsia="zh-CN" w:bidi="ar-SA"/>
        </w:rPr>
        <w:t>消纳场运营与监督管理要求</w:t>
      </w:r>
      <w:bookmarkEnd w:id="129"/>
      <w:bookmarkEnd w:id="130"/>
    </w:p>
    <w:p w14:paraId="318F69AB">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建筑垃圾消纳场应当遵守下列规定：（1）建立规范完整的生产台账，并定期向</w:t>
      </w:r>
      <w:r>
        <w:rPr>
          <w:rFonts w:hint="eastAsia" w:ascii="仿宋_GB2312" w:hAnsi="仿宋_GB2312" w:eastAsia="仿宋_GB2312" w:cs="仿宋_GB2312"/>
          <w:color w:val="auto"/>
          <w:sz w:val="32"/>
          <w:szCs w:val="32"/>
          <w:highlight w:val="none"/>
          <w:lang w:val="en-US" w:eastAsia="zh-CN"/>
        </w:rPr>
        <w:t>区级建筑垃圾主管部门</w:t>
      </w:r>
      <w:r>
        <w:rPr>
          <w:rFonts w:hint="eastAsia" w:ascii="仿宋_GB2312" w:hAnsi="仿宋_GB2312" w:eastAsia="仿宋_GB2312" w:cs="仿宋_GB2312"/>
          <w:color w:val="auto"/>
          <w:spacing w:val="0"/>
          <w:sz w:val="32"/>
          <w:szCs w:val="32"/>
          <w:highlight w:val="none"/>
          <w:lang w:val="en-US" w:eastAsia="zh-CN"/>
        </w:rPr>
        <w:t>报送数据；（2）不得超过经核准的堆放容量；（3）分区、分类堆填，按照有关规定进行作业规划、设计和运营；（4）不得接收生活垃圾、污泥、河道疏浚底泥、工业垃圾和危险废物等；（5）建立安全管理制度，采取有效措施保障安全生产，防止失稳滑坡、环境污染、水土流失或者其他危害。法律、法规、规章规定的其他要求。</w:t>
      </w:r>
    </w:p>
    <w:p w14:paraId="7A0FA8C3">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31" w:name="_Toc30805"/>
      <w:r>
        <w:rPr>
          <w:rFonts w:hint="eastAsia" w:ascii="Times New Roman" w:hAnsi="Times New Roman" w:cs="楷体_GB2312"/>
          <w:b/>
          <w:bCs w:val="0"/>
          <w:color w:val="auto"/>
          <w:spacing w:val="0"/>
          <w:kern w:val="2"/>
          <w:sz w:val="32"/>
          <w:szCs w:val="32"/>
          <w:highlight w:val="none"/>
          <w:lang w:val="en-US" w:eastAsia="zh-CN" w:bidi="ar-SA"/>
        </w:rPr>
        <w:t>跨区域平衡处置规划</w:t>
      </w:r>
      <w:bookmarkEnd w:id="131"/>
    </w:p>
    <w:p w14:paraId="4B9403EF">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本区以立足自身为主，落实区内相关消纳地块合法利用工作，明确具体的消纳场地与实施步骤，结合项目建设的出土安排，优化建设、出土时序，充分挖掘自身消纳空间，达到区域内自平衡。</w:t>
      </w:r>
    </w:p>
    <w:p w14:paraId="421D4A11">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32" w:name="_Toc18768"/>
      <w:r>
        <w:rPr>
          <w:rFonts w:hint="eastAsia" w:ascii="Times New Roman" w:hAnsi="Times New Roman" w:cs="楷体_GB2312"/>
          <w:b/>
          <w:bCs w:val="0"/>
          <w:color w:val="auto"/>
          <w:spacing w:val="0"/>
          <w:kern w:val="2"/>
          <w:sz w:val="32"/>
          <w:szCs w:val="32"/>
          <w:highlight w:val="none"/>
          <w:lang w:val="en-US" w:eastAsia="zh-CN" w:bidi="ar-SA"/>
        </w:rPr>
        <w:t>跨市处置要求</w:t>
      </w:r>
      <w:bookmarkEnd w:id="132"/>
    </w:p>
    <w:p w14:paraId="0B852F9D">
      <w:pPr>
        <w:keepNext w:val="0"/>
        <w:keepLines w:val="0"/>
        <w:pageBreakBefore w:val="0"/>
        <w:widowControl/>
        <w:kinsoku/>
        <w:wordWrap/>
        <w:overflowPunct w:val="0"/>
        <w:topLinePunct w:val="0"/>
        <w:autoSpaceDE/>
        <w:autoSpaceDN/>
        <w:bidi w:val="0"/>
        <w:adjustRightInd/>
        <w:snapToGrid/>
        <w:spacing w:line="600" w:lineRule="exact"/>
        <w:ind w:firstLine="632"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2"/>
          <w:sz w:val="32"/>
          <w:szCs w:val="32"/>
          <w:highlight w:val="none"/>
          <w:lang w:val="en-US" w:eastAsia="zh-CN"/>
        </w:rPr>
        <w:t>依据省市建立的跨区域平衡处置机制，</w:t>
      </w:r>
      <w:r>
        <w:rPr>
          <w:rFonts w:hint="eastAsia" w:ascii="仿宋_GB2312" w:hAnsi="仿宋_GB2312" w:eastAsia="仿宋_GB2312" w:cs="仿宋_GB2312"/>
          <w:color w:val="auto"/>
          <w:spacing w:val="0"/>
          <w:sz w:val="32"/>
          <w:szCs w:val="32"/>
          <w:highlight w:val="none"/>
          <w:lang w:val="en-US" w:eastAsia="zh-CN"/>
        </w:rPr>
        <w:t>原则上可进行跨市处置的建筑垃圾类别为工程渣土，跨市处置相关工作应符合《广东省建筑垃圾跨区域平衡处置和生态补偿管理办法》等规定。建筑垃圾跨区域平衡处置前，排放单位应当在</w:t>
      </w:r>
      <w:r>
        <w:rPr>
          <w:rFonts w:hint="eastAsia" w:ascii="仿宋_GB2312" w:hAnsi="仿宋_GB2312" w:eastAsia="仿宋_GB2312" w:cs="仿宋_GB2312"/>
          <w:color w:val="auto"/>
          <w:spacing w:val="-2"/>
          <w:sz w:val="32"/>
          <w:szCs w:val="32"/>
          <w:highlight w:val="none"/>
          <w:lang w:val="en-US" w:eastAsia="zh-CN"/>
        </w:rPr>
        <w:t>广东省建筑垃圾跨区域平衡处置协作监管平台</w:t>
      </w:r>
      <w:r>
        <w:rPr>
          <w:rFonts w:hint="eastAsia" w:ascii="仿宋_GB2312" w:hAnsi="仿宋_GB2312" w:eastAsia="仿宋_GB2312" w:cs="仿宋_GB2312"/>
          <w:color w:val="auto"/>
          <w:spacing w:val="0"/>
          <w:sz w:val="32"/>
          <w:szCs w:val="32"/>
          <w:highlight w:val="none"/>
          <w:lang w:val="en-US" w:eastAsia="zh-CN"/>
        </w:rPr>
        <w:t>进行申报，发起建筑垃圾跨区域平衡处置登记，填写建筑垃圾排放时间、地点、类别、产生量、运输工具、运输路线、消纳单位等信息，并上传城市建筑垃圾处置核准证、建筑垃圾相关检测报告。依次经排放单位、消纳单位、接收地县级以上建筑垃圾主管部门、排放地县级以上建筑垃圾主管部门核对确认并签字盖章，盖章后将表格上传至平台。</w:t>
      </w:r>
    </w:p>
    <w:p w14:paraId="50422ACA">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33" w:name="_Toc12202"/>
      <w:r>
        <w:rPr>
          <w:rFonts w:hint="eastAsia" w:ascii="Times New Roman" w:hAnsi="Times New Roman" w:cs="楷体_GB2312"/>
          <w:b/>
          <w:bCs w:val="0"/>
          <w:color w:val="auto"/>
          <w:spacing w:val="0"/>
          <w:kern w:val="2"/>
          <w:sz w:val="32"/>
          <w:szCs w:val="32"/>
          <w:highlight w:val="none"/>
          <w:lang w:val="en-US" w:eastAsia="zh-CN" w:bidi="ar-SA"/>
        </w:rPr>
        <w:t>建筑垃圾存量治理</w:t>
      </w:r>
      <w:bookmarkEnd w:id="133"/>
    </w:p>
    <w:p w14:paraId="4E9E4E44">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1.存量治理重点工作</w:t>
      </w:r>
    </w:p>
    <w:p w14:paraId="50C6AF1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本规划的存量建筑垃圾指的是在规划基准年之前已经产生但尚未计划治理的建筑垃圾。增城区重点开展存量建筑垃圾综合治理工作，应包括以下内容：</w:t>
      </w:r>
    </w:p>
    <w:p w14:paraId="2E3E841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（1）持续开展存量建筑垃圾排查整治，重点突出城市更新区、城乡结合部、河道水道两侧、公路铁路两侧及涉农区域，及时清理无主垃圾，整治非正规垃圾堆放点，提高城市品质。</w:t>
      </w:r>
    </w:p>
    <w:p w14:paraId="09647C84">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（2）加强对建筑垃圾消纳场的规范管理、安全隐患排查整治等工作。</w:t>
      </w:r>
    </w:p>
    <w:p w14:paraId="78C6420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（3）采取疏堵结合的方式加强建筑垃圾治理，对未在指定消纳场或处理设施消纳处理建筑垃圾等行为依法处理。</w:t>
      </w:r>
    </w:p>
    <w:p w14:paraId="6413976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（4）全面排查范围内建筑垃圾消纳场安全隐患，检查评估堆体稳定性，对存在安全隐患的建筑垃圾消纳场，暂缓其土方消纳业务，待其整改完毕、验收达标后再行恢复。</w:t>
      </w:r>
    </w:p>
    <w:p w14:paraId="0EC1DD0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（5）对未经审批的建筑垃圾堆放点予以取缔、查处。</w:t>
      </w:r>
    </w:p>
    <w:p w14:paraId="4EED6C3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2.存量治理工作机制</w:t>
      </w:r>
    </w:p>
    <w:p w14:paraId="668A98C2">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主管部门应制定全方位、多层次的建筑垃圾存量治理工作机制，涵盖摸底排查、全面治理和长效监管等多个关键环节，旨在精准把握并有效应对各类存量问题；制定科学有效的建筑垃圾存量治理计划，包括估算治理规模、明确治理期限和责任分工、制定具体措施等。</w:t>
      </w:r>
    </w:p>
    <w:p w14:paraId="323F3A6D">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城管、住建、规自、生态环境、水务等部门应联合开展建筑垃圾存量治理。全面排查、评估存量建筑垃圾情况，对占用耕地和永久基本农田保护红线、生态保护红线、自然保护地和地质灾害风险区的临时贮存场所，</w:t>
      </w:r>
      <w:r>
        <w:rPr>
          <w:rFonts w:hint="default" w:ascii="仿宋_GB2312" w:hAnsi="仿宋_GB2312" w:eastAsia="仿宋_GB2312" w:cs="仿宋_GB2312"/>
          <w:color w:val="auto"/>
          <w:spacing w:val="0"/>
          <w:sz w:val="32"/>
          <w:szCs w:val="32"/>
          <w:highlight w:val="none"/>
          <w:lang w:val="en-US" w:eastAsia="zh-CN"/>
        </w:rPr>
        <w:t>要督促有关责任主体将建筑垃圾有序转移至建筑垃圾资源化利用设施或处置场所</w:t>
      </w:r>
      <w:r>
        <w:rPr>
          <w:rFonts w:hint="eastAsia" w:ascii="仿宋_GB2312" w:hAnsi="仿宋_GB2312" w:eastAsia="仿宋_GB2312" w:cs="仿宋_GB2312"/>
          <w:color w:val="auto"/>
          <w:spacing w:val="0"/>
          <w:sz w:val="32"/>
          <w:szCs w:val="32"/>
          <w:highlight w:val="none"/>
          <w:lang w:val="en-US" w:eastAsia="zh-CN"/>
        </w:rPr>
        <w:t>。涉及占用耕地地块的恢复整改，要做到对建筑垃圾的彻底清运，还应按原有情况同步恢复田间道路、灌溉设施等农田配套设施，与周边相邻的农田配套设施相贯通，确保满足正常耕种条件，坚决防止简单覆土代替整改。对存在环境隐患或造成环境污染的临时贮存场所，进行污染防控和治理。无法原位防控和治理的，将建筑垃圾有序转移至建筑垃圾资源化利用设施或处置场所。暂时无法转移的，应完善整治方案，明确完成时限，强化监测和管控措施，确保安全。</w:t>
      </w:r>
    </w:p>
    <w:p w14:paraId="732C69E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具体工作流程如下：</w:t>
      </w:r>
    </w:p>
    <w:p w14:paraId="62F7DB3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在摸底排查阶段，不仅需要深入实地开展细致的调查，还要对存量问题的现状和特点进行全面而深入的分析。通过问卷调查、现场调研、数据分析等多种方式，对存量问题进行准确的分类和评估。从数量、性质、影响范围等多个维度，对存量问题进行详细的描述和解读，以便更好地掌握问题的本质和根源。</w:t>
      </w:r>
    </w:p>
    <w:p w14:paraId="3875782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在全面治理阶段，需根据摸底排查的结果，结合政策法规、资源条件和技术可行性等多方面因素，制定具有针对性、可操作性的治理方案。方案应充分考虑实际情况，既要注重解决当前问题，又要着眼长远发展，确保治理措施既有效又可持续。同时，还需加强组织领导和协调配合，形成多方联动、齐抓共管的良好局面，确保治理工作能够高效推进。</w:t>
      </w:r>
    </w:p>
    <w:p w14:paraId="6FC4F20B">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长效监管作为存量治理工作机制的重要一环，对于防止问题反弹和新的存量问题产生具有重要意义。建立健全长效监管机制，加强日常巡查和监督检查，确保存量问题得到及时有效地处理。同时，还应建立问题反馈和整改机制，对发现的问题进行及时记录和跟踪处理，确保问题能够得到彻底解决。此外，还应完善相关法规制度和政策措施，为存量治理工作提供有力的法律保障和政策支持。加大对违法行为的打击力度，对乱倒乱排、未经处理直接排放等行为进行严厉处罚，形成有效的震慑作用。</w:t>
      </w:r>
    </w:p>
    <w:p w14:paraId="3F97C1C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3.存量治理主要内容</w:t>
      </w:r>
    </w:p>
    <w:p w14:paraId="1821426B">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（1）确定治理规模</w:t>
      </w:r>
    </w:p>
    <w:p w14:paraId="74841735">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根据区域面积，采用遥感、无人机等先进技术和专人实地排查、发动群众排查相结合的方式实施，以便确定治理规模。这一工作涉及对存量建筑垃圾的数量、种类、分布等信息的收集和整理。通过实地调查、遥感监测等手段，可以获取到较为准确的数据。在此基础上，结合城市发展规划和环境保护要求，对治理规模进行合理设定，确保治理工作的针对性和有效性。</w:t>
      </w:r>
    </w:p>
    <w:p w14:paraId="707A9804">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（2）存量垃圾治理措施</w:t>
      </w:r>
    </w:p>
    <w:p w14:paraId="66E3151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①实行清单管理。对发现的问题点位，能立即清理复原的要立即清理复原。不能立即清理的要限时清理复原，并建立整改清单，按点制定整改方案，做到“一点一方案”，明确整改目标、整改时限、整改措施，明确责任单位、责任人，实行逐一整改、逐一验收、逐一销号。</w:t>
      </w:r>
    </w:p>
    <w:p w14:paraId="443A167C">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②规范点位整治。对列入整治的点位，需严格采取污染防控措施：a）场地围蔽，避免非工作人员靠近，避免出现安全隐患；b）确保堆体稳定性，堆垛不能超高、堆坡合理，避免堆体塌落、滑移；c）及时遮盖，防止扬尘影响周边环境及避免过多雨水入渗；d）做好场地排水措施，堆置场地雨水导排通畅，避免雨季出现积水、泥水混合的情况。对垃圾体量较大、可能造成土壤和水体环境污染的，市生态环境局增城分局要在垃圾清理完成后做好检测，并视检测结果采取相应的生态修复和防护措施，做到规范清理、规范复原，避免产生新的污染和安全隐患。对没有造成水土污染的，落实相应的防护、防污、防尘等设施做好垃圾清理和场地平整后即行复原。</w:t>
      </w:r>
    </w:p>
    <w:p w14:paraId="5E3BC09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③落实核验销号。完善属地行业整治销号管理制度。要建立社区发现报告、镇街核实协调、区级统筹整治、市级核验销号的属地管理机制。</w:t>
      </w:r>
    </w:p>
    <w:p w14:paraId="6AC000B0">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④全面落实上级部门数字化改革要求，运用卫星遥感监测、视频监测、无人机监控等多种技术手段，加强对各重点和敏感区域的监测。综合运用地面网格化、扁平化管理和卫星遥感图斑比对、坐标定位核实、云端遥感、航拍比对等多种方式，提高发现、整治、核查的数字化精准管理。</w:t>
      </w:r>
    </w:p>
    <w:p w14:paraId="322D9CBD">
      <w:pPr>
        <w:keepNext w:val="0"/>
        <w:keepLines w:val="0"/>
        <w:pageBreakBefore w:val="0"/>
        <w:widowControl/>
        <w:kinsoku/>
        <w:wordWrap/>
        <w:overflowPunct w:val="0"/>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color w:val="auto"/>
          <w:spacing w:val="0"/>
          <w:sz w:val="32"/>
          <w:szCs w:val="32"/>
          <w:highlight w:val="none"/>
          <w:lang w:val="en-US" w:eastAsia="zh-CN"/>
        </w:rPr>
      </w:pPr>
      <w:r>
        <w:rPr>
          <w:rFonts w:hint="eastAsia" w:ascii="仿宋_GB2312" w:hAnsi="仿宋_GB2312" w:eastAsia="仿宋_GB2312" w:cs="仿宋_GB2312"/>
          <w:b/>
          <w:bCs/>
          <w:color w:val="auto"/>
          <w:spacing w:val="0"/>
          <w:sz w:val="32"/>
          <w:szCs w:val="32"/>
          <w:highlight w:val="none"/>
          <w:lang w:val="en-US" w:eastAsia="zh-CN"/>
        </w:rPr>
        <w:t>4.存量治理工作要求</w:t>
      </w:r>
    </w:p>
    <w:p w14:paraId="002AE2F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按照属地管理原则，相关单位要加快非正规建筑垃圾堆放点摸排工作，重点排查区域是城市更新区、城乡结合部、环境敏感区、主要交通干道沿线，查清现有非正规建筑垃圾堆放点数量、规模，并应建立好台账，摸排工作结束后，应形成本辖区内非正规垃圾堆放点排查工作情况报告，梳理整治责任单位，并上报至区城管局；区城管局应书面督办整治责任单位及时整改到位；区城管局和属地单位应对非正规建筑垃圾堆放点整治工作情况进行现场核查，重点核查是否整改、整改是否到位、是否按要求整改、是否有新增非正规建筑垃圾堆放点等情况，对不及时整改、虚假整改、整改不到位、瞒报漏报等行为进行通报或责任追究。</w:t>
      </w:r>
    </w:p>
    <w:p w14:paraId="3E71FA8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（2）对于非正规建筑垃圾堆放点应按照“一场一策”的要求，制定整治工作方案，应明确非正规建筑垃圾堆放点整治的工作目标、年度工作任务、具体责任部门、监督检查办法、整改期限等。</w:t>
      </w:r>
    </w:p>
    <w:p w14:paraId="0634499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应采用筛分治理的方式开展治理工作，筛分后无污染的建筑垃圾可就地回填利用或转运至建筑垃圾资源化处理设施进行处理，不可资源化利用的垃圾运至消纳处理设施进行消纳处置，危险废物运至危废处理设施进行处理，有价值物料进入废品回收体系。</w:t>
      </w:r>
    </w:p>
    <w:p w14:paraId="06700B8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4）各级人民政府应严格控制增量，相关职能部门应加大建筑垃圾私拉乱倒等情况的监督检查和查处力度，对违规倾倒和非法运输处置建筑垃圾的单位和个人，依法予以处罚。应加强对主要干道两侧区域的重点巡查，属地单位可联合相关职能部门采取派人值守或安装视频监控等措施进行监管。</w:t>
      </w:r>
    </w:p>
    <w:p w14:paraId="65B07EA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5）在存量治理过程中，应注重科技手段的运用。利用现代信息化技术，如无人机巡查、大数据分析等，对非正规建筑垃圾堆放点进行精准定位和动态监测。同时，推广智能化管理系统，对建筑垃圾的产生、运输、处置等全过程进行实时监控和数据分析，提高治理效率和准确性。</w:t>
      </w:r>
    </w:p>
    <w:p w14:paraId="5685450D">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6）加强宣传教育，提高公众对建筑垃圾治理的认识和参与度。通过媒体宣传、社区活动等方式，普及建筑垃圾治理知识，引导公众树立绿色、低碳、循环的生活理念，积极参与建筑垃圾的分类、投放和处置工作。</w:t>
      </w:r>
    </w:p>
    <w:p w14:paraId="31ABC4FD">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7）建立长效机制，确保建筑垃圾治理工作持续推进。制定完善相关法规和政策，明确各级政府和部门的职责分工，加强协调配合，形成工作合力。同时，建立健全考核评价机制，定期对建筑垃圾治理工作进行检查评估，及时发现问题并督促整改，确保治理效果持续稳定。</w:t>
      </w:r>
    </w:p>
    <w:p w14:paraId="70E8D5DF">
      <w:pPr>
        <w:pStyle w:val="4"/>
        <w:bidi w:val="0"/>
        <w:ind w:left="0" w:leftChars="0" w:firstLine="640" w:firstLineChars="0"/>
        <w:rPr>
          <w:rFonts w:hint="eastAsia"/>
          <w:color w:val="auto"/>
          <w:lang w:val="en-US" w:eastAsia="zh-CN"/>
        </w:rPr>
      </w:pPr>
      <w:bookmarkStart w:id="134" w:name="_Toc19695"/>
      <w:r>
        <w:rPr>
          <w:rFonts w:hint="eastAsia"/>
          <w:color w:val="auto"/>
          <w:lang w:val="en-US" w:eastAsia="zh-CN"/>
        </w:rPr>
        <w:t>区域产销平衡分析</w:t>
      </w:r>
      <w:bookmarkEnd w:id="134"/>
    </w:p>
    <w:p w14:paraId="5BFBE623">
      <w:pPr>
        <w:pStyle w:val="65"/>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增城区的建筑垃圾产生量较大，虽消纳处置能力基本匹配，但依然存在一些问题：一是处置设施区域分布不均衡，局部区域的运输成本较高；二是装修垃圾等低值建筑垃圾处置设施能力相对不足。三是资源化利用厂普遍存在建设标准低、运营管理粗放等问题。</w:t>
      </w:r>
    </w:p>
    <w:p w14:paraId="2F4C80A5">
      <w:pPr>
        <w:pStyle w:val="65"/>
        <w:keepNext w:val="0"/>
        <w:keepLines w:val="0"/>
        <w:pageBreakBefore w:val="0"/>
        <w:widowControl/>
        <w:numPr>
          <w:ilvl w:val="0"/>
          <w:numId w:val="0"/>
        </w:numPr>
        <w:shd w:val="clear" w:color="auto" w:fill="auto"/>
        <w:kinsoku/>
        <w:wordWrap/>
        <w:overflowPunct w:val="0"/>
        <w:topLinePunct w:val="0"/>
        <w:autoSpaceDE/>
        <w:autoSpaceDN/>
        <w:bidi w:val="0"/>
        <w:adjustRightInd/>
        <w:snapToGrid/>
        <w:spacing w:line="600" w:lineRule="exact"/>
        <w:ind w:firstLine="640" w:firstLineChars="200"/>
        <w:jc w:val="both"/>
        <w:textAlignment w:val="baseline"/>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color w:val="auto"/>
          <w:spacing w:val="0"/>
          <w:kern w:val="2"/>
          <w:sz w:val="32"/>
          <w:szCs w:val="32"/>
          <w:highlight w:val="none"/>
          <w:lang w:val="en-US" w:eastAsia="zh-CN" w:bidi="ar-SA"/>
        </w:rPr>
        <w:t>探索通过建筑垃圾处置设施相关的公共资源有偿使用等方式，促进增城区建筑垃圾资源化利用企业平稳、健康发展，提高资源化利用项目准入门槛。</w:t>
      </w:r>
      <w:r>
        <w:rPr>
          <w:rFonts w:hint="eastAsia" w:ascii="仿宋_GB2312" w:hAnsi="仿宋_GB2312" w:eastAsia="仿宋_GB2312" w:cs="仿宋_GB2312"/>
          <w:b/>
          <w:bCs/>
          <w:color w:val="auto"/>
          <w:spacing w:val="0"/>
          <w:kern w:val="2"/>
          <w:sz w:val="32"/>
          <w:szCs w:val="32"/>
          <w:highlight w:val="none"/>
          <w:lang w:val="en-US" w:eastAsia="zh-CN" w:bidi="ar-SA"/>
        </w:rPr>
        <w:t>以“市场主导、规划引领、政府指导、创新赋能”的原则</w:t>
      </w:r>
      <w:r>
        <w:rPr>
          <w:rFonts w:hint="eastAsia" w:ascii="仿宋_GB2312" w:hAnsi="仿宋_GB2312" w:cs="仿宋_GB2312"/>
          <w:b/>
          <w:bCs/>
          <w:color w:val="auto"/>
          <w:spacing w:val="0"/>
          <w:kern w:val="2"/>
          <w:sz w:val="32"/>
          <w:szCs w:val="32"/>
          <w:highlight w:val="none"/>
          <w:lang w:val="en-US" w:eastAsia="zh-CN" w:bidi="ar-SA"/>
        </w:rPr>
        <w:t>，</w:t>
      </w:r>
      <w:r>
        <w:rPr>
          <w:rFonts w:hint="eastAsia" w:ascii="仿宋_GB2312" w:hAnsi="仿宋_GB2312" w:eastAsia="仿宋_GB2312" w:cs="仿宋_GB2312"/>
          <w:color w:val="auto"/>
          <w:spacing w:val="0"/>
          <w:kern w:val="2"/>
          <w:sz w:val="32"/>
          <w:szCs w:val="32"/>
          <w:highlight w:val="none"/>
          <w:lang w:val="en-US" w:eastAsia="zh-CN" w:bidi="ar-SA"/>
        </w:rPr>
        <w:t>通过</w:t>
      </w:r>
      <w:r>
        <w:rPr>
          <w:rFonts w:hint="eastAsia" w:ascii="仿宋_GB2312" w:hAnsi="仿宋_GB2312" w:eastAsia="仿宋_GB2312" w:cs="仿宋_GB2312"/>
          <w:b w:val="0"/>
          <w:bCs w:val="0"/>
          <w:color w:val="auto"/>
          <w:spacing w:val="0"/>
          <w:kern w:val="2"/>
          <w:sz w:val="32"/>
          <w:szCs w:val="32"/>
          <w:highlight w:val="none"/>
          <w:lang w:val="en-US" w:eastAsia="zh-CN" w:bidi="ar-SA"/>
        </w:rPr>
        <w:t>政府指导既有资源化利用企业提升建设运营水平</w:t>
      </w:r>
      <w:r>
        <w:rPr>
          <w:rFonts w:hint="eastAsia" w:ascii="仿宋_GB2312" w:hAnsi="仿宋_GB2312" w:cs="仿宋_GB2312"/>
          <w:b w:val="0"/>
          <w:bCs w:val="0"/>
          <w:color w:val="auto"/>
          <w:spacing w:val="0"/>
          <w:kern w:val="2"/>
          <w:sz w:val="32"/>
          <w:szCs w:val="32"/>
          <w:highlight w:val="none"/>
          <w:lang w:val="en-US" w:eastAsia="zh-CN" w:bidi="ar-SA"/>
        </w:rPr>
        <w:t>和规范</w:t>
      </w:r>
      <w:r>
        <w:rPr>
          <w:rFonts w:hint="eastAsia" w:ascii="仿宋_GB2312" w:hAnsi="仿宋_GB2312" w:eastAsia="仿宋_GB2312" w:cs="仿宋_GB2312"/>
          <w:color w:val="auto"/>
          <w:spacing w:val="0"/>
          <w:kern w:val="2"/>
          <w:sz w:val="32"/>
          <w:szCs w:val="32"/>
          <w:highlight w:val="none"/>
          <w:lang w:val="en-US" w:eastAsia="zh-CN" w:bidi="ar-SA"/>
        </w:rPr>
        <w:t>化建设要求淘汰一些落后产能，优胜劣汰</w:t>
      </w:r>
      <w:r>
        <w:rPr>
          <w:rFonts w:hint="eastAsia" w:ascii="仿宋_GB2312" w:hAnsi="仿宋_GB2312" w:cs="仿宋_GB2312"/>
          <w:color w:val="auto"/>
          <w:spacing w:val="0"/>
          <w:kern w:val="2"/>
          <w:sz w:val="32"/>
          <w:szCs w:val="32"/>
          <w:highlight w:val="none"/>
          <w:lang w:val="en-US" w:eastAsia="zh-CN" w:bidi="ar-SA"/>
        </w:rPr>
        <w:t>，实现区域设施的优化整合；通过</w:t>
      </w:r>
      <w:r>
        <w:rPr>
          <w:rFonts w:hint="eastAsia" w:ascii="仿宋_GB2312" w:hAnsi="仿宋_GB2312" w:eastAsia="仿宋_GB2312" w:cs="仿宋_GB2312"/>
          <w:b w:val="0"/>
          <w:bCs w:val="0"/>
          <w:color w:val="auto"/>
          <w:spacing w:val="0"/>
          <w:sz w:val="32"/>
          <w:szCs w:val="32"/>
          <w:highlight w:val="none"/>
          <w:lang w:val="en-US" w:eastAsia="zh-CN"/>
        </w:rPr>
        <w:t>政府引导、助推企业在北部、西部和南部片区规划建设装修垃圾处置设施，解决增城区装修垃圾处置能力不足、区域不均衡的问题。</w:t>
      </w:r>
    </w:p>
    <w:p w14:paraId="20DA2C3E">
      <w:pPr>
        <w:pStyle w:val="3"/>
        <w:bidi w:val="0"/>
        <w:ind w:left="420" w:leftChars="0" w:firstLine="220" w:firstLineChars="0"/>
        <w:rPr>
          <w:rFonts w:hint="default" w:ascii="Times New Roman" w:hAnsi="Times New Roman"/>
          <w:b/>
          <w:bCs/>
          <w:color w:val="auto"/>
          <w:spacing w:val="0"/>
          <w:highlight w:val="none"/>
          <w:lang w:val="en-US" w:eastAsia="zh-CN"/>
        </w:rPr>
      </w:pPr>
      <w:bookmarkStart w:id="135" w:name="_Toc2082"/>
      <w:bookmarkStart w:id="136" w:name="_Toc12180"/>
      <w:r>
        <w:rPr>
          <w:rFonts w:hint="eastAsia" w:ascii="Times New Roman" w:hAnsi="Times New Roman" w:eastAsia="黑体" w:cs="黑体"/>
          <w:b/>
          <w:bCs/>
          <w:color w:val="auto"/>
          <w:spacing w:val="0"/>
          <w:sz w:val="32"/>
          <w:szCs w:val="32"/>
          <w:highlight w:val="none"/>
          <w:lang w:val="en-US" w:eastAsia="zh-CN"/>
        </w:rPr>
        <w:t>环境污染防治措施</w:t>
      </w:r>
      <w:bookmarkEnd w:id="135"/>
      <w:bookmarkEnd w:id="136"/>
    </w:p>
    <w:p w14:paraId="11D2E2F5">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37" w:name="_Toc5702"/>
      <w:bookmarkStart w:id="138" w:name="_Toc5625"/>
      <w:bookmarkStart w:id="139" w:name="_Toc11586"/>
      <w:bookmarkStart w:id="140" w:name="_Toc18744"/>
      <w:bookmarkStart w:id="141" w:name="_Toc29221"/>
      <w:r>
        <w:rPr>
          <w:rFonts w:hint="default" w:ascii="Times New Roman" w:hAnsi="Times New Roman" w:cs="楷体_GB2312"/>
          <w:b/>
          <w:bCs w:val="0"/>
          <w:color w:val="auto"/>
          <w:spacing w:val="0"/>
          <w:kern w:val="2"/>
          <w:sz w:val="32"/>
          <w:szCs w:val="32"/>
          <w:highlight w:val="none"/>
          <w:lang w:val="en-US" w:eastAsia="zh-CN" w:bidi="ar-SA"/>
        </w:rPr>
        <w:t>建筑垃圾污染防控措施</w:t>
      </w:r>
      <w:bookmarkEnd w:id="137"/>
      <w:bookmarkEnd w:id="138"/>
      <w:bookmarkEnd w:id="139"/>
      <w:bookmarkEnd w:id="140"/>
      <w:bookmarkEnd w:id="141"/>
    </w:p>
    <w:p w14:paraId="7DDC22AF">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1.工程渣土污染防控措施</w:t>
      </w:r>
    </w:p>
    <w:p w14:paraId="02EF280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（1）工程渣土收集运输污染防控措施</w:t>
      </w:r>
    </w:p>
    <w:p w14:paraId="480DC360">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①施工单位应当在建设工程开工前，将建筑垃圾处理方案报项目所在地的区建筑垃圾主管部门备案。</w:t>
      </w:r>
    </w:p>
    <w:p w14:paraId="130C6D6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②根据不同土质性状和用途，按照工程渣土分类标准，采取不同的处置措施。</w:t>
      </w:r>
    </w:p>
    <w:p w14:paraId="414B6BE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③在施工工地出口设置符合相关规定的车辆冲洗和排水、废浆沉淀设施，车辆冲洗清洁后方可出场。</w:t>
      </w:r>
    </w:p>
    <w:p w14:paraId="3F3FE98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④运输单位应当按照核准文件装载建筑垃圾。</w:t>
      </w:r>
    </w:p>
    <w:p w14:paraId="261A978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⑤运输单位应当将工程渣土运送至核准文件要求的场所。</w:t>
      </w:r>
    </w:p>
    <w:p w14:paraId="38B1F41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⑥运输单位车辆应当保持密闭化运输，不得沿途滴漏、遗撒；不得车轮带泥、车体挂泥上路行驶；运输单位船舱应当保持密闭覆盖，不得沿途抛撒；施工单位采用管道输送方式运输工程渣土的，应当做好输送管道和配套设施的日常运营维护，不得沿途滴漏、遗撒，污染环境。</w:t>
      </w:r>
    </w:p>
    <w:p w14:paraId="41C0E9E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⑦施工现场和中转调配设施工程渣土的堆放应满足地基承载要求，且高度不宜超过3m；当超过3m时，应进行堆体和地基的稳定性验算。</w:t>
      </w:r>
    </w:p>
    <w:p w14:paraId="351D4917">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（2）工程渣土消纳设施和场所污染防控措施</w:t>
      </w:r>
    </w:p>
    <w:p w14:paraId="2EB32620">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①设施、场所投入使用前应编制环境质量监测方案，监测项目应包括环境噪声、大气扬尘污染、地下水水质。</w:t>
      </w:r>
    </w:p>
    <w:p w14:paraId="6A2D161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②应开展土壤性质调查，设施消纳场所接收的工程渣土，应符合相应法律法规和标准规范要求。</w:t>
      </w:r>
    </w:p>
    <w:p w14:paraId="7BE464F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③运营过程中做好环境噪声、扬尘治理、堆体稳定性检测和环境监测等工作。非作业区域宜采取临时覆盖、绿化或喷洒生物抑尘剂等措施防止扬尘污染。污水排放应满足国家现行标准规定或环境影响评价要求。</w:t>
      </w:r>
    </w:p>
    <w:p w14:paraId="5A1C654C">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④工程渣土堆填消纳场还应当遵守下列规定：接纳处置核准文件确定的建筑垃圾种类，不得接纳非建筑垃圾等其他固体废物；按照相关技术规范和标准作业，达到设计标高后，及时封场复绿；安排现场管理人员对进出场运输车辆进行指挥，引导其有序进场、倾卸以及出场；根据设计在填埋堆体内设置集水排水设施，并根据作业情况完善防洪排涝工程措施；按照有关规定开展堆体和坝体沉降、位移、含水量等指标监测，委托专业机构开展堆体和坝体稳定性评估；场地出入口、进场道路及填埋作业区等区域应当采取扬尘污染、水污染防治措施，裸露区域应当覆盖防尘网或者进行绿化。</w:t>
      </w:r>
    </w:p>
    <w:p w14:paraId="61936751">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2.工程泥浆污染防控措施</w:t>
      </w:r>
    </w:p>
    <w:p w14:paraId="091E3D1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（1）工程泥浆应通过工程现场设置的泥浆池或密闭容器收集、存放、未经处理的工程泥浆不得就地或随意排放。</w:t>
      </w:r>
    </w:p>
    <w:p w14:paraId="2E9DC97C">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（2）鼓励施工单位采用现场泥沙分离、泥浆脱水预处理工艺，减少建设工程垃圾的排放。</w:t>
      </w:r>
    </w:p>
    <w:p w14:paraId="5A090B6F">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（3）施工单位采用管道输送方式运输工程泥浆的，应当做好输送管道和配套设施的日常运营维护，不得沿途滴漏、遗撒，污染环境。</w:t>
      </w:r>
    </w:p>
    <w:p w14:paraId="7D1EE00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（4）废弃泥浆集中处置时，应配备成套的泥浆处置设备，处置过程应符合节能、环保要求。</w:t>
      </w:r>
    </w:p>
    <w:p w14:paraId="6A1B609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（5）废弃泥浆处置后形成的泥饼，应进行对应用途的有害物质检测。检测合格或无害化处理后予以再生利用。</w:t>
      </w:r>
    </w:p>
    <w:p w14:paraId="35778084">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3.工程垃圾污染防控措施</w:t>
      </w:r>
    </w:p>
    <w:p w14:paraId="73EEC89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（1）施工现场应设置工程垃圾存放点，并应设置分类存放标识牌，应制作围挡设施或封闭建造，并采取防泄漏、防飞扬、消防应急安全等措施。</w:t>
      </w:r>
    </w:p>
    <w:p w14:paraId="38C79CA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（2）工地现场工程垃圾处置需满足噪声、扬尘等环境保护要求。</w:t>
      </w:r>
    </w:p>
    <w:p w14:paraId="5F410470">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（3）工程垃圾堆场应设置雨、污分流设施，并采取有效措施防止堆场地表水污染周边环境。</w:t>
      </w:r>
    </w:p>
    <w:p w14:paraId="7F2591A6">
      <w:pPr>
        <w:widowControl/>
        <w:shd w:val="clear" w:color="auto" w:fill="auto"/>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4.拆除垃圾、装修垃圾污染防控措施</w:t>
      </w:r>
    </w:p>
    <w:p w14:paraId="642E825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（1）拆除垃圾、装修垃圾收集运输污染防控措施</w:t>
      </w:r>
    </w:p>
    <w:p w14:paraId="0A0CDC3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①产生装修垃圾的单位和个人应当按照规定将装修垃圾分类袋装或者捆装后投放至指定的装修垃圾收集点，不得与生活垃圾混合投放。</w:t>
      </w:r>
    </w:p>
    <w:p w14:paraId="32040DC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②拆除垃圾、装修垃圾运输单位应取得建筑垃圾运输核准文件，保持车辆车况良好，车身整洁，不得超限超载运输；离开装车点前保持地面整洁、干净；车辆保持密闭化运输，不得沿途滴漏、遗撒。</w:t>
      </w:r>
    </w:p>
    <w:p w14:paraId="192E37C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color w:val="auto"/>
          <w:spacing w:val="0"/>
          <w:sz w:val="32"/>
          <w:szCs w:val="32"/>
          <w:highlight w:val="none"/>
          <w:lang w:val="en-US" w:eastAsia="zh-CN"/>
        </w:rPr>
      </w:pPr>
      <w:r>
        <w:rPr>
          <w:rFonts w:hint="eastAsia" w:ascii="仿宋_GB2312" w:hAnsi="仿宋_GB2312" w:eastAsia="仿宋_GB2312" w:cs="仿宋_GB2312"/>
          <w:b w:val="0"/>
          <w:bCs w:val="0"/>
          <w:color w:val="auto"/>
          <w:spacing w:val="0"/>
          <w:sz w:val="32"/>
          <w:szCs w:val="32"/>
          <w:highlight w:val="none"/>
          <w:lang w:val="en-US" w:eastAsia="zh-CN"/>
        </w:rPr>
        <w:t>（2）拆除垃圾、装修垃圾消纳设施和场所</w:t>
      </w:r>
    </w:p>
    <w:p w14:paraId="4AAB09EC">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①接纳处置核准文件确定的建筑垃圾种类，不得接纳非建筑垃圾的其他固体废物。</w:t>
      </w:r>
    </w:p>
    <w:p w14:paraId="0B107D75">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②应优先选用噪声值低处理设备，封闭车间采取隔声降噪措施，合理设置绿化和围墙，利用建筑物合理布局，阻隔声波传播。</w:t>
      </w:r>
    </w:p>
    <w:p w14:paraId="2118A3A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③在出口设置符合相关规定的车辆冲洗设施，车辆冲洗清洁后方可出场，采取扬尘污染、水污染防控措施，保持出入口、通行道路以及附属设施等周边环境整洁。</w:t>
      </w:r>
    </w:p>
    <w:p w14:paraId="7C448439">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④堆放场地需硬化处理。</w:t>
      </w:r>
    </w:p>
    <w:p w14:paraId="707B254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⑤无法利用部分应当实施无害化处置。其中，有毒有害物品应交由有资质处理单位处置。</w:t>
      </w:r>
    </w:p>
    <w:p w14:paraId="7063666F">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42" w:name="_Toc1765"/>
      <w:bookmarkStart w:id="143" w:name="_Toc835"/>
      <w:bookmarkStart w:id="144" w:name="_Toc3574"/>
      <w:bookmarkStart w:id="145" w:name="_Toc16058"/>
      <w:bookmarkStart w:id="146" w:name="_Toc24529"/>
      <w:r>
        <w:rPr>
          <w:rFonts w:hint="eastAsia" w:ascii="Times New Roman" w:hAnsi="Times New Roman" w:cs="楷体_GB2312"/>
          <w:b/>
          <w:bCs w:val="0"/>
          <w:color w:val="auto"/>
          <w:spacing w:val="0"/>
          <w:kern w:val="2"/>
          <w:sz w:val="32"/>
          <w:szCs w:val="32"/>
          <w:highlight w:val="none"/>
          <w:lang w:val="en-US" w:eastAsia="zh-CN" w:bidi="ar-SA"/>
        </w:rPr>
        <w:t>水土流失、地质灾害防治</w:t>
      </w:r>
      <w:bookmarkEnd w:id="142"/>
      <w:bookmarkEnd w:id="143"/>
      <w:bookmarkEnd w:id="144"/>
      <w:bookmarkEnd w:id="145"/>
      <w:bookmarkEnd w:id="146"/>
    </w:p>
    <w:p w14:paraId="08D6909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严格执行水土保持的法律、法规及相关标准和技术规范，积极采取相应的水土保持措施。严格规范选址工程地质、水文地质条件与处置设施建设和运行的适配性，规避发震断层、滑坡、泥石流、流沙及采矿陷落区等地区。督促施工单位不定期开展地质环境监测，发现问题立即停止施工并进行整改。督促施工单位做好土石方、砂料等的平衡工作，缩短开挖裸露面暴露时间，并积极制定防治措施，最大化减少水土流失。严格雨季等特殊天气施工采用工程布覆盖、土石方堆坡面落实平整和密实要求。</w:t>
      </w:r>
    </w:p>
    <w:p w14:paraId="0CC349E8">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47" w:name="_Toc8390"/>
      <w:bookmarkStart w:id="148" w:name="_Toc16072"/>
      <w:bookmarkStart w:id="149" w:name="_Toc29626"/>
      <w:bookmarkStart w:id="150" w:name="_Toc14954"/>
      <w:bookmarkStart w:id="151" w:name="_Toc23508"/>
      <w:r>
        <w:rPr>
          <w:rFonts w:hint="eastAsia" w:ascii="Times New Roman" w:hAnsi="Times New Roman" w:cs="楷体_GB2312"/>
          <w:b/>
          <w:bCs w:val="0"/>
          <w:color w:val="auto"/>
          <w:spacing w:val="0"/>
          <w:kern w:val="2"/>
          <w:sz w:val="32"/>
          <w:szCs w:val="32"/>
          <w:highlight w:val="none"/>
          <w:lang w:val="en-US" w:eastAsia="zh-CN" w:bidi="ar-SA"/>
        </w:rPr>
        <w:t>大气环境保护与防治</w:t>
      </w:r>
      <w:bookmarkEnd w:id="147"/>
      <w:bookmarkEnd w:id="148"/>
      <w:bookmarkEnd w:id="149"/>
      <w:bookmarkEnd w:id="150"/>
      <w:bookmarkEnd w:id="151"/>
    </w:p>
    <w:p w14:paraId="4B868940">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产生、收集、运输、处理环节的大气环境污染防控措施应满足《中华人民共和国大气污染防治法》等法律、法规、标准和相关环评的要求。建筑垃圾消纳场所的大气环境污染防控措施包括但不限于以下内容：</w:t>
      </w:r>
    </w:p>
    <w:p w14:paraId="29561D77">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1.应做好堆体临时覆盖，必要时安装防风抑尘网。</w:t>
      </w:r>
    </w:p>
    <w:p w14:paraId="057968B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2.应通过洒水降尘、封闭设备、局部抽吸等措施控制粉尘污染，并符合《建筑废弃物再生工厂设计标准》（GB 51322）、《建筑垃圾处理技术标准》（CJJ/T 134）的规定。</w:t>
      </w:r>
    </w:p>
    <w:p w14:paraId="166FC61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3.施工现场扬尘防控措施应符合相关规定。</w:t>
      </w:r>
    </w:p>
    <w:p w14:paraId="70D1E596">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4.扬尘排放应符合《大气污染物综合排放标准》（GB 16297）的规定。</w:t>
      </w:r>
    </w:p>
    <w:p w14:paraId="0864AEAC">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52" w:name="_Toc9912"/>
      <w:bookmarkStart w:id="153" w:name="_Toc31969"/>
      <w:bookmarkStart w:id="154" w:name="_Toc23891"/>
      <w:bookmarkStart w:id="155" w:name="_Toc15563"/>
      <w:bookmarkStart w:id="156" w:name="_Toc21681"/>
      <w:r>
        <w:rPr>
          <w:rFonts w:hint="eastAsia" w:ascii="Times New Roman" w:hAnsi="Times New Roman" w:cs="楷体_GB2312"/>
          <w:b/>
          <w:bCs w:val="0"/>
          <w:color w:val="auto"/>
          <w:spacing w:val="0"/>
          <w:kern w:val="2"/>
          <w:sz w:val="32"/>
          <w:szCs w:val="32"/>
          <w:highlight w:val="none"/>
          <w:lang w:val="en-US" w:eastAsia="zh-CN" w:bidi="ar-SA"/>
        </w:rPr>
        <w:t>水环境保护与防治</w:t>
      </w:r>
      <w:bookmarkEnd w:id="152"/>
      <w:bookmarkEnd w:id="153"/>
      <w:bookmarkEnd w:id="154"/>
      <w:bookmarkEnd w:id="155"/>
      <w:bookmarkEnd w:id="156"/>
    </w:p>
    <w:p w14:paraId="284EC167">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建筑垃圾产生、收集、运输、处理环节的水环境污染防控措施应满足《中华人民共和国水污染防治法》等法律、法规、标准和相关环评的要求。建筑垃圾消纳场所的水环境污染防控措施包括但不限于以下内容：</w:t>
      </w:r>
    </w:p>
    <w:p w14:paraId="7B6D362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1.资源化利用项目的生产废水应经处理后循环利用，未经处理达标的生产废水不应直接外排。</w:t>
      </w:r>
    </w:p>
    <w:p w14:paraId="3E4AA40B">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2.消纳场污水处理后排放标准应达到国家现行相关标准的指标要求或环保部门规定执行的排放标准。</w:t>
      </w:r>
    </w:p>
    <w:p w14:paraId="6743C8CB">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3.生活污水应按照相关要求经厂（场）内预处理后纳入市政污水处理系统。</w:t>
      </w:r>
    </w:p>
    <w:p w14:paraId="3C98E004">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57" w:name="_Toc13662"/>
      <w:bookmarkStart w:id="158" w:name="_Toc18679"/>
      <w:bookmarkStart w:id="159" w:name="_Toc15701"/>
      <w:bookmarkStart w:id="160" w:name="_Toc4444"/>
      <w:bookmarkStart w:id="161" w:name="_Toc16897"/>
      <w:r>
        <w:rPr>
          <w:rFonts w:hint="eastAsia" w:ascii="Times New Roman" w:hAnsi="Times New Roman" w:cs="楷体_GB2312"/>
          <w:b/>
          <w:bCs w:val="0"/>
          <w:color w:val="auto"/>
          <w:spacing w:val="0"/>
          <w:kern w:val="2"/>
          <w:sz w:val="32"/>
          <w:szCs w:val="32"/>
          <w:highlight w:val="none"/>
          <w:lang w:val="en-US" w:eastAsia="zh-CN" w:bidi="ar-SA"/>
        </w:rPr>
        <w:t>噪声环境保护与防治</w:t>
      </w:r>
      <w:bookmarkEnd w:id="157"/>
      <w:bookmarkEnd w:id="158"/>
      <w:bookmarkEnd w:id="159"/>
      <w:bookmarkEnd w:id="160"/>
      <w:bookmarkEnd w:id="161"/>
    </w:p>
    <w:p w14:paraId="7344917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产生、收集、运输、处理环节的噪声环境污染防控措施应满足《中华人民共和国噪声污染防治法》等法律、法规、标准和相关环评的要求。建筑垃圾消纳场所的噪声环境污染防控措施包括但不限于以下内容：</w:t>
      </w:r>
    </w:p>
    <w:p w14:paraId="0BCC260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1.建筑垃圾消纳场所与生活管理区或周边居民区应设置绿化缓冲带，必要时设置隔声屏障。</w:t>
      </w:r>
    </w:p>
    <w:p w14:paraId="11866642">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2.噪声控制措施应符合《建筑垃圾处理技术标准》（CJJ/T 134）的规定。</w:t>
      </w:r>
    </w:p>
    <w:p w14:paraId="7686EEA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3.厂（场）界噪声限值应符合《工业企业厂界环境噪声排放标准》（GB 12348）的规定。</w:t>
      </w:r>
    </w:p>
    <w:p w14:paraId="7AFDADA9">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62" w:name="_Toc19717"/>
      <w:bookmarkStart w:id="163" w:name="_Toc6910"/>
      <w:bookmarkStart w:id="164" w:name="_Toc27371"/>
      <w:bookmarkStart w:id="165" w:name="_Toc3490"/>
      <w:bookmarkStart w:id="166" w:name="_Toc32097"/>
      <w:r>
        <w:rPr>
          <w:rFonts w:hint="eastAsia" w:ascii="Times New Roman" w:hAnsi="Times New Roman" w:cs="楷体_GB2312"/>
          <w:b/>
          <w:bCs w:val="0"/>
          <w:color w:val="auto"/>
          <w:spacing w:val="0"/>
          <w:kern w:val="2"/>
          <w:sz w:val="32"/>
          <w:szCs w:val="32"/>
          <w:highlight w:val="none"/>
          <w:lang w:val="en-US" w:eastAsia="zh-CN" w:bidi="ar-SA"/>
        </w:rPr>
        <w:t>土壤环境保护与防治</w:t>
      </w:r>
      <w:bookmarkEnd w:id="162"/>
      <w:bookmarkEnd w:id="163"/>
      <w:bookmarkEnd w:id="164"/>
      <w:bookmarkEnd w:id="165"/>
      <w:bookmarkEnd w:id="166"/>
    </w:p>
    <w:p w14:paraId="7D89182A">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建筑垃圾产生、运输、处置环节的土壤环境污染防控措施应满足《中华人民共和国土壤污染防治法》等法律、法规、标准和相关环评的要求。建筑垃圾消纳场所的土壤环境污染防控措施包括但不限于以下内容：</w:t>
      </w:r>
    </w:p>
    <w:p w14:paraId="61162528">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1.对于工程渣土，开展土壤性质调查，根据不同土质性状和用途，按照工程渣土分类标准，采取不同的处置措施。</w:t>
      </w:r>
    </w:p>
    <w:p w14:paraId="32C07B63">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2.针对建筑垃圾对土壤带来的污染种类，应做好源头控制。</w:t>
      </w:r>
    </w:p>
    <w:p w14:paraId="5AA730A4">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3.积极做好污水导排系统和污水处理设施，做好填埋、消纳区植被覆盖，减轻污染。</w:t>
      </w:r>
    </w:p>
    <w:p w14:paraId="6BC76881">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4.建筑垃圾治理建设项目各类涉及土地利用的规划和可能造成土壤污染的建设项目，应当依法进行环境影响评价。</w:t>
      </w:r>
    </w:p>
    <w:p w14:paraId="1C37F8F9">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5.建筑垃圾治理项目用地和周边环境用地土壤保护应满足《中华人民共和国土壤污染防治法》和其他法律法规的相关规定。</w:t>
      </w:r>
    </w:p>
    <w:p w14:paraId="29D6D30B">
      <w:pPr>
        <w:pStyle w:val="3"/>
        <w:bidi w:val="0"/>
        <w:ind w:left="420" w:leftChars="0" w:firstLine="220" w:firstLineChars="0"/>
        <w:rPr>
          <w:rFonts w:hint="default" w:ascii="Times New Roman" w:hAnsi="Times New Roman"/>
          <w:b/>
          <w:bCs/>
          <w:color w:val="auto"/>
          <w:spacing w:val="0"/>
          <w:highlight w:val="none"/>
          <w:lang w:val="en-US" w:eastAsia="zh-CN"/>
        </w:rPr>
      </w:pPr>
      <w:bookmarkStart w:id="167" w:name="_Toc20578"/>
      <w:bookmarkStart w:id="168" w:name="_Toc22375"/>
      <w:r>
        <w:rPr>
          <w:rFonts w:hint="eastAsia" w:ascii="Times New Roman" w:hAnsi="Times New Roman" w:eastAsia="黑体" w:cs="黑体"/>
          <w:b/>
          <w:bCs/>
          <w:color w:val="auto"/>
          <w:spacing w:val="0"/>
          <w:sz w:val="32"/>
          <w:szCs w:val="32"/>
          <w:highlight w:val="none"/>
          <w:lang w:val="en-US" w:eastAsia="zh-CN"/>
        </w:rPr>
        <w:t>管理体系规划</w:t>
      </w:r>
      <w:bookmarkEnd w:id="167"/>
      <w:bookmarkEnd w:id="168"/>
    </w:p>
    <w:p w14:paraId="7A05EFDD">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69" w:name="_Toc11260"/>
      <w:r>
        <w:rPr>
          <w:rFonts w:hint="eastAsia" w:ascii="Times New Roman" w:hAnsi="Times New Roman" w:cs="楷体_GB2312"/>
          <w:b/>
          <w:bCs w:val="0"/>
          <w:color w:val="auto"/>
          <w:spacing w:val="0"/>
          <w:kern w:val="2"/>
          <w:sz w:val="32"/>
          <w:szCs w:val="32"/>
          <w:highlight w:val="none"/>
          <w:lang w:val="en-US" w:eastAsia="zh-CN" w:bidi="ar-SA"/>
        </w:rPr>
        <w:t>处置核准管理机制</w:t>
      </w:r>
      <w:bookmarkEnd w:id="169"/>
    </w:p>
    <w:p w14:paraId="07CE45A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sz w:val="32"/>
          <w:szCs w:val="32"/>
          <w:highlight w:val="none"/>
          <w:lang w:eastAsia="zh-CN"/>
        </w:rPr>
        <w:t>根据《城市建筑垃圾管理规定》</w:t>
      </w:r>
      <w:r>
        <w:rPr>
          <w:rFonts w:hint="eastAsia" w:ascii="仿宋_GB2312" w:hAnsi="仿宋_GB2312" w:eastAsia="仿宋_GB2312" w:cs="仿宋_GB2312"/>
          <w:color w:val="auto"/>
          <w:spacing w:val="0"/>
          <w:sz w:val="32"/>
          <w:szCs w:val="32"/>
          <w:highlight w:val="none"/>
        </w:rPr>
        <w:t>《广东省建筑垃圾管理条例》</w:t>
      </w:r>
      <w:r>
        <w:rPr>
          <w:rFonts w:hint="eastAsia" w:ascii="仿宋_GB2312" w:hAnsi="仿宋_GB2312" w:eastAsia="仿宋_GB2312" w:cs="仿宋_GB2312"/>
          <w:color w:val="auto"/>
          <w:spacing w:val="0"/>
          <w:sz w:val="32"/>
          <w:szCs w:val="32"/>
          <w:highlight w:val="none"/>
          <w:lang w:eastAsia="zh-CN"/>
        </w:rPr>
        <w:t>《广州市建筑废弃物管理条例》</w:t>
      </w:r>
      <w:r>
        <w:rPr>
          <w:rFonts w:hint="eastAsia" w:ascii="仿宋_GB2312" w:hAnsi="仿宋_GB2312" w:eastAsia="仿宋_GB2312" w:cs="仿宋_GB2312"/>
          <w:color w:val="auto"/>
          <w:spacing w:val="0"/>
          <w:sz w:val="32"/>
          <w:szCs w:val="32"/>
          <w:highlight w:val="none"/>
          <w:lang w:val="en-US" w:eastAsia="zh-CN"/>
        </w:rPr>
        <w:t>《广州市水域市容环境卫生管理条例》</w:t>
      </w:r>
      <w:r>
        <w:rPr>
          <w:rFonts w:hint="eastAsia" w:ascii="仿宋_GB2312" w:hAnsi="仿宋_GB2312" w:eastAsia="仿宋_GB2312" w:cs="仿宋_GB2312"/>
          <w:color w:val="auto"/>
          <w:spacing w:val="0"/>
          <w:sz w:val="32"/>
          <w:szCs w:val="32"/>
          <w:highlight w:val="none"/>
          <w:lang w:eastAsia="zh-CN"/>
        </w:rPr>
        <w:t>等</w:t>
      </w:r>
      <w:r>
        <w:rPr>
          <w:rFonts w:hint="eastAsia" w:ascii="仿宋_GB2312" w:hAnsi="仿宋_GB2312" w:eastAsia="仿宋_GB2312" w:cs="仿宋_GB2312"/>
          <w:color w:val="auto"/>
          <w:spacing w:val="0"/>
          <w:kern w:val="2"/>
          <w:sz w:val="32"/>
          <w:szCs w:val="32"/>
          <w:highlight w:val="none"/>
          <w:lang w:val="en-US" w:eastAsia="zh-CN" w:bidi="ar-SA"/>
        </w:rPr>
        <w:t>规定，建筑垃圾排放人、运输人、消纳人，应当依法向区建筑垃圾主管部门申请办理《广州市建筑废弃物处置证》；建筑垃圾处理方案是排放人申请《广州市建筑废弃物处置证》所需提供的材料之一。</w:t>
      </w:r>
    </w:p>
    <w:p w14:paraId="3F01F257">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70" w:name="_Toc23500"/>
      <w:r>
        <w:rPr>
          <w:rFonts w:hint="eastAsia" w:ascii="Times New Roman" w:hAnsi="Times New Roman" w:cs="楷体_GB2312"/>
          <w:b/>
          <w:bCs w:val="0"/>
          <w:color w:val="auto"/>
          <w:spacing w:val="0"/>
          <w:kern w:val="2"/>
          <w:sz w:val="32"/>
          <w:szCs w:val="32"/>
          <w:highlight w:val="none"/>
          <w:lang w:val="en-US" w:eastAsia="zh-CN" w:bidi="ar-SA"/>
        </w:rPr>
        <w:t>全过程联单管理机制</w:t>
      </w:r>
      <w:bookmarkEnd w:id="170"/>
    </w:p>
    <w:p w14:paraId="498385D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按照《广东省建筑垃圾转移联单管理办法》要求，建立建筑垃圾产生、收集、贮存、运输、利用、处置全过程联单管理制度。</w:t>
      </w:r>
    </w:p>
    <w:p w14:paraId="66FC3AA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kern w:val="2"/>
          <w:sz w:val="32"/>
          <w:szCs w:val="32"/>
          <w:highlight w:val="none"/>
          <w:lang w:val="en-US" w:eastAsia="zh-CN" w:bidi="ar-SA"/>
        </w:rPr>
      </w:pPr>
      <w:r>
        <w:rPr>
          <w:rFonts w:hint="eastAsia" w:ascii="仿宋_GB2312" w:hAnsi="仿宋_GB2312" w:eastAsia="仿宋_GB2312" w:cs="仿宋_GB2312"/>
          <w:color w:val="auto"/>
          <w:spacing w:val="0"/>
          <w:kern w:val="2"/>
          <w:sz w:val="32"/>
          <w:szCs w:val="32"/>
          <w:highlight w:val="none"/>
          <w:lang w:val="en-US" w:eastAsia="zh-CN" w:bidi="ar-SA"/>
        </w:rPr>
        <w:t>本区建筑垃圾主管部门及有关部门，依据市级层面建立的建筑垃圾联单管理制度，</w:t>
      </w:r>
      <w:r>
        <w:rPr>
          <w:rFonts w:hint="eastAsia" w:ascii="仿宋_GB2312" w:hAnsi="仿宋_GB2312" w:eastAsia="仿宋_GB2312" w:cs="仿宋_GB2312"/>
          <w:color w:val="auto"/>
          <w:sz w:val="32"/>
          <w:szCs w:val="32"/>
          <w:highlight w:val="none"/>
          <w:lang w:val="en-US" w:eastAsia="zh-CN"/>
        </w:rPr>
        <w:t>指导督促</w:t>
      </w:r>
      <w:r>
        <w:rPr>
          <w:rFonts w:hint="eastAsia" w:ascii="仿宋_GB2312" w:hAnsi="仿宋_GB2312" w:eastAsia="仿宋_GB2312" w:cs="仿宋_GB2312"/>
          <w:color w:val="auto"/>
          <w:spacing w:val="0"/>
          <w:kern w:val="2"/>
          <w:sz w:val="32"/>
          <w:szCs w:val="32"/>
          <w:highlight w:val="none"/>
          <w:lang w:val="en-US" w:eastAsia="zh-CN" w:bidi="ar-SA"/>
        </w:rPr>
        <w:t>排放工地、运输企业、转运设施、综合利用场所、消纳场等纳入广州市建筑垃圾智慧综合管理系统监管，实现全过程闭环管理。利用信息化手段推行电子联单管理，实现建筑垃圾种类、数量和流向等情况可追溯、可查询。</w:t>
      </w:r>
    </w:p>
    <w:p w14:paraId="72487335">
      <w:pPr>
        <w:pStyle w:val="4"/>
        <w:pageBreakBefore w:val="0"/>
        <w:widowControl/>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71" w:name="_Toc4256"/>
      <w:r>
        <w:rPr>
          <w:rFonts w:hint="eastAsia" w:ascii="Times New Roman" w:hAnsi="Times New Roman" w:cs="楷体_GB2312"/>
          <w:b/>
          <w:bCs w:val="0"/>
          <w:color w:val="auto"/>
          <w:spacing w:val="0"/>
          <w:kern w:val="2"/>
          <w:sz w:val="32"/>
          <w:szCs w:val="32"/>
          <w:highlight w:val="none"/>
          <w:lang w:val="en-US" w:eastAsia="zh-CN" w:bidi="ar-SA"/>
        </w:rPr>
        <w:t>跨区域平衡处置和生态补偿机制</w:t>
      </w:r>
      <w:bookmarkEnd w:id="171"/>
    </w:p>
    <w:p w14:paraId="280D3B98">
      <w:pPr>
        <w:widowControl/>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1.建立跨区域平衡处置机制</w:t>
      </w:r>
    </w:p>
    <w:p w14:paraId="43ED06EE">
      <w:pPr>
        <w:keepNext w:val="0"/>
        <w:keepLines w:val="0"/>
        <w:pageBreakBefore w:val="0"/>
        <w:widowControl/>
        <w:kinsoku/>
        <w:wordWrap/>
        <w:overflowPunct/>
        <w:topLinePunct w:val="0"/>
        <w:autoSpaceDE/>
        <w:autoSpaceDN/>
        <w:bidi w:val="0"/>
        <w:adjustRightInd/>
        <w:snapToGrid/>
        <w:spacing w:line="600" w:lineRule="exact"/>
        <w:ind w:firstLine="632" w:firstLineChars="200"/>
        <w:jc w:val="both"/>
        <w:textAlignment w:val="auto"/>
        <w:rPr>
          <w:rFonts w:hint="eastAsia" w:ascii="仿宋_GB2312" w:hAnsi="仿宋_GB2312" w:eastAsia="仿宋_GB2312" w:cs="仿宋_GB2312"/>
          <w:color w:val="auto"/>
          <w:spacing w:val="-2"/>
          <w:sz w:val="32"/>
          <w:szCs w:val="32"/>
          <w:highlight w:val="none"/>
          <w:lang w:val="en-US" w:eastAsia="zh-CN"/>
        </w:rPr>
      </w:pPr>
      <w:r>
        <w:rPr>
          <w:rFonts w:hint="eastAsia" w:ascii="仿宋_GB2312" w:hAnsi="仿宋_GB2312" w:eastAsia="仿宋_GB2312" w:cs="仿宋_GB2312"/>
          <w:color w:val="auto"/>
          <w:spacing w:val="-2"/>
          <w:sz w:val="32"/>
          <w:szCs w:val="32"/>
          <w:highlight w:val="none"/>
          <w:lang w:val="en-US" w:eastAsia="zh-CN"/>
        </w:rPr>
        <w:t>对于跨市处置建筑垃圾相关工作，依据省市建立的跨区域平衡处置机制，本区建筑垃圾主管部门积极配合上级主管部门公布本行政区域内合法且有跨区域平衡处置需求的建筑垃圾排放单位、运输单位、消纳单位等相关信息；核对确认广东省建筑垃圾跨区域平衡处置协作监管平台上相关的建筑垃圾跨区域平衡处置登记；督促指导本行政区域范围内的排放单位、运输单位和消纳单位定期核查联单信息，对异常联单核实跟进，并将相关情况上报；通过信息推送、数据共享等方式将省平台相关信息共享到住建、规自、生态、公安、交通、水利、农业农村、港务、海事等相关部门，并运用省协作平台对电子联单执行情况进行抽查和监管。</w:t>
      </w:r>
    </w:p>
    <w:p w14:paraId="165A3C1B">
      <w:pPr>
        <w:widowControl/>
        <w:overflowPunct w:val="0"/>
        <w:adjustRightInd/>
        <w:snapToGrid/>
        <w:spacing w:line="600" w:lineRule="exact"/>
        <w:ind w:firstLine="643" w:firstLineChars="200"/>
        <w:jc w:val="both"/>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pPr>
      <w:r>
        <w:rPr>
          <w:rFonts w:hint="eastAsia" w:ascii="仿宋_GB2312" w:hAnsi="仿宋_GB2312" w:eastAsia="仿宋_GB2312" w:cs="仿宋_GB2312"/>
          <w:b/>
          <w:bCs/>
          <w:i w:val="0"/>
          <w:iCs w:val="0"/>
          <w:color w:val="auto"/>
          <w:spacing w:val="0"/>
          <w:kern w:val="2"/>
          <w:sz w:val="32"/>
          <w:szCs w:val="32"/>
          <w:highlight w:val="none"/>
          <w:vertAlign w:val="baseline"/>
          <w:lang w:val="en-US" w:eastAsia="zh-CN" w:bidi="ar-SA"/>
        </w:rPr>
        <w:t>2.建立生态补偿机制</w:t>
      </w:r>
    </w:p>
    <w:p w14:paraId="21CE8CEA">
      <w:pPr>
        <w:keepNext w:val="0"/>
        <w:keepLines w:val="0"/>
        <w:pageBreakBefore w:val="0"/>
        <w:widowControl/>
        <w:kinsoku/>
        <w:wordWrap/>
        <w:overflowPunct w:val="0"/>
        <w:topLinePunct w:val="0"/>
        <w:autoSpaceDE/>
        <w:autoSpaceDN/>
        <w:bidi w:val="0"/>
        <w:adjustRightInd/>
        <w:snapToGrid/>
        <w:spacing w:line="600" w:lineRule="exact"/>
        <w:ind w:firstLine="632" w:firstLineChars="200"/>
        <w:jc w:val="both"/>
        <w:textAlignment w:val="auto"/>
        <w:rPr>
          <w:rFonts w:hint="eastAsia" w:ascii="仿宋_GB2312" w:hAnsi="仿宋_GB2312" w:eastAsia="仿宋_GB2312" w:cs="仿宋_GB2312"/>
          <w:color w:val="auto"/>
          <w:spacing w:val="-2"/>
          <w:sz w:val="32"/>
          <w:szCs w:val="32"/>
          <w:highlight w:val="none"/>
          <w:lang w:val="en-US" w:eastAsia="zh-CN"/>
        </w:rPr>
      </w:pPr>
      <w:r>
        <w:rPr>
          <w:rFonts w:hint="eastAsia" w:ascii="仿宋_GB2312" w:hAnsi="仿宋_GB2312" w:eastAsia="仿宋_GB2312" w:cs="仿宋_GB2312"/>
          <w:color w:val="auto"/>
          <w:spacing w:val="-2"/>
          <w:sz w:val="32"/>
          <w:szCs w:val="32"/>
          <w:highlight w:val="none"/>
          <w:lang w:val="en-US" w:eastAsia="zh-CN"/>
        </w:rPr>
        <w:t>根据相关上级文件精神，按照“受益者付费、损害者赔偿”的原则，由市建筑垃圾主管部门牵头实施市内建筑垃圾跨区域平衡处置相关工作，建立</w:t>
      </w:r>
      <w:r>
        <w:rPr>
          <w:rFonts w:hint="default" w:ascii="仿宋_GB2312" w:hAnsi="仿宋_GB2312" w:eastAsia="仿宋_GB2312" w:cs="仿宋_GB2312"/>
          <w:color w:val="auto"/>
          <w:spacing w:val="-2"/>
          <w:sz w:val="32"/>
          <w:szCs w:val="32"/>
          <w:highlight w:val="none"/>
          <w:lang w:val="en-US" w:eastAsia="zh-CN"/>
        </w:rPr>
        <w:t>建筑垃圾</w:t>
      </w:r>
      <w:r>
        <w:rPr>
          <w:rFonts w:hint="eastAsia" w:ascii="仿宋_GB2312" w:hAnsi="仿宋_GB2312" w:eastAsia="仿宋_GB2312" w:cs="仿宋_GB2312"/>
          <w:color w:val="auto"/>
          <w:spacing w:val="-2"/>
          <w:sz w:val="32"/>
          <w:szCs w:val="32"/>
          <w:highlight w:val="none"/>
          <w:lang w:val="en-US" w:eastAsia="zh-CN"/>
        </w:rPr>
        <w:t>跨区域处置生态补偿机制，及时与相关城市的市建筑垃圾主管部门对接和信息共享，加强监督管理。</w:t>
      </w:r>
      <w:r>
        <w:rPr>
          <w:rFonts w:hint="eastAsia" w:ascii="仿宋_GB2312" w:hAnsi="仿宋_GB2312" w:eastAsia="仿宋_GB2312" w:cs="仿宋_GB2312"/>
          <w:color w:val="auto"/>
          <w:spacing w:val="0"/>
          <w:sz w:val="32"/>
          <w:szCs w:val="32"/>
          <w:highlight w:val="none"/>
          <w:lang w:val="en-US" w:eastAsia="zh-CN"/>
        </w:rPr>
        <w:t>根据市人民政府与补偿地或受偿地的地级以上市人民政府签订的生态保护补偿协议，区人民政府及其相关部门落实相关的生态保护补偿工作。</w:t>
      </w:r>
    </w:p>
    <w:p w14:paraId="0E097C69">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72" w:name="_Toc25285"/>
      <w:bookmarkStart w:id="173" w:name="_Toc32392"/>
      <w:bookmarkStart w:id="174" w:name="_Toc23798"/>
      <w:bookmarkStart w:id="175" w:name="_Toc25988"/>
      <w:bookmarkStart w:id="176" w:name="_Toc15796"/>
      <w:r>
        <w:rPr>
          <w:rFonts w:hint="eastAsia" w:ascii="Times New Roman" w:hAnsi="Times New Roman" w:cs="楷体_GB2312"/>
          <w:b/>
          <w:bCs w:val="0"/>
          <w:color w:val="auto"/>
          <w:spacing w:val="0"/>
          <w:kern w:val="2"/>
          <w:sz w:val="32"/>
          <w:szCs w:val="32"/>
          <w:highlight w:val="none"/>
          <w:lang w:val="en-US" w:eastAsia="zh-CN" w:bidi="ar-SA"/>
        </w:rPr>
        <w:t>政府扶持机制</w:t>
      </w:r>
      <w:bookmarkEnd w:id="172"/>
      <w:bookmarkEnd w:id="173"/>
      <w:bookmarkEnd w:id="174"/>
      <w:bookmarkEnd w:id="175"/>
      <w:bookmarkEnd w:id="176"/>
    </w:p>
    <w:p w14:paraId="56E9141E">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建议政府扶持主要分为3个方面，具体为：</w:t>
      </w:r>
    </w:p>
    <w:p w14:paraId="14DCBEAD">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1.通过强化联合执法监管等措施，严厉打击建筑垃圾违规倾倒、违规处置等现象，保障建筑垃圾资源化利用项目的建筑垃圾来料。</w:t>
      </w:r>
    </w:p>
    <w:p w14:paraId="4A0822DC">
      <w:pPr>
        <w:keepNext w:val="0"/>
        <w:keepLines w:val="0"/>
        <w:pageBreakBefore w:val="0"/>
        <w:widowControl/>
        <w:shd w:val="clear" w:color="auto" w:fill="auto"/>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2.税务部门按照国家有关规定落实企业所得税和增值税的减免优惠政策。</w:t>
      </w:r>
    </w:p>
    <w:p w14:paraId="523EAC79">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3.落实建筑垃圾再生利用产品优先政策，在城市道路、公园、广场等市政工程，以及其他非承重结构工程建设中，优先使用建筑垃圾再生产品。</w:t>
      </w:r>
    </w:p>
    <w:p w14:paraId="0163EC00">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77" w:name="_Toc4520"/>
      <w:bookmarkStart w:id="178" w:name="_Toc24063"/>
      <w:bookmarkStart w:id="179" w:name="_Toc17434"/>
      <w:bookmarkStart w:id="180" w:name="_Toc4"/>
      <w:bookmarkStart w:id="181" w:name="_Toc31643"/>
      <w:r>
        <w:rPr>
          <w:rFonts w:hint="eastAsia" w:ascii="Times New Roman" w:hAnsi="Times New Roman" w:cs="楷体_GB2312"/>
          <w:b/>
          <w:bCs w:val="0"/>
          <w:color w:val="auto"/>
          <w:spacing w:val="0"/>
          <w:kern w:val="2"/>
          <w:sz w:val="32"/>
          <w:szCs w:val="32"/>
          <w:highlight w:val="none"/>
          <w:lang w:val="en-US" w:eastAsia="zh-CN" w:bidi="ar-SA"/>
        </w:rPr>
        <w:t>源头责任机制</w:t>
      </w:r>
      <w:bookmarkEnd w:id="177"/>
      <w:bookmarkEnd w:id="178"/>
      <w:bookmarkEnd w:id="179"/>
      <w:bookmarkEnd w:id="180"/>
      <w:bookmarkEnd w:id="181"/>
    </w:p>
    <w:p w14:paraId="7909B041">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明确规定建设单位为工地建筑垃圾管理处置主要责任人，关于超限超载等责任人依据《广东省道路货物运输超限超载治理办法》进行规定，对不执行相关规定的工地由交通部门依法追究建设单位责任。明确施工单位要切实履行市容环卫责任，建立健全车辆装载配载安全管理制度，按照规定装载配载货物，落实施工工地保洁措施；工程完工后应及时清理现场，平整场地和修复破损路面，保证建筑工地出入口及工地周边环境整洁；安装工地视频监控设备，并接入建筑垃圾主管部门监控系统。建筑垃圾主管部门依托信息管理系统，对施工工地实时监管。</w:t>
      </w:r>
    </w:p>
    <w:p w14:paraId="4DFEC87E">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82" w:name="_Toc11661"/>
      <w:bookmarkStart w:id="183" w:name="_Toc26680"/>
      <w:bookmarkStart w:id="184" w:name="_Toc29251"/>
      <w:bookmarkStart w:id="185" w:name="_Toc17707"/>
      <w:bookmarkStart w:id="186" w:name="_Toc32738"/>
      <w:r>
        <w:rPr>
          <w:rFonts w:hint="eastAsia" w:ascii="Times New Roman" w:hAnsi="Times New Roman" w:cs="楷体_GB2312"/>
          <w:b/>
          <w:bCs w:val="0"/>
          <w:color w:val="auto"/>
          <w:spacing w:val="0"/>
          <w:kern w:val="2"/>
          <w:sz w:val="32"/>
          <w:szCs w:val="32"/>
          <w:highlight w:val="none"/>
          <w:lang w:val="en-US" w:eastAsia="zh-CN" w:bidi="ar-SA"/>
        </w:rPr>
        <w:t>联合执法机制</w:t>
      </w:r>
      <w:bookmarkEnd w:id="182"/>
      <w:bookmarkEnd w:id="183"/>
      <w:bookmarkEnd w:id="184"/>
      <w:bookmarkEnd w:id="185"/>
      <w:bookmarkEnd w:id="186"/>
    </w:p>
    <w:p w14:paraId="4AD0100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各相关部门要按照各自职能，对建筑垃圾产生源头、运输过程、消纳及资源化利用等各个环节落实严密措施，实施严格监管。加强建筑垃圾污染环境防治工作，并建立联席会议制度，建立由地方政府领导负责、多部门组成的联动机制。加强工作衔接，互通管理信息，强化日常管理，做到各司其职，协同共管。</w:t>
      </w:r>
    </w:p>
    <w:p w14:paraId="459935CD">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87" w:name="_Toc4785"/>
      <w:bookmarkStart w:id="188" w:name="_Toc837"/>
      <w:bookmarkStart w:id="189" w:name="_Toc24686"/>
      <w:bookmarkStart w:id="190" w:name="_Toc5895"/>
      <w:bookmarkStart w:id="191" w:name="_Toc30030"/>
      <w:r>
        <w:rPr>
          <w:rFonts w:hint="eastAsia" w:ascii="Times New Roman" w:hAnsi="Times New Roman" w:cs="楷体_GB2312"/>
          <w:b/>
          <w:bCs w:val="0"/>
          <w:color w:val="auto"/>
          <w:spacing w:val="0"/>
          <w:kern w:val="2"/>
          <w:sz w:val="32"/>
          <w:szCs w:val="32"/>
          <w:highlight w:val="none"/>
          <w:lang w:val="en-US" w:eastAsia="zh-CN" w:bidi="ar-SA"/>
        </w:rPr>
        <w:t>投诉举报机制</w:t>
      </w:r>
      <w:bookmarkEnd w:id="187"/>
      <w:bookmarkEnd w:id="188"/>
      <w:bookmarkEnd w:id="189"/>
      <w:bookmarkEnd w:id="190"/>
      <w:bookmarkEnd w:id="191"/>
    </w:p>
    <w:p w14:paraId="01C9425A">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进一步完善相关制度建设，设立专门的投诉举报窗口或平台，鼓励群众对建筑垃圾偷倒乱倒、未密闭运输、超限超载运输等违法违规行为进行监督，并对社会公众投诉举报的违法违规行为依法进行审查处理。违法违规行为一经查实，可依法采取批评教育、罚款等措施，对情节严重且屡教不改的，可将责任单位名称、联系电话、责任人等信息，通过公众媒体向社会公布，视情况对提供有效举报信息的群众给予奖励。</w:t>
      </w:r>
    </w:p>
    <w:p w14:paraId="5E6B0158">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192" w:name="_Toc7989"/>
      <w:bookmarkStart w:id="193" w:name="_Toc5967"/>
      <w:bookmarkStart w:id="194" w:name="_Toc6635"/>
      <w:bookmarkStart w:id="195" w:name="_Toc2246"/>
      <w:bookmarkStart w:id="196" w:name="_Toc11647"/>
      <w:r>
        <w:rPr>
          <w:rFonts w:hint="eastAsia" w:ascii="Times New Roman" w:hAnsi="Times New Roman" w:cs="楷体_GB2312"/>
          <w:b/>
          <w:bCs w:val="0"/>
          <w:color w:val="auto"/>
          <w:spacing w:val="0"/>
          <w:kern w:val="2"/>
          <w:sz w:val="32"/>
          <w:szCs w:val="32"/>
          <w:highlight w:val="none"/>
          <w:lang w:val="en-US" w:eastAsia="zh-CN" w:bidi="ar-SA"/>
        </w:rPr>
        <w:t>探索付费机制</w:t>
      </w:r>
      <w:bookmarkEnd w:id="192"/>
      <w:bookmarkEnd w:id="193"/>
      <w:bookmarkEnd w:id="194"/>
      <w:bookmarkEnd w:id="195"/>
      <w:bookmarkEnd w:id="196"/>
    </w:p>
    <w:p w14:paraId="6D879F8B">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按照“谁产生、谁污染、谁负责”的原则，产生建筑垃圾的单位和个人具有规范清运和处置的主体责任，需缴纳相关清运处置费。在现有基础上，逐步建立健全污染者付费制度，制定相关指导意见，如建筑、拆迁工程按照建筑面积或产量收取清运费和处置费，居民装修按照重量或收运次数收取费用等。</w:t>
      </w:r>
    </w:p>
    <w:p w14:paraId="728BD95D">
      <w:pPr>
        <w:overflowPunct w:val="0"/>
        <w:bidi w:val="0"/>
        <w:jc w:val="both"/>
        <w:rPr>
          <w:rFonts w:hint="eastAsia" w:ascii="仿宋_GB2312" w:hAnsi="仿宋_GB2312" w:eastAsia="仿宋_GB2312" w:cs="仿宋_GB2312"/>
          <w:color w:val="auto"/>
          <w:spacing w:val="0"/>
          <w:highlight w:val="none"/>
          <w:lang w:eastAsia="zh-CN"/>
        </w:rPr>
      </w:pPr>
    </w:p>
    <w:p w14:paraId="0D10EC77">
      <w:pPr>
        <w:pStyle w:val="3"/>
        <w:bidi w:val="0"/>
        <w:ind w:left="420" w:leftChars="0" w:firstLine="220" w:firstLineChars="0"/>
        <w:rPr>
          <w:rFonts w:hint="default" w:ascii="Times New Roman" w:hAnsi="Times New Roman"/>
          <w:b/>
          <w:bCs/>
          <w:color w:val="auto"/>
          <w:spacing w:val="0"/>
          <w:highlight w:val="none"/>
          <w:lang w:val="en-US" w:eastAsia="zh-CN"/>
        </w:rPr>
      </w:pPr>
      <w:bookmarkStart w:id="197" w:name="_Toc2891"/>
      <w:bookmarkStart w:id="198" w:name="_Toc24549"/>
      <w:r>
        <w:rPr>
          <w:rFonts w:hint="eastAsia" w:ascii="Times New Roman" w:hAnsi="Times New Roman" w:cs="黑体"/>
          <w:b/>
          <w:bCs/>
          <w:color w:val="auto"/>
          <w:spacing w:val="0"/>
          <w:sz w:val="32"/>
          <w:szCs w:val="32"/>
          <w:highlight w:val="none"/>
          <w:lang w:val="en-US" w:eastAsia="zh-CN"/>
        </w:rPr>
        <w:t>保障措施</w:t>
      </w:r>
      <w:bookmarkEnd w:id="197"/>
      <w:bookmarkEnd w:id="198"/>
    </w:p>
    <w:p w14:paraId="32C9C993">
      <w:pPr>
        <w:pStyle w:val="4"/>
        <w:pageBreakBefore w:val="0"/>
        <w:widowControl/>
        <w:shd w:val="clear" w:color="auto" w:fill="auto"/>
        <w:kinsoku/>
        <w:wordWrap/>
        <w:overflowPunct/>
        <w:topLinePunct w:val="0"/>
        <w:autoSpaceDE/>
        <w:autoSpaceDN/>
        <w:bidi w:val="0"/>
        <w:adjustRightInd/>
        <w:snapToGrid/>
        <w:spacing w:line="600" w:lineRule="exact"/>
        <w:ind w:left="0" w:leftChars="0" w:firstLine="640" w:firstLineChars="0"/>
        <w:textAlignment w:val="auto"/>
        <w:rPr>
          <w:rFonts w:hint="default" w:ascii="Times New Roman" w:hAnsi="Times New Roman" w:cs="楷体_GB2312"/>
          <w:b/>
          <w:bCs w:val="0"/>
          <w:color w:val="auto"/>
          <w:spacing w:val="0"/>
          <w:kern w:val="2"/>
          <w:sz w:val="32"/>
          <w:szCs w:val="32"/>
          <w:highlight w:val="none"/>
          <w:lang w:val="en-US" w:eastAsia="zh-CN" w:bidi="ar-SA"/>
        </w:rPr>
      </w:pPr>
      <w:bookmarkStart w:id="199" w:name="_Toc8496"/>
      <w:bookmarkStart w:id="200" w:name="_Toc22988"/>
      <w:bookmarkStart w:id="201" w:name="_Toc27696"/>
      <w:bookmarkStart w:id="202" w:name="_Toc4707"/>
      <w:bookmarkStart w:id="203" w:name="_Toc11054"/>
      <w:r>
        <w:rPr>
          <w:rFonts w:hint="eastAsia" w:ascii="Times New Roman" w:hAnsi="Times New Roman" w:cs="楷体_GB2312"/>
          <w:b/>
          <w:bCs w:val="0"/>
          <w:color w:val="auto"/>
          <w:spacing w:val="0"/>
          <w:kern w:val="2"/>
          <w:sz w:val="32"/>
          <w:szCs w:val="32"/>
          <w:highlight w:val="none"/>
          <w:lang w:val="en-US" w:eastAsia="zh-CN" w:bidi="ar-SA"/>
        </w:rPr>
        <w:t>强化统筹推进</w:t>
      </w:r>
      <w:bookmarkEnd w:id="199"/>
      <w:bookmarkEnd w:id="200"/>
      <w:bookmarkEnd w:id="201"/>
      <w:bookmarkEnd w:id="202"/>
      <w:bookmarkEnd w:id="203"/>
    </w:p>
    <w:p w14:paraId="73ADEF5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应坚持党的领导并贯彻到整体规划实施全过程，落实镇街及相关部门管理责任。按照职能分工，建立责任明确、协调有序、监管有力的工作协调机制，强化政策联动，统筹推进辖区内建筑垃圾污染防治、综合利用等工作。依据本行政区域国土空间规划以及本工作规划，统筹安排建筑垃圾处理设施的布局和用地。积极对辖区内政策执行情况和产业发展情况进行跟踪评估，针对薄弱环节、滞后领域、管理盲点尽快制定并出台管理制度或方案，定期统计建筑垃圾产业及综合利用情况。建立健全规划评价考核体系和考核办法并严格执行，建立常态化风险监测机制，对建筑垃圾处置设施风险隐患实时监测跟踪。</w:t>
      </w:r>
    </w:p>
    <w:p w14:paraId="73785E67">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204" w:name="_Toc30340"/>
      <w:bookmarkStart w:id="205" w:name="_Toc10276"/>
      <w:bookmarkStart w:id="206" w:name="_Toc259"/>
      <w:bookmarkStart w:id="207" w:name="_Toc32664"/>
      <w:bookmarkStart w:id="208" w:name="_Toc3064"/>
      <w:r>
        <w:rPr>
          <w:rFonts w:hint="eastAsia" w:ascii="Times New Roman" w:hAnsi="Times New Roman" w:cs="楷体_GB2312"/>
          <w:b/>
          <w:bCs w:val="0"/>
          <w:color w:val="auto"/>
          <w:spacing w:val="0"/>
          <w:kern w:val="2"/>
          <w:sz w:val="32"/>
          <w:szCs w:val="32"/>
          <w:highlight w:val="none"/>
          <w:lang w:val="en-US" w:eastAsia="zh-CN" w:bidi="ar-SA"/>
        </w:rPr>
        <w:t>落实政策扶持</w:t>
      </w:r>
      <w:bookmarkEnd w:id="204"/>
      <w:bookmarkEnd w:id="205"/>
      <w:bookmarkEnd w:id="206"/>
      <w:bookmarkEnd w:id="207"/>
      <w:bookmarkEnd w:id="208"/>
    </w:p>
    <w:p w14:paraId="5068E23B">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落实相关政策，继续推动增值税、所得税等优惠政策执行。鼓励绿色信贷支持，对申请绿色工厂相关企业和建筑垃圾综合利用企业发放绿色债券。鼓励地方支持绿色工厂技术服务企业和资源综合利用产业发展。完善市场准入制度，加强事中事后监管，营造公平竞争市场环境，有效增强资源综合利用产业投资吸引力，引导社会资本加大建筑垃圾综合利用投入，不断探索依靠市场机制推动建筑垃圾综合利用的路径和模式。加快健全建筑垃圾资源化利用技术标准，加大建筑垃圾资源利用装备和技术研发力度，进一步加强建筑垃圾再生产品推广运用，推进再生产品产业集聚化发展。</w:t>
      </w:r>
    </w:p>
    <w:p w14:paraId="72EFCD2E">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209" w:name="_Toc22501"/>
      <w:bookmarkStart w:id="210" w:name="_Toc8408"/>
      <w:bookmarkStart w:id="211" w:name="_Toc1575"/>
      <w:bookmarkStart w:id="212" w:name="_Toc9064"/>
      <w:bookmarkStart w:id="213" w:name="_Toc25526"/>
      <w:r>
        <w:rPr>
          <w:rFonts w:hint="eastAsia" w:ascii="Times New Roman" w:hAnsi="Times New Roman" w:cs="楷体_GB2312"/>
          <w:b/>
          <w:bCs w:val="0"/>
          <w:color w:val="auto"/>
          <w:spacing w:val="0"/>
          <w:kern w:val="2"/>
          <w:sz w:val="32"/>
          <w:szCs w:val="32"/>
          <w:highlight w:val="none"/>
          <w:lang w:val="en-US" w:eastAsia="zh-CN" w:bidi="ar-SA"/>
        </w:rPr>
        <w:t>强化联合监管</w:t>
      </w:r>
      <w:bookmarkEnd w:id="209"/>
      <w:bookmarkEnd w:id="210"/>
      <w:bookmarkEnd w:id="211"/>
      <w:r>
        <w:rPr>
          <w:rFonts w:hint="eastAsia" w:ascii="Times New Roman" w:hAnsi="Times New Roman" w:cs="楷体_GB2312"/>
          <w:b/>
          <w:bCs w:val="0"/>
          <w:color w:val="auto"/>
          <w:spacing w:val="0"/>
          <w:kern w:val="2"/>
          <w:sz w:val="32"/>
          <w:szCs w:val="32"/>
          <w:highlight w:val="none"/>
          <w:lang w:val="en-US" w:eastAsia="zh-CN" w:bidi="ar-SA"/>
        </w:rPr>
        <w:t>及执法</w:t>
      </w:r>
      <w:bookmarkEnd w:id="212"/>
      <w:bookmarkEnd w:id="213"/>
    </w:p>
    <w:p w14:paraId="5C12B29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由建筑垃圾主管部门牵头，住建、公安、规自、生态环境、交通、水利等部门按职责分工，建立健全多部门协同监管和联合执法工作机制，明确职责分工，建立定期会商、协作联动、信息共享制度，畅通线索通报渠道，进一步形成监管合力，涉嫌犯罪的，依法追究刑事责任。统筹各部门和基层执法力量，开展常态化联合执法行动，提升执法效能。</w:t>
      </w:r>
    </w:p>
    <w:p w14:paraId="644E9998">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214" w:name="_Toc18117"/>
      <w:r>
        <w:rPr>
          <w:rFonts w:hint="default" w:ascii="Times New Roman" w:hAnsi="Times New Roman" w:cs="楷体_GB2312"/>
          <w:b/>
          <w:bCs w:val="0"/>
          <w:color w:val="auto"/>
          <w:spacing w:val="0"/>
          <w:kern w:val="2"/>
          <w:sz w:val="32"/>
          <w:szCs w:val="32"/>
          <w:highlight w:val="none"/>
          <w:lang w:val="en-US" w:eastAsia="zh-CN" w:bidi="ar-SA"/>
        </w:rPr>
        <w:t>发挥财政资金引导作用</w:t>
      </w:r>
      <w:bookmarkEnd w:id="214"/>
    </w:p>
    <w:p w14:paraId="004DEDD3">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default" w:ascii="仿宋_GB2312" w:hAnsi="仿宋_GB2312" w:eastAsia="仿宋_GB2312" w:cs="仿宋_GB2312"/>
          <w:color w:val="auto"/>
          <w:spacing w:val="0"/>
          <w:sz w:val="32"/>
          <w:szCs w:val="32"/>
          <w:highlight w:val="none"/>
          <w:lang w:val="en-US" w:eastAsia="zh-CN"/>
        </w:rPr>
        <w:t>各级人民政府应按照事权划分的原则，视当年财力情况，安排必要的资金用于支持符合条件的建筑垃圾污染防治项目，由各级相关部门按规定列入同级年度部门预算，同时积极争取上级竞争性资金支持。拓宽投融资渠道，建立和完善企业、社会等多元化投融资体系，鼓励社会资金参与城市管理基础设施和社会化服务项目建设运营，形成多元化、可持续的资金投入机制。加强对资金的监管，对资金使用情况进行跟踪检查，确保资金使用的合规性和有效性，同时落实绩效管理要求，将绩效评价结果纳入财政分配考虑范围</w:t>
      </w:r>
      <w:r>
        <w:rPr>
          <w:rFonts w:hint="eastAsia" w:ascii="仿宋_GB2312" w:hAnsi="仿宋_GB2312" w:eastAsia="仿宋_GB2312" w:cs="仿宋_GB2312"/>
          <w:color w:val="auto"/>
          <w:spacing w:val="0"/>
          <w:sz w:val="32"/>
          <w:szCs w:val="32"/>
          <w:highlight w:val="none"/>
          <w:lang w:val="en-US" w:eastAsia="zh-CN"/>
        </w:rPr>
        <w:t>。</w:t>
      </w:r>
    </w:p>
    <w:p w14:paraId="6B78F54F">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215" w:name="_Toc5495"/>
      <w:bookmarkStart w:id="216" w:name="_Toc17944"/>
      <w:bookmarkStart w:id="217" w:name="_Toc29479"/>
      <w:bookmarkStart w:id="218" w:name="_Toc7050"/>
      <w:bookmarkStart w:id="219" w:name="_Toc28689"/>
      <w:r>
        <w:rPr>
          <w:rFonts w:hint="eastAsia" w:ascii="Times New Roman" w:hAnsi="Times New Roman" w:cs="楷体_GB2312"/>
          <w:b/>
          <w:bCs w:val="0"/>
          <w:color w:val="auto"/>
          <w:spacing w:val="0"/>
          <w:kern w:val="2"/>
          <w:sz w:val="32"/>
          <w:szCs w:val="32"/>
          <w:highlight w:val="none"/>
          <w:lang w:val="en-US" w:eastAsia="zh-CN" w:bidi="ar-SA"/>
        </w:rPr>
        <w:t>完善用地保障</w:t>
      </w:r>
      <w:bookmarkEnd w:id="215"/>
      <w:bookmarkEnd w:id="216"/>
      <w:bookmarkEnd w:id="217"/>
      <w:bookmarkEnd w:id="218"/>
      <w:bookmarkEnd w:id="219"/>
    </w:p>
    <w:p w14:paraId="2942CE0C">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将建筑垃圾污染防治项目统筹纳入各类国土空间规划，严格按照批准的城市空间规划布局与实施，优先落实设施建设用地，强化建筑垃圾污染防治规划的刚性约束。适宜采用灵活用地的设施，可通过租赁、先租后让、租让结合、弹性年期出让等方式落实用地保障。</w:t>
      </w:r>
    </w:p>
    <w:p w14:paraId="100F809F">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220" w:name="_Toc16042"/>
      <w:bookmarkStart w:id="221" w:name="_Toc7415"/>
      <w:bookmarkStart w:id="222" w:name="_Toc3970"/>
      <w:bookmarkStart w:id="223" w:name="_Toc15033"/>
      <w:r>
        <w:rPr>
          <w:rFonts w:hint="default" w:ascii="Times New Roman" w:hAnsi="Times New Roman" w:cs="楷体_GB2312"/>
          <w:b/>
          <w:bCs w:val="0"/>
          <w:color w:val="auto"/>
          <w:spacing w:val="0"/>
          <w:kern w:val="2"/>
          <w:sz w:val="32"/>
          <w:szCs w:val="32"/>
          <w:highlight w:val="none"/>
          <w:lang w:val="en-US" w:eastAsia="zh-CN" w:bidi="ar-SA"/>
        </w:rPr>
        <w:t>推动建筑垃圾利用处置情况作为竣工验收</w:t>
      </w:r>
      <w:bookmarkEnd w:id="220"/>
      <w:bookmarkEnd w:id="221"/>
      <w:r>
        <w:rPr>
          <w:rFonts w:hint="eastAsia" w:ascii="Times New Roman" w:hAnsi="Times New Roman" w:cs="楷体_GB2312"/>
          <w:b/>
          <w:bCs w:val="0"/>
          <w:color w:val="auto"/>
          <w:spacing w:val="0"/>
          <w:kern w:val="2"/>
          <w:sz w:val="32"/>
          <w:szCs w:val="32"/>
          <w:highlight w:val="none"/>
          <w:lang w:val="en-US" w:eastAsia="zh-CN" w:bidi="ar-SA"/>
        </w:rPr>
        <w:t>依据</w:t>
      </w:r>
      <w:bookmarkEnd w:id="222"/>
      <w:bookmarkEnd w:id="223"/>
    </w:p>
    <w:p w14:paraId="4F0BD106">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探索项目竣工验收机制的优化，由建筑垃圾主管部门对财政性资金占主导的项目工程处置建筑垃圾及使用建筑垃圾再生产品情况进行确认，以此作为竣工验收的必要依据。</w:t>
      </w:r>
    </w:p>
    <w:p w14:paraId="078BF9E9">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224" w:name="_Toc26940"/>
      <w:bookmarkStart w:id="225" w:name="_Toc1217"/>
      <w:bookmarkStart w:id="226" w:name="_Toc28285"/>
      <w:bookmarkStart w:id="227" w:name="_Toc4148"/>
      <w:bookmarkStart w:id="228" w:name="_Toc3404"/>
      <w:r>
        <w:rPr>
          <w:rFonts w:hint="eastAsia" w:ascii="Times New Roman" w:hAnsi="Times New Roman" w:cs="楷体_GB2312"/>
          <w:b/>
          <w:bCs w:val="0"/>
          <w:color w:val="auto"/>
          <w:spacing w:val="0"/>
          <w:kern w:val="2"/>
          <w:sz w:val="32"/>
          <w:szCs w:val="32"/>
          <w:highlight w:val="none"/>
          <w:lang w:val="en-US" w:eastAsia="zh-CN" w:bidi="ar-SA"/>
        </w:rPr>
        <w:t>强化人才队伍建设</w:t>
      </w:r>
      <w:bookmarkEnd w:id="224"/>
      <w:bookmarkEnd w:id="225"/>
      <w:bookmarkEnd w:id="226"/>
      <w:bookmarkEnd w:id="227"/>
      <w:bookmarkEnd w:id="228"/>
    </w:p>
    <w:p w14:paraId="72BA4882">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立完善人才培养和引进机制。定期开展相关企业管理和技术人员培训，制定考核标准，切实提高相关人员组织实施清洁生产、绿色工厂、绿色园区及建筑垃圾综合利用的技术和业务能力，同时以合作研究、学术交流等多种方式引进高层次管理人才和技术人才，积极推进清洁生产、建筑垃圾综合利用等创新团队的建设。加强与各地方高校、研究所合作交流，建立产学研相结合的工业清洁生产和建筑垃圾综合利用技术创新体系，强化科研与生产的联合、协作。加大国内外科技合作与交流，借鉴工业清洁生产和建筑垃圾综合利用上的成熟经验和技术，引进经济效益显著并适合我省各地实际情况的科学技术，并组织消化吸收再创新，进一步提高综合利用水平。</w:t>
      </w:r>
    </w:p>
    <w:p w14:paraId="3B0057FE">
      <w:pPr>
        <w:pStyle w:val="4"/>
        <w:pageBreakBefore w:val="0"/>
        <w:widowControl/>
        <w:shd w:val="clear" w:color="auto" w:fill="auto"/>
        <w:kinsoku/>
        <w:wordWrap/>
        <w:overflowPunct/>
        <w:topLinePunct w:val="0"/>
        <w:autoSpaceDE/>
        <w:autoSpaceDN/>
        <w:bidi w:val="0"/>
        <w:adjustRightInd/>
        <w:snapToGrid/>
        <w:ind w:left="0" w:leftChars="0" w:firstLine="640" w:firstLineChars="0"/>
        <w:rPr>
          <w:rFonts w:hint="default" w:ascii="Times New Roman" w:hAnsi="Times New Roman" w:cs="楷体_GB2312"/>
          <w:b/>
          <w:bCs w:val="0"/>
          <w:color w:val="auto"/>
          <w:spacing w:val="0"/>
          <w:kern w:val="2"/>
          <w:sz w:val="32"/>
          <w:szCs w:val="32"/>
          <w:highlight w:val="none"/>
          <w:lang w:val="en-US" w:eastAsia="zh-CN" w:bidi="ar-SA"/>
        </w:rPr>
      </w:pPr>
      <w:bookmarkStart w:id="229" w:name="_Toc2147"/>
      <w:bookmarkStart w:id="230" w:name="_Toc11102"/>
      <w:bookmarkStart w:id="231" w:name="_Toc2619"/>
      <w:bookmarkStart w:id="232" w:name="_Toc9322"/>
      <w:bookmarkStart w:id="233" w:name="_Toc9113"/>
      <w:r>
        <w:rPr>
          <w:rFonts w:hint="eastAsia" w:ascii="Times New Roman" w:hAnsi="Times New Roman" w:cs="楷体_GB2312"/>
          <w:b/>
          <w:bCs w:val="0"/>
          <w:color w:val="auto"/>
          <w:spacing w:val="0"/>
          <w:kern w:val="2"/>
          <w:sz w:val="32"/>
          <w:szCs w:val="32"/>
          <w:highlight w:val="none"/>
          <w:lang w:val="en-US" w:eastAsia="zh-CN" w:bidi="ar-SA"/>
        </w:rPr>
        <w:t>加强宣传培训</w:t>
      </w:r>
      <w:bookmarkEnd w:id="229"/>
      <w:bookmarkEnd w:id="230"/>
      <w:bookmarkEnd w:id="231"/>
      <w:bookmarkEnd w:id="232"/>
      <w:bookmarkEnd w:id="233"/>
    </w:p>
    <w:p w14:paraId="0C54E567">
      <w:pPr>
        <w:keepNext w:val="0"/>
        <w:keepLines w:val="0"/>
        <w:pageBreakBefore w:val="0"/>
        <w:widowControl/>
        <w:kinsoku/>
        <w:wordWrap/>
        <w:overflowPunct w:val="0"/>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加大对建筑垃圾污染防治工作重要性及必要性的宣传力度，组织开展形式多样的宣传活动，通过传统新闻媒体、新媒体等多种途径宣传普及《中华人民共和国固体废物污染环境防治法》《广东省建筑垃圾管理条例》和建筑垃圾综合利用有关知识，积极引导公众遵循“绿色中国”理念，提高全民节约资源和保护环境的意识。此外，应完善建筑垃圾信访举报渠道，充分发挥并动员各类组织、公众、媒体等社会力量参与，建立有奖举报制度，健全监督体系。借助各有关部门、行业协会的协调、指导作用，宣传清洁生产和建筑垃圾综合利用典型案例，推广典型经验，营造全社会积极参与的良好氛围。</w:t>
      </w:r>
    </w:p>
    <w:sectPr>
      <w:footerReference r:id="rId14" w:type="first"/>
      <w:footerReference r:id="rId13" w:type="default"/>
      <w:pgSz w:w="11905" w:h="16838"/>
      <w:pgMar w:top="1587" w:right="1587" w:bottom="1474" w:left="1587" w:header="851" w:footer="567" w:gutter="0"/>
      <w:pgBorders w:offsetFrom="page">
        <w:top w:val="none" w:sz="0" w:space="0"/>
        <w:left w:val="none" w:sz="0" w:space="0"/>
        <w:bottom w:val="none" w:sz="0" w:space="0"/>
        <w:right w:val="none" w:sz="0" w:space="0"/>
      </w:pgBorders>
      <w:pgNumType w:fmt="decimal" w:start="1"/>
      <w:cols w:space="0" w:num="1"/>
      <w:titlePg/>
      <w:rtlGutter w:val="0"/>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8236B6-5ED2-48A2-AB1D-E7F0159934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010A288-7957-41C1-A88B-5A5FB963575E}"/>
  </w:font>
  <w:font w:name="仿宋">
    <w:panose1 w:val="02010609060101010101"/>
    <w:charset w:val="86"/>
    <w:family w:val="modern"/>
    <w:pitch w:val="default"/>
    <w:sig w:usb0="800002BF" w:usb1="38CF7CFA" w:usb2="00000016" w:usb3="00000000" w:csb0="00040001" w:csb1="00000000"/>
    <w:embedRegular r:id="rId3" w:fontKey="{42D1D34F-FF17-4EF6-8C5E-8843E4483C0D}"/>
  </w:font>
  <w:font w:name="方正楷体_GB2312">
    <w:altName w:val="楷体_GB2312"/>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embedRegular r:id="rId4" w:fontKey="{0F3CBF65-9BE9-4F52-BD3D-E22EB5D81DF9}"/>
  </w:font>
  <w:font w:name="仿宋_GB2312">
    <w:panose1 w:val="02010609030101010101"/>
    <w:charset w:val="86"/>
    <w:family w:val="auto"/>
    <w:pitch w:val="default"/>
    <w:sig w:usb0="00000001" w:usb1="080E0000" w:usb2="00000000" w:usb3="00000000" w:csb0="00040000" w:csb1="00000000"/>
    <w:embedRegular r:id="rId5" w:fontKey="{F3CF1D16-8D85-479F-B7D5-588ECE30E3B9}"/>
  </w:font>
  <w:font w:name="方正仿宋_GB2312">
    <w:panose1 w:val="02000000000000000000"/>
    <w:charset w:val="86"/>
    <w:family w:val="auto"/>
    <w:pitch w:val="default"/>
    <w:sig w:usb0="A00002BF" w:usb1="184F6CFA" w:usb2="00000012" w:usb3="00000000" w:csb0="00040001" w:csb1="00000000"/>
    <w:embedRegular r:id="rId6" w:fontKey="{CAF869B3-131E-41E0-A07E-5E01BC048045}"/>
  </w:font>
  <w:font w:name="微软雅黑">
    <w:panose1 w:val="020B0503020204020204"/>
    <w:charset w:val="86"/>
    <w:family w:val="swiss"/>
    <w:pitch w:val="default"/>
    <w:sig w:usb0="80000287" w:usb1="2ACF3C50" w:usb2="00000016" w:usb3="00000000" w:csb0="0004001F" w:csb1="00000000"/>
    <w:embedRegular r:id="rId7" w:fontKey="{9992D675-FDD3-4919-A714-5A4E66EAD26B}"/>
  </w:font>
  <w:font w:name="汉仪雅酷黑简">
    <w:altName w:val="黑体"/>
    <w:panose1 w:val="00020600040101010101"/>
    <w:charset w:val="86"/>
    <w:family w:val="auto"/>
    <w:pitch w:val="default"/>
    <w:sig w:usb0="00000000" w:usb1="00000000" w:usb2="00000016"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FangSong_GB2312">
    <w:altName w:val="仿宋_GB2312"/>
    <w:panose1 w:val="02010609060101010101"/>
    <w:charset w:val="86"/>
    <w:family w:val="modern"/>
    <w:pitch w:val="default"/>
    <w:sig w:usb0="00000000" w:usb1="00000000" w:usb2="00000010" w:usb3="00000000" w:csb0="00040001" w:csb1="00000000"/>
    <w:embedRegular r:id="rId8" w:fontKey="{52697A32-2EF4-4FD3-84FE-271678FDFC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AF4E">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0F5F">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0452"/>
      <w:docPartObj>
        <w:docPartGallery w:val="autotext"/>
      </w:docPartObj>
    </w:sdtPr>
    <w:sdtContent>
      <w:p w14:paraId="708FF157">
        <w:pPr>
          <w:pStyle w:val="29"/>
          <w:rPr>
            <w:rFonts w:hint="eastAsia"/>
          </w:rPr>
        </w:pPr>
        <w:r>
          <w:fldChar w:fldCharType="begin"/>
        </w:r>
        <w:r>
          <w:instrText xml:space="preserve">PAGE   \* MERGEFORMAT</w:instrText>
        </w:r>
        <w:r>
          <w:fldChar w:fldCharType="separate"/>
        </w:r>
        <w:r>
          <w:rPr>
            <w:lang w:val="zh-CN"/>
          </w:rPr>
          <w:t>2</w:t>
        </w:r>
        <w:r>
          <w:fldChar w:fldCharType="end"/>
        </w:r>
      </w:p>
    </w:sdtContent>
  </w:sdt>
  <w:p w14:paraId="328A1C79">
    <w:pPr>
      <w:pStyle w:val="29"/>
      <w:rPr>
        <w:rFonts w:hint="eastAsia" w:ascii="FangSong_GB2312" w:hAnsi="FangSong_GB2312" w:eastAsia="FangSong_GB2312" w:cs="FangSong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7BE8A">
    <w:pPr>
      <w:pStyle w:val="29"/>
      <w:rPr>
        <w:rFonts w:hint="eastAsia" w:ascii="FangSong_GB2312" w:hAnsi="FangSong_GB2312" w:eastAsia="FangSong_GB2312" w:cs="FangSong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2E48C">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95E04">
    <w:pPr>
      <w:pStyle w:val="29"/>
      <w:overflowPunct w:val="0"/>
      <w:jc w:val="both"/>
      <w:rPr>
        <w:rFonts w:ascii="仿宋_GB2312" w:hAnsi="仿宋_GB2312" w:eastAsia="仿宋_GB2312" w:cs="仿宋_GB2312"/>
      </w:rPr>
    </w:pPr>
    <w:r>
      <w:rPr>
        <w:sz w:val="1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667A153">
                          <w:pPr>
                            <w:pStyle w:val="29"/>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r>
                            <w:t xml:space="preserve"> —</w:t>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asDMH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mSUo0MHw4RKKSeabGQ7eRDz1bVjqOWJqL//N86v632t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FasDMHTAQAAngMAAA4AAAAAAAAAAQAgAAAAHwEA&#10;AGRycy9lMm9Eb2MueG1sUEsFBgAAAAAGAAYAWQEAAGQFAAAAAA==&#10;">
              <v:fill on="f" focussize="0,0"/>
              <v:stroke on="f"/>
              <v:imagedata o:title=""/>
              <o:lock v:ext="edit" aspectratio="f"/>
              <v:textbox inset="0mm,0mm,0mm,0mm" style="mso-fit-shape-to-text:t;">
                <w:txbxContent>
                  <w:p w14:paraId="4667A153">
                    <w:pPr>
                      <w:pStyle w:val="29"/>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II</w:t>
                    </w:r>
                    <w:r>
                      <w:rPr>
                        <w:sz w:val="24"/>
                        <w:szCs w:val="24"/>
                      </w:rPr>
                      <w:fldChar w:fldCharType="end"/>
                    </w:r>
                    <w:r>
                      <w:t xml:space="preserve"> —</w:t>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F906D">
    <w:pPr>
      <w:overflowPunct w:val="0"/>
      <w:jc w:val="both"/>
      <w:rPr>
        <w:rFonts w:ascii="仿宋_GB2312" w:hAnsi="仿宋_GB2312" w:eastAsia="仿宋_GB2312" w:cs="仿宋_GB2312"/>
      </w:rPr>
    </w:pPr>
    <w:r>
      <w:rPr>
        <w:sz w:val="21"/>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D56CD2F">
                          <w:pPr>
                            <w:pStyle w:val="29"/>
                            <w:overflowPunct w:val="0"/>
                            <w:jc w:val="both"/>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r>
                            <w:t xml:space="preserve"> —</w:t>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anvhjRAQAAng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JjnUB6zo4kO4hylDCpPcoQWbviSEDdnV89VVNUQmaXO5Xq3XJRku6WxOCKd4fB4A4zvlLUtB&#10;zYHalt0Upw8Yx6vzlVTNuLQ6f6eNGU/TTpFojsRSFIf9MLHd++ZMKmnoCbzz8JWznlpec0cTzpl5&#10;78jRNB1zAHOwnwPhJD2seeTsGEAfujxJiQaGt8dIVDLPVHisNvGhtmWl04ilufg7z7cef6v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2p74Y0QEAAJ4DAAAOAAAAAAAAAAEAIAAAAB8BAABk&#10;cnMvZTJvRG9jLnhtbFBLBQYAAAAABgAGAFkBAABiBQAAAAA=&#10;">
              <v:fill on="f" focussize="0,0"/>
              <v:stroke on="f"/>
              <v:imagedata o:title=""/>
              <o:lock v:ext="edit" aspectratio="f"/>
              <v:textbox inset="0mm,0mm,0mm,0mm" style="mso-fit-shape-to-text:t;">
                <w:txbxContent>
                  <w:p w14:paraId="2D56CD2F">
                    <w:pPr>
                      <w:pStyle w:val="29"/>
                      <w:overflowPunct w:val="0"/>
                      <w:jc w:val="both"/>
                    </w:pPr>
                    <w:r>
                      <w:t>—</w:t>
                    </w: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I</w:t>
                    </w:r>
                    <w:r>
                      <w:rPr>
                        <w:sz w:val="24"/>
                        <w:szCs w:val="24"/>
                      </w:rPr>
                      <w:fldChar w:fldCharType="end"/>
                    </w:r>
                    <w:r>
                      <w:t xml:space="preserve"> —</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05313">
    <w:pPr>
      <w:keepNext w:val="0"/>
      <w:keepLines w:val="0"/>
      <w:pageBreakBefore w:val="0"/>
      <w:widowControl/>
      <w:pBdr>
        <w:bottom w:val="single" w:color="auto" w:sz="4" w:space="0"/>
      </w:pBdr>
      <w:kinsoku w:val="0"/>
      <w:wordWrap/>
      <w:overflowPunct/>
      <w:topLinePunct w:val="0"/>
      <w:autoSpaceDE w:val="0"/>
      <w:autoSpaceDN w:val="0"/>
      <w:bidi w:val="0"/>
      <w:adjustRightInd w:val="0"/>
      <w:snapToGrid w:val="0"/>
      <w:spacing w:before="91" w:line="224" w:lineRule="auto"/>
      <w:jc w:val="right"/>
      <w:textAlignment w:val="baseline"/>
      <w:rPr>
        <w:rFonts w:hint="eastAsia"/>
      </w:rPr>
    </w:pPr>
    <w:r>
      <w:rPr>
        <w:rFonts w:hint="eastAsia" w:ascii="Times New Roman" w:hAnsi="Times New Roman" w:eastAsia="仿宋" w:cs="仿宋"/>
        <w:bCs/>
        <w:kern w:val="2"/>
        <w:sz w:val="24"/>
        <w:szCs w:val="24"/>
        <w:lang w:val="en-US" w:eastAsia="zh-CN" w:bidi="ar-SA"/>
      </w:rPr>
      <w:t>广州市增城区建筑垃圾污染环境防治工作规划（2024-2026年）</w:t>
    </w:r>
    <w:r>
      <w:rPr>
        <w:rFonts w:hint="eastAsia" w:eastAsia="仿宋" w:cs="仿宋"/>
        <w:bCs/>
        <w:sz w:val="24"/>
        <w:szCs w:val="24"/>
        <w:lang w:val="en-US" w:eastAsia="zh-CN"/>
      </w:rPr>
      <w:t>（</w:t>
    </w:r>
    <w:r>
      <w:rPr>
        <w:rFonts w:hint="eastAsia" w:cs="仿宋"/>
        <w:bCs/>
        <w:sz w:val="24"/>
        <w:szCs w:val="24"/>
        <w:lang w:val="en-US" w:eastAsia="zh-CN"/>
      </w:rPr>
      <w:t>公示</w:t>
    </w:r>
    <w:r>
      <w:rPr>
        <w:rFonts w:hint="eastAsia" w:eastAsia="仿宋" w:cs="仿宋"/>
        <w:bCs/>
        <w:sz w:val="24"/>
        <w:szCs w:val="24"/>
        <w:lang w:val="en-US" w:eastAsia="zh-CN"/>
      </w:rPr>
      <w:t>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582D9">
    <w:pPr>
      <w:keepNext w:val="0"/>
      <w:keepLines w:val="0"/>
      <w:pageBreakBefore w:val="0"/>
      <w:widowControl/>
      <w:pBdr>
        <w:bottom w:val="none" w:color="auto" w:sz="0" w:space="0"/>
      </w:pBdr>
      <w:kinsoku w:val="0"/>
      <w:wordWrap/>
      <w:overflowPunct w:val="0"/>
      <w:topLinePunct w:val="0"/>
      <w:autoSpaceDE w:val="0"/>
      <w:autoSpaceDN w:val="0"/>
      <w:bidi w:val="0"/>
      <w:adjustRightInd w:val="0"/>
      <w:snapToGrid w:val="0"/>
      <w:spacing w:before="91" w:line="224" w:lineRule="auto"/>
      <w:jc w:val="both"/>
      <w:textAlignment w:val="baseline"/>
      <w:rPr>
        <w:rFonts w:ascii="仿宋_GB2312" w:hAnsi="仿宋_GB2312" w:eastAsia="仿宋_GB2312" w:cs="仿宋_GB2312"/>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61756">
    <w:pPr>
      <w:keepNext w:val="0"/>
      <w:keepLines w:val="0"/>
      <w:pageBreakBefore w:val="0"/>
      <w:widowControl/>
      <w:pBdr>
        <w:bottom w:val="single" w:color="auto" w:sz="4" w:space="0"/>
      </w:pBdr>
      <w:kinsoku w:val="0"/>
      <w:wordWrap/>
      <w:overflowPunct/>
      <w:topLinePunct w:val="0"/>
      <w:autoSpaceDE w:val="0"/>
      <w:autoSpaceDN w:val="0"/>
      <w:bidi w:val="0"/>
      <w:adjustRightInd w:val="0"/>
      <w:snapToGrid w:val="0"/>
      <w:spacing w:before="91" w:line="224" w:lineRule="auto"/>
      <w:jc w:val="right"/>
      <w:textAlignment w:val="baseline"/>
    </w:pPr>
    <w:r>
      <w:rPr>
        <w:rFonts w:hint="eastAsia" w:ascii="Times New Roman" w:hAnsi="Times New Roman" w:eastAsia="仿宋" w:cs="仿宋"/>
        <w:bCs/>
        <w:kern w:val="2"/>
        <w:sz w:val="24"/>
        <w:szCs w:val="24"/>
        <w:lang w:val="en-US" w:eastAsia="zh-CN" w:bidi="ar-SA"/>
      </w:rPr>
      <w:t>广州市增城区建筑垃圾污染环境防治工作规划（2024-2026年）</w:t>
    </w:r>
    <w:r>
      <w:rPr>
        <w:rFonts w:hint="eastAsia" w:eastAsia="仿宋" w:cs="仿宋"/>
        <w:bCs/>
        <w:sz w:val="24"/>
        <w:szCs w:val="24"/>
        <w:lang w:val="en-US" w:eastAsia="zh-CN"/>
      </w:rPr>
      <w:t>（</w:t>
    </w:r>
    <w:r>
      <w:rPr>
        <w:rFonts w:hint="eastAsia" w:cs="仿宋"/>
        <w:bCs/>
        <w:sz w:val="24"/>
        <w:szCs w:val="24"/>
        <w:lang w:val="en-US" w:eastAsia="zh-CN"/>
      </w:rPr>
      <w:t>公示</w:t>
    </w:r>
    <w:r>
      <w:rPr>
        <w:rFonts w:hint="eastAsia" w:eastAsia="仿宋" w:cs="仿宋"/>
        <w:bCs/>
        <w:sz w:val="24"/>
        <w:szCs w:val="24"/>
        <w:lang w:val="en-US" w:eastAsia="zh-CN"/>
      </w:rPr>
      <w:t>稿）</w:t>
    </w:r>
  </w:p>
  <w:p w14:paraId="79B7C38C">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表%1"/>
      <w:lvlJc w:val="left"/>
      <w:pPr>
        <w:ind w:left="0" w:firstLine="420"/>
      </w:pPr>
      <w:rPr>
        <w:rFonts w:hint="default"/>
      </w:rPr>
    </w:lvl>
  </w:abstractNum>
  <w:abstractNum w:abstractNumId="1">
    <w:nsid w:val="00000001"/>
    <w:multiLevelType w:val="multilevel"/>
    <w:tmpl w:val="00000001"/>
    <w:lvl w:ilvl="0" w:tentative="0">
      <w:start w:val="1"/>
      <w:numFmt w:val="decimal"/>
      <w:pStyle w:val="173"/>
      <w:lvlText w:val="(%1)"/>
      <w:lvlJc w:val="left"/>
      <w:pPr>
        <w:tabs>
          <w:tab w:val="left" w:pos="862"/>
        </w:tabs>
        <w:ind w:left="862" w:hanging="403"/>
      </w:pPr>
      <w:rPr>
        <w:rFonts w:hint="eastAsia"/>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00000002"/>
    <w:multiLevelType w:val="multilevel"/>
    <w:tmpl w:val="00000002"/>
    <w:lvl w:ilvl="0" w:tentative="0">
      <w:start w:val="1"/>
      <w:numFmt w:val="decimal"/>
      <w:suff w:val="space"/>
      <w:lvlText w:val="第%1章"/>
      <w:lvlJc w:val="center"/>
      <w:pPr>
        <w:ind w:left="0" w:firstLine="0"/>
      </w:pPr>
      <w:rPr>
        <w:rFonts w:hint="eastAsia" w:ascii="Times New Roman" w:hAnsi="Times New Roman" w:cs="Times New Roman"/>
        <w:b w:val="0"/>
        <w:bCs w:val="0"/>
        <w:i w:val="0"/>
        <w:iCs w:val="0"/>
        <w:caps w:val="0"/>
        <w:smallCaps w:val="0"/>
        <w:outline w:val="0"/>
        <w:emboss w:val="0"/>
        <w:imprint w:val="0"/>
        <w:vanish w:val="0"/>
        <w:spacing w:val="0"/>
        <w:position w:val="0"/>
        <w:u w:val="none"/>
        <w:vertAlign w:val="baseline"/>
        <w14:shadow w14:blurRad="0" w14:dist="0" w14:dir="0" w14:sx="100000" w14:sy="100000" w14:kx="0" w14:ky="0" w14:algn="none">
          <w14:srgbClr w14:val="808080"/>
        </w14:shadow>
      </w:rPr>
    </w:lvl>
    <w:lvl w:ilvl="1" w:tentative="0">
      <w:start w:val="1"/>
      <w:numFmt w:val="decimal"/>
      <w:suff w:val="space"/>
      <w:lvlText w:val="%1.%2"/>
      <w:lvlJc w:val="left"/>
      <w:pPr>
        <w:ind w:left="0" w:firstLine="0"/>
      </w:pPr>
      <w:rPr>
        <w:rFonts w:hint="default" w:ascii="Times New Roman" w:hAnsi="Times New Roman" w:eastAsia="黑体"/>
        <w:b w:val="0"/>
        <w:i w:val="0"/>
        <w:sz w:val="30"/>
      </w:rPr>
    </w:lvl>
    <w:lvl w:ilvl="2" w:tentative="0">
      <w:start w:val="1"/>
      <w:numFmt w:val="decimal"/>
      <w:suff w:val="space"/>
      <w:lvlText w:val="%1.%2.%3"/>
      <w:lvlJc w:val="left"/>
      <w:pPr>
        <w:ind w:left="0" w:firstLine="0"/>
      </w:pPr>
      <w:rPr>
        <w:rFonts w:hint="default" w:ascii="Times New Roman" w:hAnsi="Times New Roman" w:eastAsia="黑体"/>
        <w:b w:val="0"/>
        <w:i w:val="0"/>
        <w:sz w:val="28"/>
      </w:rPr>
    </w:lvl>
    <w:lvl w:ilvl="3" w:tentative="0">
      <w:start w:val="1"/>
      <w:numFmt w:val="decimal"/>
      <w:pStyle w:val="243"/>
      <w:suff w:val="nothing"/>
      <w:lvlText w:val="（%4）"/>
      <w:lvlJc w:val="left"/>
      <w:pPr>
        <w:ind w:left="454" w:firstLine="397"/>
      </w:pPr>
      <w:rPr>
        <w:rFonts w:hint="default" w:ascii="Times New Roman" w:hAnsi="Times New Roman" w:eastAsia="方正仿宋_GB2312"/>
        <w:b w:val="0"/>
        <w:i w:val="0"/>
        <w:sz w:val="24"/>
      </w:rPr>
    </w:lvl>
    <w:lvl w:ilvl="4" w:tentative="0">
      <w:start w:val="1"/>
      <w:numFmt w:val="decimal"/>
      <w:suff w:val="nothing"/>
      <w:lvlText w:val="%5）"/>
      <w:lvlJc w:val="left"/>
      <w:pPr>
        <w:ind w:left="-27" w:firstLine="737"/>
      </w:pPr>
      <w:rPr>
        <w:rFonts w:hint="default" w:ascii="Times New Roman" w:hAnsi="Times New Roman" w:eastAsia="方正仿宋_GB2312"/>
        <w:b w:val="0"/>
        <w:i w:val="0"/>
        <w:sz w:val="24"/>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0000003"/>
    <w:multiLevelType w:val="multilevel"/>
    <w:tmpl w:val="00000003"/>
    <w:lvl w:ilvl="0" w:tentative="0">
      <w:start w:val="1"/>
      <w:numFmt w:val="chineseCounting"/>
      <w:pStyle w:val="3"/>
      <w:suff w:val="nothing"/>
      <w:lvlText w:val="%1、"/>
      <w:lvlJc w:val="left"/>
      <w:pPr>
        <w:tabs>
          <w:tab w:val="left" w:pos="0"/>
        </w:tabs>
        <w:ind w:left="420" w:leftChars="0" w:hanging="380" w:firstLineChars="0"/>
      </w:pPr>
      <w:rPr>
        <w:rFonts w:hint="eastAsia" w:eastAsia="黑体"/>
        <w:sz w:val="32"/>
        <w:szCs w:val="32"/>
      </w:rPr>
    </w:lvl>
    <w:lvl w:ilvl="1" w:tentative="0">
      <w:start w:val="1"/>
      <w:numFmt w:val="chineseCounting"/>
      <w:pStyle w:val="4"/>
      <w:suff w:val="nothing"/>
      <w:lvlText w:val="（%2）"/>
      <w:lvlJc w:val="left"/>
      <w:pPr>
        <w:ind w:left="0" w:firstLine="20"/>
      </w:pPr>
      <w:rPr>
        <w:rFonts w:hint="eastAsia" w:eastAsia="方正楷体_GB2312"/>
        <w:sz w:val="32"/>
        <w:szCs w:val="32"/>
      </w:rPr>
    </w:lvl>
    <w:lvl w:ilvl="2" w:tentative="0">
      <w:start w:val="1"/>
      <w:numFmt w:val="decimal"/>
      <w:pStyle w:val="5"/>
      <w:suff w:val="nothing"/>
      <w:lvlText w:val="%3．"/>
      <w:lvlJc w:val="left"/>
      <w:pPr>
        <w:ind w:left="0" w:firstLine="20"/>
      </w:pPr>
      <w:rPr>
        <w:rFonts w:hint="eastAsia" w:eastAsia="仿宋_GB2312"/>
        <w:b/>
        <w:bCs/>
        <w:sz w:val="32"/>
        <w:szCs w:val="32"/>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4">
    <w:nsid w:val="00000004"/>
    <w:multiLevelType w:val="multilevel"/>
    <w:tmpl w:val="00000004"/>
    <w:lvl w:ilvl="0" w:tentative="0">
      <w:start w:val="1"/>
      <w:numFmt w:val="chineseCountingThousand"/>
      <w:pStyle w:val="285"/>
      <w:lvlText w:val="第%1条"/>
      <w:lvlJc w:val="left"/>
      <w:pPr>
        <w:ind w:left="980" w:hanging="420"/>
      </w:pPr>
      <w:rPr>
        <w:rFonts w:hint="eastAsia" w:ascii="黑体" w:hAnsi="黑体" w:eastAsia="黑体"/>
        <w:b w:val="0"/>
        <w:lang w:val="en-US"/>
      </w:rPr>
    </w:lvl>
    <w:lvl w:ilvl="1" w:tentative="0">
      <w:start w:val="1"/>
      <w:numFmt w:val="lowerLetter"/>
      <w:lvlText w:val="%2)"/>
      <w:lvlJc w:val="left"/>
      <w:pPr>
        <w:ind w:left="1400" w:hanging="420"/>
      </w:pPr>
      <w:rPr>
        <w:rFonts w:hint="eastAsia"/>
      </w:rPr>
    </w:lvl>
    <w:lvl w:ilvl="2" w:tentative="0">
      <w:start w:val="1"/>
      <w:numFmt w:val="lowerRoman"/>
      <w:lvlText w:val="%3."/>
      <w:lvlJc w:val="right"/>
      <w:pPr>
        <w:ind w:left="1820" w:hanging="420"/>
      </w:pPr>
      <w:rPr>
        <w:rFonts w:hint="eastAsia"/>
      </w:rPr>
    </w:lvl>
    <w:lvl w:ilvl="3" w:tentative="0">
      <w:start w:val="1"/>
      <w:numFmt w:val="decimal"/>
      <w:lvlText w:val="%4."/>
      <w:lvlJc w:val="left"/>
      <w:pPr>
        <w:ind w:left="2240" w:hanging="420"/>
      </w:pPr>
      <w:rPr>
        <w:rFonts w:hint="eastAsia"/>
      </w:rPr>
    </w:lvl>
    <w:lvl w:ilvl="4" w:tentative="0">
      <w:start w:val="1"/>
      <w:numFmt w:val="lowerLetter"/>
      <w:lvlText w:val="%5)"/>
      <w:lvlJc w:val="left"/>
      <w:pPr>
        <w:ind w:left="2660" w:hanging="420"/>
      </w:pPr>
      <w:rPr>
        <w:rFonts w:hint="eastAsia"/>
      </w:rPr>
    </w:lvl>
    <w:lvl w:ilvl="5" w:tentative="0">
      <w:start w:val="1"/>
      <w:numFmt w:val="lowerRoman"/>
      <w:lvlText w:val="%6."/>
      <w:lvlJc w:val="right"/>
      <w:pPr>
        <w:ind w:left="3080" w:hanging="420"/>
      </w:pPr>
      <w:rPr>
        <w:rFonts w:hint="eastAsia"/>
      </w:rPr>
    </w:lvl>
    <w:lvl w:ilvl="6" w:tentative="0">
      <w:start w:val="1"/>
      <w:numFmt w:val="decimal"/>
      <w:lvlText w:val="%7."/>
      <w:lvlJc w:val="left"/>
      <w:pPr>
        <w:ind w:left="3500" w:hanging="420"/>
      </w:pPr>
      <w:rPr>
        <w:rFonts w:hint="eastAsia"/>
      </w:rPr>
    </w:lvl>
    <w:lvl w:ilvl="7" w:tentative="0">
      <w:start w:val="1"/>
      <w:numFmt w:val="lowerLetter"/>
      <w:lvlText w:val="%8)"/>
      <w:lvlJc w:val="left"/>
      <w:pPr>
        <w:ind w:left="3920" w:hanging="420"/>
      </w:pPr>
      <w:rPr>
        <w:rFonts w:hint="eastAsia"/>
      </w:rPr>
    </w:lvl>
    <w:lvl w:ilvl="8" w:tentative="0">
      <w:start w:val="1"/>
      <w:numFmt w:val="lowerRoman"/>
      <w:lvlText w:val="%9."/>
      <w:lvlJc w:val="right"/>
      <w:pPr>
        <w:ind w:left="4340" w:hanging="420"/>
      </w:pPr>
      <w:rPr>
        <w:rFonts w:hint="eastAsia"/>
      </w:rPr>
    </w:lvl>
  </w:abstractNum>
  <w:num w:numId="1">
    <w:abstractNumId w:val="3"/>
  </w:num>
  <w:num w:numId="2">
    <w:abstractNumId w:val="1"/>
  </w:num>
  <w:num w:numId="3">
    <w:abstractNumId w:val="2"/>
  </w:num>
  <w:num w:numId="4">
    <w:abstractNumId w:val="4"/>
  </w:num>
  <w:num w:numId="5">
    <w:abstractNumId w:val="3"/>
    <w:lvlOverride w:ilvl="0">
      <w:lvl w:ilvl="0" w:tentative="1">
        <w:start w:val="1"/>
        <w:numFmt w:val="decimal"/>
        <w:suff w:val="space"/>
        <w:lvlText w:val="第%1章"/>
        <w:lvlJc w:val="left"/>
        <w:pPr>
          <w:ind w:left="0" w:firstLine="0"/>
        </w:pPr>
        <w:rPr>
          <w:rFonts w:ascii="Times New Roman" w:hAnsi="Times New Roman" w:eastAsia="宋体"/>
          <w:sz w:val="44"/>
        </w:rPr>
      </w:lvl>
    </w:lvlOverride>
    <w:lvlOverride w:ilvl="1">
      <w:lvl w:ilvl="1" w:tentative="1">
        <w:start w:val="1"/>
        <w:numFmt w:val="decimal"/>
        <w:pStyle w:val="288"/>
        <w:suff w:val="space"/>
        <w:lvlText w:val="%1.%2"/>
        <w:lvlJc w:val="left"/>
        <w:pPr>
          <w:ind w:left="0" w:firstLine="0"/>
        </w:pPr>
        <w:rPr>
          <w:rFonts w:hint="eastAsia"/>
        </w:rPr>
      </w:lvl>
    </w:lvlOverride>
    <w:lvlOverride w:ilvl="2">
      <w:lvl w:ilvl="2" w:tentative="1">
        <w:start w:val="1"/>
        <w:numFmt w:val="decimal"/>
        <w:pStyle w:val="287"/>
        <w:suff w:val="space"/>
        <w:lvlText w:val="%1.%2.%3"/>
        <w:lvlJc w:val="left"/>
        <w:pPr>
          <w:ind w:left="0" w:firstLine="0"/>
        </w:pPr>
        <w:rPr>
          <w:rFonts w:hint="eastAsia"/>
        </w:rPr>
      </w:lvl>
    </w:lvlOverride>
    <w:lvlOverride w:ilvl="3">
      <w:lvl w:ilvl="3" w:tentative="1">
        <w:start w:val="1"/>
        <w:numFmt w:val="decimal"/>
        <w:suff w:val="space"/>
        <w:lvlText w:val="%1.%2.%3.%4"/>
        <w:lvlJc w:val="left"/>
        <w:pPr>
          <w:ind w:left="0" w:firstLine="0"/>
        </w:pPr>
        <w:rPr>
          <w:rFonts w:hint="eastAsia"/>
        </w:rPr>
      </w:lvl>
    </w:lvlOverride>
    <w:lvlOverride w:ilvl="4">
      <w:lvl w:ilvl="4" w:tentative="1">
        <w:start w:val="1"/>
        <w:numFmt w:val="decimal"/>
        <w:suff w:val="space"/>
        <w:lvlText w:val="表%1-%5"/>
        <w:lvlJc w:val="left"/>
        <w:pPr>
          <w:ind w:left="0" w:firstLine="0"/>
        </w:pPr>
        <w:rPr>
          <w:rFonts w:hint="eastAsia" w:ascii="黑体" w:hAnsi="黑体" w:eastAsia="黑体"/>
          <w:sz w:val="24"/>
        </w:rPr>
      </w:lvl>
    </w:lvlOverride>
    <w:lvlOverride w:ilvl="5">
      <w:lvl w:ilvl="5" w:tentative="1">
        <w:start w:val="1"/>
        <w:numFmt w:val="decimal"/>
        <w:suff w:val="space"/>
        <w:lvlText w:val="图%1-%6"/>
        <w:lvlJc w:val="left"/>
        <w:pPr>
          <w:ind w:left="0" w:firstLine="0"/>
        </w:pPr>
        <w:rPr>
          <w:rFonts w:hint="eastAsia" w:ascii="黑体" w:hAnsi="黑体" w:eastAsia="黑体"/>
          <w:sz w:val="24"/>
        </w:rPr>
      </w:lvl>
    </w:lvlOverride>
    <w:lvlOverride w:ilvl="6">
      <w:lvl w:ilvl="6" w:tentative="1">
        <w:start w:val="1"/>
        <w:numFmt w:val="decimal"/>
        <w:lvlText w:val="%1.%2.%3.%4.%5.%6.%7"/>
        <w:lvlJc w:val="left"/>
        <w:pPr>
          <w:ind w:left="0" w:firstLine="0"/>
        </w:pPr>
        <w:rPr>
          <w:rFonts w:hint="eastAsia"/>
        </w:rPr>
      </w:lvl>
    </w:lvlOverride>
    <w:lvlOverride w:ilvl="7">
      <w:lvl w:ilvl="7" w:tentative="1">
        <w:start w:val="1"/>
        <w:numFmt w:val="decimal"/>
        <w:lvlText w:val="%1.%2.%3.%4.%5.%6.%7.%8"/>
        <w:lvlJc w:val="left"/>
        <w:pPr>
          <w:ind w:left="0" w:firstLine="0"/>
        </w:pPr>
        <w:rPr>
          <w:rFonts w:hint="eastAsia"/>
        </w:rPr>
      </w:lvl>
    </w:lvlOverride>
    <w:lvlOverride w:ilvl="8">
      <w:lvl w:ilvl="8" w:tentative="1">
        <w:start w:val="1"/>
        <w:numFmt w:val="decimal"/>
        <w:lvlText w:val="%1.%2.%3.%4.%5.%6.%7.%8.%9"/>
        <w:lvlJc w:val="left"/>
        <w:pPr>
          <w:ind w:left="0" w:firstLine="0"/>
        </w:pPr>
        <w:rPr>
          <w:rFonts w:hint="eastAsia"/>
        </w:rPr>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64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4OWIyZDU2OTkzYzc5NDk0OTIyYTZhMDllOTUxNWQifQ=="/>
  </w:docVars>
  <w:rsids>
    <w:rsidRoot w:val="00000000"/>
    <w:rsid w:val="014A10AD"/>
    <w:rsid w:val="016043AA"/>
    <w:rsid w:val="01AE15BA"/>
    <w:rsid w:val="01DE0A56"/>
    <w:rsid w:val="02A8764C"/>
    <w:rsid w:val="02DE1577"/>
    <w:rsid w:val="043E69D2"/>
    <w:rsid w:val="04723211"/>
    <w:rsid w:val="05036C74"/>
    <w:rsid w:val="05310067"/>
    <w:rsid w:val="05476D0D"/>
    <w:rsid w:val="062B6182"/>
    <w:rsid w:val="06852038"/>
    <w:rsid w:val="078B3601"/>
    <w:rsid w:val="08DA2C94"/>
    <w:rsid w:val="090C72BB"/>
    <w:rsid w:val="09271D3E"/>
    <w:rsid w:val="09300B06"/>
    <w:rsid w:val="096E0917"/>
    <w:rsid w:val="098B6D9C"/>
    <w:rsid w:val="09B10DAD"/>
    <w:rsid w:val="09D10054"/>
    <w:rsid w:val="0A8B30BB"/>
    <w:rsid w:val="0B324867"/>
    <w:rsid w:val="0BB806BF"/>
    <w:rsid w:val="0BBC15E4"/>
    <w:rsid w:val="0BBD7327"/>
    <w:rsid w:val="0C5B40EC"/>
    <w:rsid w:val="0C646C60"/>
    <w:rsid w:val="0D5374B9"/>
    <w:rsid w:val="0DA70CEF"/>
    <w:rsid w:val="0DAD5DC2"/>
    <w:rsid w:val="0EF03895"/>
    <w:rsid w:val="0EFE5F47"/>
    <w:rsid w:val="0F4C0EC6"/>
    <w:rsid w:val="10280832"/>
    <w:rsid w:val="103F45FD"/>
    <w:rsid w:val="103F5AD3"/>
    <w:rsid w:val="10D1683B"/>
    <w:rsid w:val="1112446A"/>
    <w:rsid w:val="112E7CD6"/>
    <w:rsid w:val="11FC1D7A"/>
    <w:rsid w:val="12183EF8"/>
    <w:rsid w:val="12BF7B67"/>
    <w:rsid w:val="130954C3"/>
    <w:rsid w:val="13387F68"/>
    <w:rsid w:val="136A01E4"/>
    <w:rsid w:val="13A57D1C"/>
    <w:rsid w:val="13AD32A4"/>
    <w:rsid w:val="14C756FB"/>
    <w:rsid w:val="14FB7B97"/>
    <w:rsid w:val="150A448F"/>
    <w:rsid w:val="152B3A49"/>
    <w:rsid w:val="153F6FDE"/>
    <w:rsid w:val="161C0E88"/>
    <w:rsid w:val="16266F23"/>
    <w:rsid w:val="16371117"/>
    <w:rsid w:val="1702234F"/>
    <w:rsid w:val="175C47C7"/>
    <w:rsid w:val="1782292D"/>
    <w:rsid w:val="17AF7FFC"/>
    <w:rsid w:val="19340CA5"/>
    <w:rsid w:val="19CC6629"/>
    <w:rsid w:val="1A04418C"/>
    <w:rsid w:val="1A607EA5"/>
    <w:rsid w:val="1A620FE3"/>
    <w:rsid w:val="1B316844"/>
    <w:rsid w:val="1B5125DE"/>
    <w:rsid w:val="1B9C180A"/>
    <w:rsid w:val="1D75227D"/>
    <w:rsid w:val="1E367F7A"/>
    <w:rsid w:val="1EB2766B"/>
    <w:rsid w:val="1FBC0EEE"/>
    <w:rsid w:val="1FE43B48"/>
    <w:rsid w:val="22143672"/>
    <w:rsid w:val="222A38D4"/>
    <w:rsid w:val="223121E8"/>
    <w:rsid w:val="22754487"/>
    <w:rsid w:val="237016FF"/>
    <w:rsid w:val="23DB4B88"/>
    <w:rsid w:val="24360928"/>
    <w:rsid w:val="24383F19"/>
    <w:rsid w:val="25907CBD"/>
    <w:rsid w:val="25F475D8"/>
    <w:rsid w:val="263A491A"/>
    <w:rsid w:val="26AA7CF2"/>
    <w:rsid w:val="26ED5ABE"/>
    <w:rsid w:val="26F35E32"/>
    <w:rsid w:val="270E3853"/>
    <w:rsid w:val="27417775"/>
    <w:rsid w:val="275264EB"/>
    <w:rsid w:val="27DA7728"/>
    <w:rsid w:val="284A614A"/>
    <w:rsid w:val="284C64E6"/>
    <w:rsid w:val="28B7485A"/>
    <w:rsid w:val="29652EF6"/>
    <w:rsid w:val="29E715F8"/>
    <w:rsid w:val="2A923B3C"/>
    <w:rsid w:val="2A976108"/>
    <w:rsid w:val="2BD9312D"/>
    <w:rsid w:val="2BF12D23"/>
    <w:rsid w:val="2C975BB3"/>
    <w:rsid w:val="2CD13C47"/>
    <w:rsid w:val="2D285E15"/>
    <w:rsid w:val="2D8F379E"/>
    <w:rsid w:val="2E0A0C0A"/>
    <w:rsid w:val="2E677218"/>
    <w:rsid w:val="2E697596"/>
    <w:rsid w:val="2FC076F2"/>
    <w:rsid w:val="30267FB6"/>
    <w:rsid w:val="314E1AB9"/>
    <w:rsid w:val="31500118"/>
    <w:rsid w:val="32284BF5"/>
    <w:rsid w:val="33371520"/>
    <w:rsid w:val="334031B7"/>
    <w:rsid w:val="33FFAA10"/>
    <w:rsid w:val="362817CD"/>
    <w:rsid w:val="37B54749"/>
    <w:rsid w:val="37BC567B"/>
    <w:rsid w:val="3859221A"/>
    <w:rsid w:val="385A7078"/>
    <w:rsid w:val="388F1564"/>
    <w:rsid w:val="3A52002D"/>
    <w:rsid w:val="3A8679D8"/>
    <w:rsid w:val="3B7425D8"/>
    <w:rsid w:val="3BCA175C"/>
    <w:rsid w:val="3C491966"/>
    <w:rsid w:val="3C83068A"/>
    <w:rsid w:val="3CC372BE"/>
    <w:rsid w:val="3CD72A6B"/>
    <w:rsid w:val="3CDF6A4E"/>
    <w:rsid w:val="3D9C1E3D"/>
    <w:rsid w:val="3EA46696"/>
    <w:rsid w:val="40C50752"/>
    <w:rsid w:val="41C00655"/>
    <w:rsid w:val="41E75DD5"/>
    <w:rsid w:val="41FD11C6"/>
    <w:rsid w:val="4200183C"/>
    <w:rsid w:val="42142F32"/>
    <w:rsid w:val="425761C4"/>
    <w:rsid w:val="42841D5D"/>
    <w:rsid w:val="42E32FE7"/>
    <w:rsid w:val="42ED5095"/>
    <w:rsid w:val="43076E92"/>
    <w:rsid w:val="43087C7B"/>
    <w:rsid w:val="432055E7"/>
    <w:rsid w:val="4345127F"/>
    <w:rsid w:val="43AA5D1A"/>
    <w:rsid w:val="43D146B8"/>
    <w:rsid w:val="43EA73B2"/>
    <w:rsid w:val="44DF68DF"/>
    <w:rsid w:val="45736AD8"/>
    <w:rsid w:val="459A0310"/>
    <w:rsid w:val="462F3918"/>
    <w:rsid w:val="4686528E"/>
    <w:rsid w:val="46AC3F72"/>
    <w:rsid w:val="46B06807"/>
    <w:rsid w:val="46E14A18"/>
    <w:rsid w:val="47A85505"/>
    <w:rsid w:val="47CC3B0C"/>
    <w:rsid w:val="47F941DE"/>
    <w:rsid w:val="49566AFF"/>
    <w:rsid w:val="49A97632"/>
    <w:rsid w:val="4A1A2193"/>
    <w:rsid w:val="4A657CF4"/>
    <w:rsid w:val="4B581EE4"/>
    <w:rsid w:val="4BCD2EFA"/>
    <w:rsid w:val="4C67769A"/>
    <w:rsid w:val="4C6F2CC0"/>
    <w:rsid w:val="4C877124"/>
    <w:rsid w:val="4D616AAD"/>
    <w:rsid w:val="4DB666BD"/>
    <w:rsid w:val="4E021383"/>
    <w:rsid w:val="4F8F659C"/>
    <w:rsid w:val="4F927005"/>
    <w:rsid w:val="50A12E21"/>
    <w:rsid w:val="51EB7DDC"/>
    <w:rsid w:val="53153F60"/>
    <w:rsid w:val="540C2AB5"/>
    <w:rsid w:val="54B85037"/>
    <w:rsid w:val="552274E0"/>
    <w:rsid w:val="55DA28E5"/>
    <w:rsid w:val="55F33C91"/>
    <w:rsid w:val="56D15888"/>
    <w:rsid w:val="571C7877"/>
    <w:rsid w:val="58554E5D"/>
    <w:rsid w:val="58BA44A4"/>
    <w:rsid w:val="59273E85"/>
    <w:rsid w:val="593717A1"/>
    <w:rsid w:val="59C3202D"/>
    <w:rsid w:val="5AD57687"/>
    <w:rsid w:val="5AF426EE"/>
    <w:rsid w:val="5B5D37BF"/>
    <w:rsid w:val="5B745BFD"/>
    <w:rsid w:val="5C230AB1"/>
    <w:rsid w:val="5C70022F"/>
    <w:rsid w:val="5CAB1AF3"/>
    <w:rsid w:val="5D4717FD"/>
    <w:rsid w:val="5DF3065B"/>
    <w:rsid w:val="5EDB1A33"/>
    <w:rsid w:val="5F1974C0"/>
    <w:rsid w:val="5F6F144C"/>
    <w:rsid w:val="6025343B"/>
    <w:rsid w:val="605F3B9E"/>
    <w:rsid w:val="60D729AF"/>
    <w:rsid w:val="61BD3CB2"/>
    <w:rsid w:val="62684D0F"/>
    <w:rsid w:val="631A0D4E"/>
    <w:rsid w:val="63245E2A"/>
    <w:rsid w:val="634C2697"/>
    <w:rsid w:val="635B6330"/>
    <w:rsid w:val="63F773CC"/>
    <w:rsid w:val="64412D3D"/>
    <w:rsid w:val="646C61AC"/>
    <w:rsid w:val="648F03C7"/>
    <w:rsid w:val="65D87F0E"/>
    <w:rsid w:val="677EDD95"/>
    <w:rsid w:val="689C682D"/>
    <w:rsid w:val="69215E43"/>
    <w:rsid w:val="695D77B6"/>
    <w:rsid w:val="6A565595"/>
    <w:rsid w:val="6C52309D"/>
    <w:rsid w:val="6CA4030D"/>
    <w:rsid w:val="6CB31BF3"/>
    <w:rsid w:val="6D6005AA"/>
    <w:rsid w:val="6DD01561"/>
    <w:rsid w:val="6FFFD533"/>
    <w:rsid w:val="70C17E78"/>
    <w:rsid w:val="70E21E54"/>
    <w:rsid w:val="719257E5"/>
    <w:rsid w:val="71A921F1"/>
    <w:rsid w:val="720F5AB3"/>
    <w:rsid w:val="724A4606"/>
    <w:rsid w:val="727A7B45"/>
    <w:rsid w:val="72BB239F"/>
    <w:rsid w:val="72BD6F7E"/>
    <w:rsid w:val="731753F1"/>
    <w:rsid w:val="73CB617F"/>
    <w:rsid w:val="74103010"/>
    <w:rsid w:val="744B42FD"/>
    <w:rsid w:val="75DC73F5"/>
    <w:rsid w:val="76B64EC4"/>
    <w:rsid w:val="77263BFE"/>
    <w:rsid w:val="785B03E9"/>
    <w:rsid w:val="78633FF8"/>
    <w:rsid w:val="79052133"/>
    <w:rsid w:val="79302F85"/>
    <w:rsid w:val="79CA15A2"/>
    <w:rsid w:val="7A2C0136"/>
    <w:rsid w:val="7A2E40C9"/>
    <w:rsid w:val="7A48278D"/>
    <w:rsid w:val="7ADDCB70"/>
    <w:rsid w:val="7B2D6DA5"/>
    <w:rsid w:val="7BF41733"/>
    <w:rsid w:val="7C4A348C"/>
    <w:rsid w:val="7CA66204"/>
    <w:rsid w:val="7D9A4A61"/>
    <w:rsid w:val="7DAA4BFD"/>
    <w:rsid w:val="7DAF9631"/>
    <w:rsid w:val="7E377FCB"/>
    <w:rsid w:val="7E650480"/>
    <w:rsid w:val="7E971054"/>
    <w:rsid w:val="7EAC609A"/>
    <w:rsid w:val="7F0B37AF"/>
    <w:rsid w:val="7F482D79"/>
    <w:rsid w:val="BDEF5609"/>
    <w:rsid w:val="BDF699F9"/>
    <w:rsid w:val="D53F3736"/>
    <w:rsid w:val="D6CF77BF"/>
    <w:rsid w:val="FBBDDBBB"/>
    <w:rsid w:val="FBDFF292"/>
    <w:rsid w:val="FE4BAE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99"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pPr>
    <w:rPr>
      <w:rFonts w:ascii="Times New Roman" w:hAnsi="Times New Roman" w:eastAsia="仿宋" w:cs="Times New Roman"/>
      <w:kern w:val="2"/>
      <w:sz w:val="21"/>
      <w:szCs w:val="21"/>
      <w:lang w:val="en-US" w:eastAsia="zh-CN" w:bidi="ar-SA"/>
    </w:rPr>
  </w:style>
  <w:style w:type="paragraph" w:styleId="3">
    <w:name w:val="heading 1"/>
    <w:basedOn w:val="1"/>
    <w:next w:val="1"/>
    <w:link w:val="62"/>
    <w:qFormat/>
    <w:uiPriority w:val="0"/>
    <w:pPr>
      <w:keepNext/>
      <w:keepLines/>
      <w:pageBreakBefore/>
      <w:numPr>
        <w:ilvl w:val="0"/>
        <w:numId w:val="1"/>
      </w:numPr>
      <w:tabs>
        <w:tab w:val="left" w:pos="420"/>
      </w:tabs>
      <w:spacing w:line="600" w:lineRule="exact"/>
      <w:ind w:left="420" w:leftChars="0" w:hanging="380" w:firstLineChars="0"/>
      <w:jc w:val="left"/>
      <w:outlineLvl w:val="0"/>
    </w:pPr>
    <w:rPr>
      <w:rFonts w:ascii="Times New Roman" w:hAnsi="Times New Roman" w:eastAsia="黑体"/>
      <w:color w:val="000000"/>
      <w:kern w:val="0"/>
      <w:sz w:val="32"/>
      <w:szCs w:val="84"/>
    </w:rPr>
  </w:style>
  <w:style w:type="paragraph" w:styleId="4">
    <w:name w:val="heading 2"/>
    <w:basedOn w:val="1"/>
    <w:next w:val="1"/>
    <w:link w:val="63"/>
    <w:qFormat/>
    <w:uiPriority w:val="0"/>
    <w:pPr>
      <w:keepNext/>
      <w:keepLines/>
      <w:numPr>
        <w:ilvl w:val="1"/>
        <w:numId w:val="1"/>
      </w:numPr>
      <w:tabs>
        <w:tab w:val="left" w:pos="540"/>
      </w:tabs>
      <w:spacing w:line="600" w:lineRule="exact"/>
      <w:ind w:left="0" w:leftChars="0" w:firstLine="564" w:firstLineChars="200"/>
      <w:outlineLvl w:val="1"/>
    </w:pPr>
    <w:rPr>
      <w:rFonts w:ascii="楷体_GB2312" w:hAnsi="楷体_GB2312" w:eastAsia="楷体_GB2312"/>
      <w:b/>
      <w:color w:val="000000"/>
      <w:sz w:val="32"/>
      <w:szCs w:val="28"/>
    </w:rPr>
  </w:style>
  <w:style w:type="paragraph" w:styleId="5">
    <w:name w:val="heading 3"/>
    <w:basedOn w:val="1"/>
    <w:next w:val="1"/>
    <w:link w:val="60"/>
    <w:qFormat/>
    <w:uiPriority w:val="0"/>
    <w:pPr>
      <w:keepNext/>
      <w:keepLines/>
      <w:numPr>
        <w:ilvl w:val="2"/>
        <w:numId w:val="1"/>
      </w:numPr>
      <w:tabs>
        <w:tab w:val="left" w:pos="709"/>
      </w:tabs>
      <w:ind w:firstLine="20"/>
      <w:outlineLvl w:val="2"/>
    </w:pPr>
    <w:rPr>
      <w:rFonts w:eastAsia="黑体"/>
      <w:color w:val="000000"/>
      <w:sz w:val="24"/>
      <w:szCs w:val="30"/>
    </w:rPr>
  </w:style>
  <w:style w:type="paragraph" w:styleId="6">
    <w:name w:val="heading 4"/>
    <w:basedOn w:val="1"/>
    <w:next w:val="1"/>
    <w:link w:val="61"/>
    <w:qFormat/>
    <w:uiPriority w:val="0"/>
    <w:pPr>
      <w:keepNext/>
      <w:keepLines/>
      <w:numPr>
        <w:ilvl w:val="3"/>
        <w:numId w:val="1"/>
      </w:numPr>
      <w:spacing w:before="0" w:after="0"/>
      <w:ind w:firstLine="402"/>
      <w:outlineLvl w:val="3"/>
    </w:pPr>
    <w:rPr>
      <w:rFonts w:eastAsia="黑体"/>
      <w:color w:val="000000"/>
      <w:kern w:val="0"/>
      <w:sz w:val="24"/>
      <w:szCs w:val="24"/>
    </w:rPr>
  </w:style>
  <w:style w:type="paragraph" w:styleId="7">
    <w:name w:val="heading 5"/>
    <w:basedOn w:val="1"/>
    <w:next w:val="1"/>
    <w:link w:val="66"/>
    <w:qFormat/>
    <w:uiPriority w:val="0"/>
    <w:pPr>
      <w:keepNext/>
      <w:keepLines/>
      <w:numPr>
        <w:ilvl w:val="4"/>
        <w:numId w:val="1"/>
      </w:numPr>
      <w:spacing w:before="280" w:after="290" w:line="376" w:lineRule="auto"/>
      <w:ind w:firstLine="402"/>
      <w:outlineLvl w:val="4"/>
    </w:pPr>
    <w:rPr>
      <w:b/>
      <w:bCs/>
      <w:sz w:val="28"/>
      <w:szCs w:val="28"/>
    </w:rPr>
  </w:style>
  <w:style w:type="paragraph" w:styleId="8">
    <w:name w:val="heading 6"/>
    <w:basedOn w:val="1"/>
    <w:next w:val="1"/>
    <w:link w:val="67"/>
    <w:qFormat/>
    <w:uiPriority w:val="0"/>
    <w:pPr>
      <w:keepNext/>
      <w:keepLines/>
      <w:numPr>
        <w:ilvl w:val="5"/>
        <w:numId w:val="1"/>
      </w:numPr>
      <w:tabs>
        <w:tab w:val="left" w:pos="1152"/>
      </w:tabs>
      <w:adjustRightInd w:val="0"/>
      <w:snapToGrid w:val="0"/>
      <w:spacing w:before="156" w:beforeLines="50" w:after="64" w:line="320" w:lineRule="auto"/>
      <w:ind w:left="0" w:firstLine="402"/>
      <w:outlineLvl w:val="5"/>
    </w:pPr>
    <w:rPr>
      <w:rFonts w:ascii="Arial" w:hAnsi="Arial" w:eastAsia="黑体"/>
      <w:b/>
      <w:bCs/>
      <w:sz w:val="24"/>
      <w:szCs w:val="24"/>
    </w:rPr>
  </w:style>
  <w:style w:type="paragraph" w:styleId="9">
    <w:name w:val="heading 7"/>
    <w:basedOn w:val="1"/>
    <w:next w:val="1"/>
    <w:link w:val="68"/>
    <w:qFormat/>
    <w:uiPriority w:val="0"/>
    <w:pPr>
      <w:keepNext/>
      <w:keepLines/>
      <w:numPr>
        <w:ilvl w:val="6"/>
        <w:numId w:val="1"/>
      </w:numPr>
      <w:tabs>
        <w:tab w:val="left" w:pos="1296"/>
      </w:tabs>
      <w:adjustRightInd w:val="0"/>
      <w:snapToGrid w:val="0"/>
      <w:spacing w:before="156" w:beforeLines="50" w:after="64" w:line="320" w:lineRule="auto"/>
      <w:ind w:left="0" w:firstLine="402"/>
      <w:outlineLvl w:val="6"/>
    </w:pPr>
    <w:rPr>
      <w:b/>
      <w:bCs/>
      <w:sz w:val="24"/>
      <w:szCs w:val="24"/>
    </w:rPr>
  </w:style>
  <w:style w:type="paragraph" w:styleId="10">
    <w:name w:val="heading 8"/>
    <w:basedOn w:val="1"/>
    <w:next w:val="1"/>
    <w:link w:val="69"/>
    <w:qFormat/>
    <w:uiPriority w:val="0"/>
    <w:pPr>
      <w:keepNext/>
      <w:keepLines/>
      <w:numPr>
        <w:ilvl w:val="7"/>
        <w:numId w:val="1"/>
      </w:numPr>
      <w:tabs>
        <w:tab w:val="left" w:pos="1440"/>
      </w:tabs>
      <w:adjustRightInd w:val="0"/>
      <w:snapToGrid w:val="0"/>
      <w:spacing w:before="156" w:beforeLines="50" w:after="64" w:line="320" w:lineRule="auto"/>
      <w:ind w:left="0" w:firstLine="402"/>
      <w:outlineLvl w:val="7"/>
    </w:pPr>
    <w:rPr>
      <w:rFonts w:ascii="Arial" w:hAnsi="Arial" w:eastAsia="黑体"/>
      <w:sz w:val="24"/>
      <w:szCs w:val="24"/>
    </w:rPr>
  </w:style>
  <w:style w:type="paragraph" w:styleId="11">
    <w:name w:val="heading 9"/>
    <w:basedOn w:val="1"/>
    <w:next w:val="1"/>
    <w:link w:val="70"/>
    <w:qFormat/>
    <w:uiPriority w:val="0"/>
    <w:pPr>
      <w:keepNext/>
      <w:keepLines/>
      <w:numPr>
        <w:ilvl w:val="8"/>
        <w:numId w:val="1"/>
      </w:numPr>
      <w:tabs>
        <w:tab w:val="left" w:pos="1584"/>
      </w:tabs>
      <w:adjustRightInd w:val="0"/>
      <w:snapToGrid w:val="0"/>
      <w:spacing w:before="156" w:beforeLines="50" w:after="64" w:line="320" w:lineRule="auto"/>
      <w:ind w:left="0" w:firstLine="402"/>
      <w:outlineLvl w:val="8"/>
    </w:pPr>
    <w:rPr>
      <w:rFonts w:ascii="Arial" w:hAnsi="Arial" w:eastAsia="黑体"/>
    </w:rPr>
  </w:style>
  <w:style w:type="character" w:default="1" w:styleId="46">
    <w:name w:val="Default Paragraph Font"/>
    <w:qFormat/>
    <w:uiPriority w:val="0"/>
  </w:style>
  <w:style w:type="table" w:default="1" w:styleId="44">
    <w:name w:val="Normal Table"/>
    <w:qFormat/>
    <w:uiPriority w:val="99"/>
    <w:tblPr>
      <w:tblCellMar>
        <w:top w:w="0" w:type="dxa"/>
        <w:left w:w="108" w:type="dxa"/>
        <w:bottom w:w="0" w:type="dxa"/>
        <w:right w:w="108" w:type="dxa"/>
      </w:tblCellMar>
    </w:tblPr>
  </w:style>
  <w:style w:type="paragraph" w:styleId="2">
    <w:name w:val="Normal Indent"/>
    <w:basedOn w:val="1"/>
    <w:link w:val="71"/>
    <w:qFormat/>
    <w:uiPriority w:val="0"/>
    <w:rPr>
      <w:kern w:val="0"/>
      <w:sz w:val="20"/>
    </w:rPr>
  </w:style>
  <w:style w:type="paragraph" w:styleId="12">
    <w:name w:val="toc 7"/>
    <w:basedOn w:val="1"/>
    <w:next w:val="1"/>
    <w:qFormat/>
    <w:uiPriority w:val="0"/>
    <w:pPr>
      <w:ind w:left="2520" w:leftChars="1200"/>
    </w:pPr>
    <w:rPr>
      <w:rFonts w:ascii="Calibri" w:hAnsi="Calibri" w:cs="Calibri"/>
    </w:rPr>
  </w:style>
  <w:style w:type="paragraph" w:styleId="13">
    <w:name w:val="Note Heading"/>
    <w:basedOn w:val="1"/>
    <w:next w:val="1"/>
    <w:qFormat/>
    <w:uiPriority w:val="0"/>
    <w:pPr>
      <w:ind w:firstLine="0"/>
      <w:jc w:val="center"/>
    </w:pPr>
  </w:style>
  <w:style w:type="paragraph" w:styleId="14">
    <w:name w:val="List Number"/>
    <w:basedOn w:val="1"/>
    <w:qFormat/>
    <w:uiPriority w:val="0"/>
    <w:pPr>
      <w:tabs>
        <w:tab w:val="left" w:pos="720"/>
      </w:tabs>
      <w:ind w:left="720" w:hanging="720"/>
    </w:pPr>
  </w:style>
  <w:style w:type="paragraph" w:styleId="15">
    <w:name w:val="caption"/>
    <w:basedOn w:val="1"/>
    <w:next w:val="1"/>
    <w:qFormat/>
    <w:uiPriority w:val="0"/>
    <w:rPr>
      <w:rFonts w:eastAsia="方正仿宋_GB2312"/>
      <w:color w:val="000000"/>
      <w:sz w:val="24"/>
    </w:rPr>
  </w:style>
  <w:style w:type="paragraph" w:styleId="16">
    <w:name w:val="Document Map"/>
    <w:basedOn w:val="1"/>
    <w:link w:val="72"/>
    <w:qFormat/>
    <w:uiPriority w:val="0"/>
    <w:rPr>
      <w:rFonts w:ascii="宋体"/>
      <w:kern w:val="0"/>
      <w:sz w:val="18"/>
      <w:szCs w:val="18"/>
    </w:rPr>
  </w:style>
  <w:style w:type="paragraph" w:styleId="17">
    <w:name w:val="annotation text"/>
    <w:basedOn w:val="1"/>
    <w:link w:val="73"/>
    <w:qFormat/>
    <w:uiPriority w:val="0"/>
    <w:rPr>
      <w:kern w:val="0"/>
      <w:sz w:val="20"/>
    </w:rPr>
  </w:style>
  <w:style w:type="paragraph" w:styleId="18">
    <w:name w:val="Salutation"/>
    <w:basedOn w:val="1"/>
    <w:next w:val="1"/>
    <w:qFormat/>
    <w:uiPriority w:val="0"/>
    <w:pPr>
      <w:adjustRightInd w:val="0"/>
      <w:spacing w:before="0" w:after="0" w:line="312" w:lineRule="atLeast"/>
      <w:ind w:firstLine="0"/>
      <w:jc w:val="both"/>
      <w:textAlignment w:val="baseline"/>
    </w:pPr>
    <w:rPr>
      <w:kern w:val="0"/>
      <w:sz w:val="28"/>
      <w:szCs w:val="20"/>
    </w:rPr>
  </w:style>
  <w:style w:type="paragraph" w:styleId="19">
    <w:name w:val="Body Text"/>
    <w:basedOn w:val="1"/>
    <w:link w:val="74"/>
    <w:qFormat/>
    <w:uiPriority w:val="0"/>
    <w:pPr>
      <w:spacing w:after="120"/>
    </w:pPr>
    <w:rPr>
      <w:kern w:val="0"/>
      <w:sz w:val="20"/>
    </w:rPr>
  </w:style>
  <w:style w:type="paragraph" w:styleId="20">
    <w:name w:val="Body Text Indent"/>
    <w:basedOn w:val="1"/>
    <w:link w:val="75"/>
    <w:qFormat/>
    <w:uiPriority w:val="0"/>
    <w:pPr>
      <w:spacing w:after="120"/>
      <w:ind w:left="420" w:leftChars="200"/>
    </w:pPr>
    <w:rPr>
      <w:kern w:val="0"/>
      <w:sz w:val="20"/>
    </w:rPr>
  </w:style>
  <w:style w:type="paragraph" w:styleId="21">
    <w:name w:val="toc 5"/>
    <w:basedOn w:val="1"/>
    <w:next w:val="1"/>
    <w:qFormat/>
    <w:uiPriority w:val="0"/>
    <w:pPr>
      <w:ind w:left="1680" w:leftChars="800"/>
    </w:pPr>
    <w:rPr>
      <w:rFonts w:ascii="Calibri" w:hAnsi="Calibri" w:cs="Calibri"/>
    </w:rPr>
  </w:style>
  <w:style w:type="paragraph" w:styleId="22">
    <w:name w:val="toc 3"/>
    <w:basedOn w:val="1"/>
    <w:next w:val="1"/>
    <w:qFormat/>
    <w:uiPriority w:val="0"/>
    <w:pPr>
      <w:tabs>
        <w:tab w:val="left" w:pos="1050"/>
        <w:tab w:val="left" w:pos="1418"/>
        <w:tab w:val="right" w:leader="dot" w:pos="8302"/>
      </w:tabs>
      <w:spacing w:before="0" w:after="0" w:line="300" w:lineRule="auto"/>
      <w:ind w:firstLine="454"/>
      <w:jc w:val="right"/>
    </w:pPr>
    <w:rPr>
      <w:rFonts w:eastAsia="微软雅黑"/>
    </w:rPr>
  </w:style>
  <w:style w:type="paragraph" w:styleId="23">
    <w:name w:val="Plain Text"/>
    <w:basedOn w:val="1"/>
    <w:link w:val="76"/>
    <w:qFormat/>
    <w:uiPriority w:val="0"/>
    <w:rPr>
      <w:rFonts w:ascii="宋体" w:hAnsi="Courier New"/>
    </w:rPr>
  </w:style>
  <w:style w:type="paragraph" w:styleId="24">
    <w:name w:val="toc 8"/>
    <w:basedOn w:val="1"/>
    <w:next w:val="1"/>
    <w:qFormat/>
    <w:uiPriority w:val="0"/>
    <w:pPr>
      <w:ind w:left="2940" w:leftChars="1400"/>
    </w:pPr>
    <w:rPr>
      <w:rFonts w:ascii="Calibri" w:hAnsi="Calibri" w:cs="Calibri"/>
    </w:rPr>
  </w:style>
  <w:style w:type="paragraph" w:styleId="25">
    <w:name w:val="Date"/>
    <w:basedOn w:val="1"/>
    <w:next w:val="1"/>
    <w:link w:val="77"/>
    <w:qFormat/>
    <w:uiPriority w:val="0"/>
    <w:pPr>
      <w:ind w:left="100" w:leftChars="2500" w:right="238" w:firstLine="280" w:firstLineChars="128"/>
    </w:pPr>
    <w:rPr>
      <w:kern w:val="0"/>
      <w:sz w:val="24"/>
      <w:szCs w:val="24"/>
    </w:rPr>
  </w:style>
  <w:style w:type="paragraph" w:styleId="26">
    <w:name w:val="Body Text Indent 2"/>
    <w:basedOn w:val="1"/>
    <w:link w:val="78"/>
    <w:qFormat/>
    <w:uiPriority w:val="0"/>
    <w:pPr>
      <w:adjustRightInd w:val="0"/>
      <w:spacing w:line="340" w:lineRule="exact"/>
      <w:ind w:firstLine="603"/>
      <w:textAlignment w:val="baseline"/>
    </w:pPr>
    <w:rPr>
      <w:rFonts w:ascii="宋体" w:hAnsi="宋体"/>
      <w:kern w:val="0"/>
      <w:sz w:val="28"/>
      <w:szCs w:val="28"/>
    </w:rPr>
  </w:style>
  <w:style w:type="paragraph" w:styleId="27">
    <w:name w:val="endnote text"/>
    <w:basedOn w:val="1"/>
    <w:link w:val="79"/>
    <w:qFormat/>
    <w:uiPriority w:val="0"/>
    <w:pPr>
      <w:snapToGrid w:val="0"/>
    </w:pPr>
    <w:rPr>
      <w:kern w:val="0"/>
      <w:sz w:val="20"/>
    </w:rPr>
  </w:style>
  <w:style w:type="paragraph" w:styleId="28">
    <w:name w:val="Balloon Text"/>
    <w:basedOn w:val="1"/>
    <w:link w:val="80"/>
    <w:qFormat/>
    <w:uiPriority w:val="0"/>
    <w:rPr>
      <w:kern w:val="0"/>
      <w:sz w:val="18"/>
      <w:szCs w:val="18"/>
    </w:rPr>
  </w:style>
  <w:style w:type="paragraph" w:styleId="29">
    <w:name w:val="footer"/>
    <w:basedOn w:val="1"/>
    <w:link w:val="81"/>
    <w:qFormat/>
    <w:uiPriority w:val="0"/>
    <w:pPr>
      <w:tabs>
        <w:tab w:val="center" w:pos="4153"/>
        <w:tab w:val="right" w:pos="8306"/>
      </w:tabs>
      <w:snapToGrid w:val="0"/>
    </w:pPr>
    <w:rPr>
      <w:kern w:val="0"/>
      <w:sz w:val="18"/>
      <w:szCs w:val="18"/>
    </w:rPr>
  </w:style>
  <w:style w:type="paragraph" w:styleId="30">
    <w:name w:val="header"/>
    <w:basedOn w:val="1"/>
    <w:link w:val="82"/>
    <w:qFormat/>
    <w:uiPriority w:val="0"/>
    <w:pPr>
      <w:pBdr>
        <w:bottom w:val="thinThickSmallGap" w:color="auto" w:sz="24" w:space="1"/>
      </w:pBdr>
      <w:tabs>
        <w:tab w:val="center" w:pos="4153"/>
        <w:tab w:val="right" w:pos="8306"/>
      </w:tabs>
      <w:snapToGrid w:val="0"/>
      <w:spacing w:line="240" w:lineRule="auto"/>
      <w:jc w:val="center"/>
    </w:pPr>
    <w:rPr>
      <w:rFonts w:eastAsia="方正仿宋_GB2312"/>
    </w:rPr>
  </w:style>
  <w:style w:type="paragraph" w:styleId="31">
    <w:name w:val="toc 1"/>
    <w:basedOn w:val="1"/>
    <w:next w:val="1"/>
    <w:qFormat/>
    <w:uiPriority w:val="0"/>
    <w:pPr>
      <w:tabs>
        <w:tab w:val="right" w:leader="dot" w:pos="9072"/>
      </w:tabs>
      <w:spacing w:before="156" w:beforeLines="50" w:after="156" w:afterLines="50" w:line="300" w:lineRule="auto"/>
      <w:jc w:val="center"/>
    </w:pPr>
    <w:rPr>
      <w:rFonts w:eastAsia="黑体"/>
      <w:color w:val="000000"/>
      <w:sz w:val="32"/>
      <w:szCs w:val="32"/>
    </w:rPr>
  </w:style>
  <w:style w:type="paragraph" w:styleId="32">
    <w:name w:val="toc 4"/>
    <w:basedOn w:val="1"/>
    <w:next w:val="1"/>
    <w:qFormat/>
    <w:uiPriority w:val="0"/>
    <w:pPr>
      <w:ind w:left="1260" w:leftChars="600"/>
    </w:pPr>
    <w:rPr>
      <w:rFonts w:ascii="Calibri" w:hAnsi="Calibri" w:cs="Calibri"/>
    </w:rPr>
  </w:style>
  <w:style w:type="paragraph" w:styleId="33">
    <w:name w:val="footnote text"/>
    <w:basedOn w:val="1"/>
    <w:link w:val="83"/>
    <w:qFormat/>
    <w:uiPriority w:val="0"/>
    <w:pPr>
      <w:snapToGrid w:val="0"/>
      <w:spacing w:before="0" w:after="0"/>
      <w:ind w:firstLine="200" w:firstLineChars="200"/>
    </w:pPr>
    <w:rPr>
      <w:sz w:val="18"/>
      <w:szCs w:val="18"/>
    </w:rPr>
  </w:style>
  <w:style w:type="paragraph" w:styleId="34">
    <w:name w:val="toc 6"/>
    <w:basedOn w:val="1"/>
    <w:next w:val="1"/>
    <w:qFormat/>
    <w:uiPriority w:val="0"/>
    <w:pPr>
      <w:ind w:left="2100" w:leftChars="1000"/>
    </w:pPr>
    <w:rPr>
      <w:rFonts w:ascii="Calibri" w:hAnsi="Calibri" w:cs="Calibri"/>
    </w:rPr>
  </w:style>
  <w:style w:type="paragraph" w:styleId="35">
    <w:name w:val="table of figures"/>
    <w:basedOn w:val="1"/>
    <w:next w:val="1"/>
    <w:qFormat/>
    <w:uiPriority w:val="0"/>
    <w:pPr>
      <w:ind w:left="200" w:leftChars="200" w:hanging="200" w:hangingChars="200"/>
    </w:pPr>
  </w:style>
  <w:style w:type="paragraph" w:styleId="36">
    <w:name w:val="toc 2"/>
    <w:basedOn w:val="1"/>
    <w:next w:val="1"/>
    <w:qFormat/>
    <w:uiPriority w:val="0"/>
    <w:pPr>
      <w:tabs>
        <w:tab w:val="left" w:pos="851"/>
        <w:tab w:val="right" w:leader="dot" w:pos="9072"/>
      </w:tabs>
      <w:spacing w:before="0" w:after="0" w:line="300" w:lineRule="auto"/>
      <w:ind w:firstLine="431"/>
    </w:pPr>
    <w:rPr>
      <w:rFonts w:eastAsia="黑体"/>
      <w:color w:val="000000"/>
      <w:sz w:val="24"/>
      <w:szCs w:val="24"/>
    </w:rPr>
  </w:style>
  <w:style w:type="paragraph" w:styleId="37">
    <w:name w:val="toc 9"/>
    <w:basedOn w:val="1"/>
    <w:next w:val="1"/>
    <w:qFormat/>
    <w:uiPriority w:val="0"/>
    <w:pPr>
      <w:ind w:left="3360" w:leftChars="1600"/>
    </w:pPr>
    <w:rPr>
      <w:rFonts w:ascii="Calibri" w:hAnsi="Calibri" w:cs="Calibri"/>
    </w:rPr>
  </w:style>
  <w:style w:type="paragraph" w:styleId="38">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 w:val="24"/>
      <w:szCs w:val="24"/>
    </w:rPr>
  </w:style>
  <w:style w:type="paragraph" w:styleId="39">
    <w:name w:val="Normal (Web)"/>
    <w:basedOn w:val="1"/>
    <w:qFormat/>
    <w:uiPriority w:val="99"/>
    <w:pPr>
      <w:widowControl/>
      <w:spacing w:before="100" w:beforeAutospacing="1" w:after="100" w:afterAutospacing="1"/>
    </w:pPr>
    <w:rPr>
      <w:rFonts w:ascii="宋体" w:hAnsi="宋体" w:cs="宋体"/>
      <w:kern w:val="0"/>
      <w:sz w:val="24"/>
      <w:szCs w:val="24"/>
    </w:rPr>
  </w:style>
  <w:style w:type="paragraph" w:styleId="40">
    <w:name w:val="Title"/>
    <w:basedOn w:val="1"/>
    <w:link w:val="85"/>
    <w:qFormat/>
    <w:uiPriority w:val="0"/>
    <w:pPr>
      <w:adjustRightInd w:val="0"/>
      <w:snapToGrid w:val="0"/>
      <w:spacing w:before="0" w:after="0"/>
      <w:ind w:firstLine="0"/>
      <w:jc w:val="center"/>
      <w:outlineLvl w:val="0"/>
    </w:pPr>
    <w:rPr>
      <w:rFonts w:eastAsia="黑体"/>
      <w:bCs/>
      <w:sz w:val="44"/>
      <w:szCs w:val="32"/>
    </w:rPr>
  </w:style>
  <w:style w:type="paragraph" w:styleId="41">
    <w:name w:val="annotation subject"/>
    <w:basedOn w:val="17"/>
    <w:next w:val="17"/>
    <w:link w:val="86"/>
    <w:qFormat/>
    <w:uiPriority w:val="0"/>
    <w:pPr>
      <w:adjustRightInd w:val="0"/>
      <w:snapToGrid w:val="0"/>
      <w:spacing w:before="156" w:beforeLines="50"/>
    </w:pPr>
    <w:rPr>
      <w:b/>
      <w:bCs/>
      <w:sz w:val="24"/>
      <w:szCs w:val="24"/>
    </w:rPr>
  </w:style>
  <w:style w:type="paragraph" w:styleId="42">
    <w:name w:val="Body Text First Indent"/>
    <w:basedOn w:val="1"/>
    <w:link w:val="87"/>
    <w:qFormat/>
    <w:uiPriority w:val="0"/>
    <w:pPr>
      <w:spacing w:before="0" w:line="240" w:lineRule="auto"/>
      <w:ind w:firstLineChars="100"/>
      <w:jc w:val="both"/>
    </w:pPr>
    <w:rPr>
      <w:kern w:val="2"/>
      <w:sz w:val="21"/>
      <w:szCs w:val="24"/>
    </w:rPr>
  </w:style>
  <w:style w:type="paragraph" w:styleId="43">
    <w:name w:val="Body Text First Indent 2"/>
    <w:basedOn w:val="20"/>
    <w:qFormat/>
    <w:uiPriority w:val="0"/>
    <w:pPr>
      <w:spacing w:before="0" w:line="240" w:lineRule="auto"/>
      <w:ind w:firstLineChars="200"/>
      <w:jc w:val="both"/>
    </w:pPr>
    <w:rPr>
      <w:szCs w:val="24"/>
    </w:rPr>
  </w:style>
  <w:style w:type="table" w:styleId="45">
    <w:name w:val="Table Grid"/>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22"/>
    <w:rPr>
      <w:rFonts w:ascii="Times New Roman" w:hAnsi="Times New Roman" w:eastAsia="方正仿宋_GB2312" w:cs="Times New Roman"/>
      <w:b/>
      <w:bCs/>
      <w:sz w:val="24"/>
      <w:szCs w:val="24"/>
    </w:rPr>
  </w:style>
  <w:style w:type="character" w:styleId="48">
    <w:name w:val="endnote reference"/>
    <w:qFormat/>
    <w:uiPriority w:val="0"/>
    <w:rPr>
      <w:vertAlign w:val="superscript"/>
    </w:rPr>
  </w:style>
  <w:style w:type="character" w:styleId="49">
    <w:name w:val="page number"/>
    <w:qFormat/>
    <w:uiPriority w:val="0"/>
  </w:style>
  <w:style w:type="character" w:styleId="50">
    <w:name w:val="FollowedHyperlink"/>
    <w:qFormat/>
    <w:uiPriority w:val="0"/>
    <w:rPr>
      <w:color w:val="800080"/>
      <w:u w:val="single"/>
    </w:rPr>
  </w:style>
  <w:style w:type="character" w:styleId="51">
    <w:name w:val="Emphasis"/>
    <w:qFormat/>
    <w:uiPriority w:val="0"/>
    <w:rPr>
      <w:color w:val="auto"/>
    </w:rPr>
  </w:style>
  <w:style w:type="character" w:styleId="52">
    <w:name w:val="HTML Definition"/>
    <w:basedOn w:val="46"/>
    <w:qFormat/>
    <w:uiPriority w:val="0"/>
    <w:rPr>
      <w:i/>
      <w:iCs/>
    </w:rPr>
  </w:style>
  <w:style w:type="character" w:styleId="53">
    <w:name w:val="Hyperlink"/>
    <w:basedOn w:val="46"/>
    <w:qFormat/>
    <w:uiPriority w:val="0"/>
    <w:rPr>
      <w:color w:val="2440B3"/>
      <w:u w:val="none"/>
    </w:rPr>
  </w:style>
  <w:style w:type="character" w:styleId="54">
    <w:name w:val="HTML Code"/>
    <w:basedOn w:val="46"/>
    <w:qFormat/>
    <w:uiPriority w:val="0"/>
    <w:rPr>
      <w:rFonts w:ascii="Courier New" w:hAnsi="Courier New"/>
      <w:sz w:val="21"/>
      <w:szCs w:val="21"/>
    </w:rPr>
  </w:style>
  <w:style w:type="character" w:styleId="55">
    <w:name w:val="annotation reference"/>
    <w:qFormat/>
    <w:uiPriority w:val="0"/>
    <w:rPr>
      <w:sz w:val="21"/>
      <w:szCs w:val="21"/>
    </w:rPr>
  </w:style>
  <w:style w:type="character" w:styleId="56">
    <w:name w:val="HTML Cite"/>
    <w:basedOn w:val="46"/>
    <w:qFormat/>
    <w:uiPriority w:val="99"/>
    <w:rPr>
      <w:color w:val="008000"/>
    </w:rPr>
  </w:style>
  <w:style w:type="character" w:styleId="57">
    <w:name w:val="footnote reference"/>
    <w:qFormat/>
    <w:uiPriority w:val="0"/>
    <w:rPr>
      <w:vertAlign w:val="superscript"/>
    </w:rPr>
  </w:style>
  <w:style w:type="character" w:styleId="58">
    <w:name w:val="HTML Keyboard"/>
    <w:basedOn w:val="46"/>
    <w:qFormat/>
    <w:uiPriority w:val="0"/>
    <w:rPr>
      <w:rFonts w:ascii="Courier New" w:hAnsi="Courier New"/>
      <w:sz w:val="21"/>
      <w:szCs w:val="21"/>
    </w:rPr>
  </w:style>
  <w:style w:type="character" w:styleId="59">
    <w:name w:val="HTML Sample"/>
    <w:basedOn w:val="46"/>
    <w:qFormat/>
    <w:uiPriority w:val="0"/>
    <w:rPr>
      <w:rFonts w:ascii="Courier New" w:hAnsi="Courier New"/>
      <w:sz w:val="21"/>
      <w:szCs w:val="21"/>
    </w:rPr>
  </w:style>
  <w:style w:type="character" w:customStyle="1" w:styleId="60">
    <w:name w:val="标题 3 Char"/>
    <w:link w:val="5"/>
    <w:qFormat/>
    <w:uiPriority w:val="0"/>
    <w:rPr>
      <w:rFonts w:eastAsia="黑体"/>
      <w:color w:val="000000"/>
      <w:kern w:val="2"/>
      <w:sz w:val="24"/>
      <w:szCs w:val="30"/>
    </w:rPr>
  </w:style>
  <w:style w:type="character" w:customStyle="1" w:styleId="61">
    <w:name w:val="标题 4 Char"/>
    <w:link w:val="6"/>
    <w:qFormat/>
    <w:uiPriority w:val="0"/>
    <w:rPr>
      <w:rFonts w:ascii="Times New Roman" w:hAnsi="Times New Roman" w:eastAsia="黑体" w:cs="Times New Roman"/>
      <w:color w:val="000000"/>
      <w:sz w:val="24"/>
      <w:szCs w:val="24"/>
    </w:rPr>
  </w:style>
  <w:style w:type="character" w:customStyle="1" w:styleId="62">
    <w:name w:val="标题 1 Char"/>
    <w:link w:val="3"/>
    <w:qFormat/>
    <w:uiPriority w:val="0"/>
    <w:rPr>
      <w:rFonts w:ascii="Times New Roman" w:hAnsi="Times New Roman" w:eastAsia="黑体"/>
      <w:color w:val="000000"/>
      <w:sz w:val="32"/>
      <w:szCs w:val="84"/>
    </w:rPr>
  </w:style>
  <w:style w:type="character" w:customStyle="1" w:styleId="63">
    <w:name w:val="标题 2 Char"/>
    <w:link w:val="4"/>
    <w:qFormat/>
    <w:uiPriority w:val="0"/>
    <w:rPr>
      <w:rFonts w:ascii="楷体_GB2312" w:hAnsi="楷体_GB2312" w:eastAsia="楷体_GB2312"/>
      <w:b/>
      <w:color w:val="000000"/>
      <w:kern w:val="2"/>
      <w:sz w:val="32"/>
      <w:szCs w:val="28"/>
    </w:rPr>
  </w:style>
  <w:style w:type="paragraph" w:customStyle="1" w:styleId="64">
    <w:name w:val="_Style 5"/>
    <w:qFormat/>
    <w:uiPriority w:val="0"/>
    <w:pPr>
      <w:widowControl w:val="0"/>
      <w:ind w:firstLine="200" w:firstLineChars="200"/>
      <w:jc w:val="both"/>
    </w:pPr>
    <w:rPr>
      <w:rFonts w:ascii="Times New Roman" w:hAnsi="Times New Roman" w:eastAsia="宋体" w:cs="Times New Roman"/>
      <w:kern w:val="2"/>
      <w:sz w:val="24"/>
      <w:lang w:val="en-US" w:eastAsia="zh-CN"/>
    </w:rPr>
  </w:style>
  <w:style w:type="paragraph" w:customStyle="1" w:styleId="65">
    <w:name w:val="_Style 1"/>
    <w:basedOn w:val="1"/>
    <w:qFormat/>
    <w:uiPriority w:val="0"/>
    <w:pPr>
      <w:spacing w:line="481" w:lineRule="atLeast"/>
      <w:ind w:firstLine="623"/>
      <w:textAlignment w:val="baseline"/>
    </w:pPr>
    <w:rPr>
      <w:rFonts w:eastAsia="仿宋_GB2312"/>
      <w:color w:val="000000"/>
      <w:sz w:val="31"/>
    </w:rPr>
  </w:style>
  <w:style w:type="character" w:customStyle="1" w:styleId="66">
    <w:name w:val="标题 5 Char"/>
    <w:link w:val="7"/>
    <w:qFormat/>
    <w:uiPriority w:val="0"/>
    <w:rPr>
      <w:rFonts w:ascii="Times New Roman" w:hAnsi="Times New Roman"/>
      <w:b/>
      <w:bCs/>
      <w:kern w:val="2"/>
      <w:sz w:val="28"/>
      <w:szCs w:val="28"/>
    </w:rPr>
  </w:style>
  <w:style w:type="character" w:customStyle="1" w:styleId="67">
    <w:name w:val="标题 6 Char"/>
    <w:link w:val="8"/>
    <w:qFormat/>
    <w:uiPriority w:val="0"/>
    <w:rPr>
      <w:rFonts w:ascii="Arial" w:hAnsi="Arial" w:eastAsia="黑体" w:cs="Arial"/>
      <w:b/>
      <w:bCs/>
      <w:kern w:val="2"/>
      <w:sz w:val="24"/>
      <w:szCs w:val="24"/>
    </w:rPr>
  </w:style>
  <w:style w:type="character" w:customStyle="1" w:styleId="68">
    <w:name w:val="标题 7 Char"/>
    <w:link w:val="9"/>
    <w:qFormat/>
    <w:uiPriority w:val="0"/>
    <w:rPr>
      <w:rFonts w:ascii="Times New Roman" w:hAnsi="Times New Roman"/>
      <w:b/>
      <w:bCs/>
      <w:kern w:val="2"/>
      <w:sz w:val="24"/>
      <w:szCs w:val="24"/>
    </w:rPr>
  </w:style>
  <w:style w:type="character" w:customStyle="1" w:styleId="69">
    <w:name w:val="标题 8 Char"/>
    <w:link w:val="10"/>
    <w:qFormat/>
    <w:uiPriority w:val="0"/>
    <w:rPr>
      <w:rFonts w:ascii="Arial" w:hAnsi="Arial" w:eastAsia="黑体" w:cs="Arial"/>
      <w:kern w:val="2"/>
      <w:sz w:val="24"/>
      <w:szCs w:val="24"/>
    </w:rPr>
  </w:style>
  <w:style w:type="character" w:customStyle="1" w:styleId="70">
    <w:name w:val="标题 9 Char"/>
    <w:link w:val="11"/>
    <w:qFormat/>
    <w:uiPriority w:val="0"/>
    <w:rPr>
      <w:rFonts w:ascii="Arial" w:hAnsi="Arial" w:eastAsia="黑体" w:cs="Arial"/>
      <w:kern w:val="2"/>
      <w:sz w:val="21"/>
      <w:szCs w:val="21"/>
    </w:rPr>
  </w:style>
  <w:style w:type="character" w:customStyle="1" w:styleId="71">
    <w:name w:val="正文缩进 Char"/>
    <w:link w:val="2"/>
    <w:qFormat/>
    <w:uiPriority w:val="0"/>
    <w:rPr>
      <w:rFonts w:ascii="Times New Roman" w:hAnsi="Times New Roman" w:eastAsia="宋体" w:cs="Times New Roman"/>
      <w:szCs w:val="21"/>
    </w:rPr>
  </w:style>
  <w:style w:type="character" w:customStyle="1" w:styleId="72">
    <w:name w:val="文档结构图 Char"/>
    <w:link w:val="16"/>
    <w:qFormat/>
    <w:uiPriority w:val="0"/>
    <w:rPr>
      <w:rFonts w:ascii="宋体" w:hAnsi="Times New Roman" w:eastAsia="宋体" w:cs="宋体"/>
      <w:sz w:val="18"/>
      <w:szCs w:val="18"/>
    </w:rPr>
  </w:style>
  <w:style w:type="character" w:customStyle="1" w:styleId="73">
    <w:name w:val="批注文字 Char"/>
    <w:link w:val="17"/>
    <w:qFormat/>
    <w:uiPriority w:val="0"/>
    <w:rPr>
      <w:rFonts w:ascii="Times New Roman" w:hAnsi="Times New Roman" w:eastAsia="宋体" w:cs="Times New Roman"/>
      <w:szCs w:val="21"/>
    </w:rPr>
  </w:style>
  <w:style w:type="character" w:customStyle="1" w:styleId="74">
    <w:name w:val="正文文本 Char"/>
    <w:link w:val="19"/>
    <w:qFormat/>
    <w:uiPriority w:val="0"/>
    <w:rPr>
      <w:rFonts w:ascii="Times New Roman" w:hAnsi="Times New Roman" w:eastAsia="宋体" w:cs="Times New Roman"/>
      <w:szCs w:val="21"/>
    </w:rPr>
  </w:style>
  <w:style w:type="character" w:customStyle="1" w:styleId="75">
    <w:name w:val="正文文本缩进 Char"/>
    <w:link w:val="20"/>
    <w:qFormat/>
    <w:uiPriority w:val="0"/>
    <w:rPr>
      <w:rFonts w:ascii="Times New Roman" w:hAnsi="Times New Roman" w:eastAsia="宋体" w:cs="Times New Roman"/>
      <w:szCs w:val="21"/>
    </w:rPr>
  </w:style>
  <w:style w:type="character" w:customStyle="1" w:styleId="76">
    <w:name w:val="纯文本 Char"/>
    <w:link w:val="23"/>
    <w:qFormat/>
    <w:uiPriority w:val="0"/>
    <w:rPr>
      <w:rFonts w:ascii="宋体" w:hAnsi="Courier New" w:cs="Courier New"/>
      <w:kern w:val="2"/>
      <w:sz w:val="21"/>
      <w:szCs w:val="21"/>
    </w:rPr>
  </w:style>
  <w:style w:type="character" w:customStyle="1" w:styleId="77">
    <w:name w:val="日期 Char"/>
    <w:link w:val="25"/>
    <w:qFormat/>
    <w:uiPriority w:val="0"/>
    <w:rPr>
      <w:rFonts w:ascii="Times New Roman" w:hAnsi="Times New Roman" w:eastAsia="宋体" w:cs="Times New Roman"/>
      <w:sz w:val="24"/>
      <w:szCs w:val="24"/>
    </w:rPr>
  </w:style>
  <w:style w:type="character" w:customStyle="1" w:styleId="78">
    <w:name w:val="正文文本缩进 2 Char"/>
    <w:link w:val="26"/>
    <w:qFormat/>
    <w:uiPriority w:val="0"/>
    <w:rPr>
      <w:rFonts w:ascii="宋体" w:hAnsi="宋体" w:eastAsia="宋体" w:cs="宋体"/>
      <w:kern w:val="0"/>
      <w:sz w:val="28"/>
      <w:szCs w:val="28"/>
    </w:rPr>
  </w:style>
  <w:style w:type="character" w:customStyle="1" w:styleId="79">
    <w:name w:val="尾注文本 Char"/>
    <w:link w:val="27"/>
    <w:qFormat/>
    <w:uiPriority w:val="0"/>
    <w:rPr>
      <w:rFonts w:ascii="Times New Roman" w:hAnsi="Times New Roman" w:eastAsia="宋体" w:cs="Times New Roman"/>
      <w:szCs w:val="21"/>
    </w:rPr>
  </w:style>
  <w:style w:type="character" w:customStyle="1" w:styleId="80">
    <w:name w:val="批注框文本 Char"/>
    <w:link w:val="28"/>
    <w:qFormat/>
    <w:uiPriority w:val="0"/>
    <w:rPr>
      <w:rFonts w:ascii="Times New Roman" w:hAnsi="Times New Roman" w:eastAsia="宋体" w:cs="Times New Roman"/>
      <w:sz w:val="18"/>
      <w:szCs w:val="18"/>
    </w:rPr>
  </w:style>
  <w:style w:type="character" w:customStyle="1" w:styleId="81">
    <w:name w:val="页脚 Char"/>
    <w:link w:val="29"/>
    <w:qFormat/>
    <w:uiPriority w:val="0"/>
    <w:rPr>
      <w:rFonts w:ascii="Times New Roman" w:hAnsi="Times New Roman" w:eastAsia="宋体" w:cs="Times New Roman"/>
      <w:sz w:val="18"/>
      <w:szCs w:val="18"/>
    </w:rPr>
  </w:style>
  <w:style w:type="character" w:customStyle="1" w:styleId="82">
    <w:name w:val="页眉 Char"/>
    <w:link w:val="30"/>
    <w:qFormat/>
    <w:uiPriority w:val="0"/>
    <w:rPr>
      <w:rFonts w:ascii="Times New Roman" w:hAnsi="Times New Roman" w:eastAsia="方正仿宋_GB2312"/>
      <w:kern w:val="2"/>
      <w:sz w:val="21"/>
      <w:szCs w:val="21"/>
    </w:rPr>
  </w:style>
  <w:style w:type="character" w:customStyle="1" w:styleId="83">
    <w:name w:val="脚注文本 Char"/>
    <w:link w:val="33"/>
    <w:qFormat/>
    <w:uiPriority w:val="0"/>
    <w:rPr>
      <w:rFonts w:ascii="Times New Roman" w:hAnsi="Times New Roman"/>
      <w:kern w:val="2"/>
      <w:sz w:val="18"/>
      <w:szCs w:val="18"/>
    </w:rPr>
  </w:style>
  <w:style w:type="character" w:customStyle="1" w:styleId="84">
    <w:name w:val="HTML 预设格式 Char"/>
    <w:link w:val="38"/>
    <w:qFormat/>
    <w:uiPriority w:val="0"/>
    <w:rPr>
      <w:rFonts w:ascii="宋体" w:hAnsi="宋体" w:eastAsia="宋体" w:cs="宋体"/>
      <w:kern w:val="0"/>
      <w:sz w:val="24"/>
      <w:szCs w:val="24"/>
    </w:rPr>
  </w:style>
  <w:style w:type="character" w:customStyle="1" w:styleId="85">
    <w:name w:val="标题 Char"/>
    <w:link w:val="40"/>
    <w:qFormat/>
    <w:uiPriority w:val="0"/>
    <w:rPr>
      <w:rFonts w:ascii="Times New Roman" w:hAnsi="Times New Roman" w:eastAsia="黑体" w:cs="Arial"/>
      <w:bCs/>
      <w:kern w:val="2"/>
      <w:sz w:val="44"/>
      <w:szCs w:val="32"/>
    </w:rPr>
  </w:style>
  <w:style w:type="character" w:customStyle="1" w:styleId="86">
    <w:name w:val="批注主题 Char"/>
    <w:link w:val="41"/>
    <w:qFormat/>
    <w:uiPriority w:val="0"/>
    <w:rPr>
      <w:rFonts w:ascii="Times New Roman" w:hAnsi="Times New Roman" w:eastAsia="宋体" w:cs="Times New Roman"/>
      <w:b/>
      <w:bCs/>
      <w:sz w:val="24"/>
      <w:szCs w:val="24"/>
    </w:rPr>
  </w:style>
  <w:style w:type="character" w:customStyle="1" w:styleId="87">
    <w:name w:val="正文首行缩进 Char"/>
    <w:link w:val="42"/>
    <w:qFormat/>
    <w:uiPriority w:val="0"/>
    <w:rPr>
      <w:rFonts w:ascii="Times New Roman" w:hAnsi="Times New Roman" w:eastAsia="宋体" w:cs="Times New Roman"/>
      <w:kern w:val="2"/>
      <w:sz w:val="21"/>
      <w:szCs w:val="24"/>
    </w:rPr>
  </w:style>
  <w:style w:type="character" w:customStyle="1" w:styleId="88">
    <w:name w:val="apple-converted-space"/>
    <w:qFormat/>
    <w:uiPriority w:val="0"/>
  </w:style>
  <w:style w:type="character" w:customStyle="1" w:styleId="89">
    <w:name w:val="样式 样式 首行缩进:  2 字符 + 宋体1 Char Char"/>
    <w:link w:val="90"/>
    <w:qFormat/>
    <w:uiPriority w:val="0"/>
    <w:rPr>
      <w:rFonts w:ascii="宋体" w:hAnsi="宋体" w:eastAsia="楷体_GB2312" w:cs="宋体"/>
      <w:kern w:val="2"/>
      <w:sz w:val="24"/>
      <w:lang w:val="en-US" w:eastAsia="zh-CN" w:bidi="ar-SA"/>
    </w:rPr>
  </w:style>
  <w:style w:type="paragraph" w:customStyle="1" w:styleId="90">
    <w:name w:val="样式 样式 首行缩进:  2 字符 + 宋体1"/>
    <w:basedOn w:val="91"/>
    <w:link w:val="89"/>
    <w:qFormat/>
    <w:uiPriority w:val="0"/>
    <w:pPr>
      <w:spacing w:line="240" w:lineRule="auto"/>
      <w:ind w:firstLine="0"/>
      <w:jc w:val="center"/>
    </w:pPr>
    <w:rPr>
      <w:rFonts w:ascii="宋体" w:hAnsi="宋体" w:eastAsia="楷体_GB2312"/>
    </w:rPr>
  </w:style>
  <w:style w:type="paragraph" w:customStyle="1" w:styleId="91">
    <w:name w:val="样式 首行缩进:  2 字符"/>
    <w:basedOn w:val="1"/>
    <w:link w:val="92"/>
    <w:qFormat/>
    <w:uiPriority w:val="0"/>
    <w:pPr>
      <w:ind w:firstLine="420"/>
    </w:pPr>
    <w:rPr>
      <w:rFonts w:cs="宋体"/>
      <w:sz w:val="24"/>
      <w:szCs w:val="20"/>
    </w:rPr>
  </w:style>
  <w:style w:type="character" w:customStyle="1" w:styleId="92">
    <w:name w:val="样式 首行缩进:  2 字符 Char Char"/>
    <w:link w:val="91"/>
    <w:qFormat/>
    <w:uiPriority w:val="0"/>
    <w:rPr>
      <w:rFonts w:cs="宋体"/>
      <w:kern w:val="2"/>
      <w:sz w:val="24"/>
      <w:lang w:val="en-US" w:eastAsia="zh-CN" w:bidi="ar-SA"/>
    </w:rPr>
  </w:style>
  <w:style w:type="character" w:customStyle="1" w:styleId="93">
    <w:name w:val="font01"/>
    <w:qFormat/>
    <w:uiPriority w:val="0"/>
    <w:rPr>
      <w:rFonts w:hint="default" w:ascii="方正仿宋_GB2312" w:eastAsia="方正仿宋_GB2312" w:cs="方正仿宋_GB2312"/>
      <w:color w:val="FF0000"/>
      <w:sz w:val="21"/>
      <w:szCs w:val="21"/>
      <w:u w:val="none"/>
    </w:rPr>
  </w:style>
  <w:style w:type="character" w:customStyle="1" w:styleId="94">
    <w:name w:val="news_c_da1"/>
    <w:qFormat/>
    <w:uiPriority w:val="0"/>
    <w:rPr>
      <w:rFonts w:ascii="汉仪雅酷黑简" w:hAnsi="汉仪雅酷黑简" w:cs="汉仪雅酷黑简"/>
      <w:b/>
      <w:bCs/>
      <w:color w:val="000000"/>
      <w:sz w:val="18"/>
      <w:szCs w:val="18"/>
    </w:rPr>
  </w:style>
  <w:style w:type="character" w:customStyle="1" w:styleId="95">
    <w:name w:val="正文缩进2格 Char Char"/>
    <w:link w:val="96"/>
    <w:qFormat/>
    <w:uiPriority w:val="0"/>
    <w:rPr>
      <w:rFonts w:ascii="方正仿宋_GB2312" w:hAnsi="宋体" w:eastAsia="方正仿宋_GB2312"/>
      <w:kern w:val="2"/>
      <w:sz w:val="31"/>
    </w:rPr>
  </w:style>
  <w:style w:type="paragraph" w:customStyle="1" w:styleId="96">
    <w:name w:val="正文缩进2格"/>
    <w:basedOn w:val="1"/>
    <w:link w:val="95"/>
    <w:qFormat/>
    <w:uiPriority w:val="0"/>
    <w:pPr>
      <w:spacing w:before="0" w:after="0" w:line="600" w:lineRule="exact"/>
      <w:ind w:firstLine="639" w:firstLineChars="206"/>
      <w:jc w:val="both"/>
    </w:pPr>
    <w:rPr>
      <w:rFonts w:ascii="方正仿宋_GB2312" w:hAnsi="宋体" w:eastAsia="方正仿宋_GB2312"/>
      <w:sz w:val="31"/>
      <w:szCs w:val="20"/>
    </w:rPr>
  </w:style>
  <w:style w:type="character" w:customStyle="1" w:styleId="97">
    <w:name w:val="标题 2字符"/>
    <w:qFormat/>
    <w:uiPriority w:val="0"/>
    <w:rPr>
      <w:rFonts w:ascii="Arial" w:hAnsi="Arial" w:eastAsia="黑体" w:cs="Times New Roman"/>
      <w:b/>
      <w:sz w:val="32"/>
      <w:szCs w:val="20"/>
    </w:rPr>
  </w:style>
  <w:style w:type="character" w:customStyle="1" w:styleId="98">
    <w:name w:val="样式 首行缩进:  2 字符1 Char Char"/>
    <w:link w:val="99"/>
    <w:qFormat/>
    <w:uiPriority w:val="0"/>
    <w:rPr>
      <w:rFonts w:cs="宋体"/>
      <w:kern w:val="2"/>
      <w:sz w:val="24"/>
      <w:lang w:val="en-US" w:eastAsia="zh-CN" w:bidi="ar-SA"/>
    </w:rPr>
  </w:style>
  <w:style w:type="paragraph" w:customStyle="1" w:styleId="99">
    <w:name w:val="样式 首行缩进:  2 字符1"/>
    <w:basedOn w:val="1"/>
    <w:link w:val="98"/>
    <w:qFormat/>
    <w:uiPriority w:val="0"/>
    <w:pPr>
      <w:ind w:firstLine="422"/>
    </w:pPr>
    <w:rPr>
      <w:rFonts w:cs="宋体"/>
      <w:sz w:val="24"/>
      <w:szCs w:val="20"/>
    </w:rPr>
  </w:style>
  <w:style w:type="character" w:customStyle="1" w:styleId="100">
    <w:name w:val="font31"/>
    <w:qFormat/>
    <w:uiPriority w:val="0"/>
    <w:rPr>
      <w:rFonts w:hint="eastAsia" w:ascii="宋体" w:hAnsi="宋体" w:eastAsia="宋体" w:cs="宋体"/>
      <w:color w:val="000000"/>
      <w:sz w:val="24"/>
      <w:szCs w:val="24"/>
    </w:rPr>
  </w:style>
  <w:style w:type="character" w:customStyle="1" w:styleId="101">
    <w:name w:val="批注框文本字符"/>
    <w:qFormat/>
    <w:uiPriority w:val="0"/>
    <w:rPr>
      <w:rFonts w:ascii="Calibri" w:hAnsi="Calibri" w:eastAsia="宋体" w:cs="Times New Roman"/>
      <w:sz w:val="18"/>
      <w:szCs w:val="18"/>
    </w:rPr>
  </w:style>
  <w:style w:type="character" w:customStyle="1" w:styleId="102">
    <w:name w:val="font71"/>
    <w:qFormat/>
    <w:uiPriority w:val="0"/>
    <w:rPr>
      <w:rFonts w:hint="default" w:ascii="Times New Roman" w:hAnsi="Times New Roman" w:cs="Times New Roman"/>
      <w:color w:val="000000"/>
      <w:sz w:val="21"/>
      <w:szCs w:val="21"/>
    </w:rPr>
  </w:style>
  <w:style w:type="character" w:customStyle="1" w:styleId="103">
    <w:name w:val="样式 样式 首行缩进:  2 字符 + 宋体 Char Char"/>
    <w:link w:val="104"/>
    <w:qFormat/>
    <w:uiPriority w:val="0"/>
    <w:rPr>
      <w:rFonts w:ascii="宋体" w:hAnsi="宋体" w:eastAsia="楷体_GB2312" w:cs="宋体"/>
      <w:kern w:val="2"/>
      <w:sz w:val="24"/>
      <w:lang w:val="en-US" w:eastAsia="zh-CN" w:bidi="ar-SA"/>
    </w:rPr>
  </w:style>
  <w:style w:type="paragraph" w:customStyle="1" w:styleId="104">
    <w:name w:val="样式 样式 首行缩进:  2 字符 + 宋体"/>
    <w:basedOn w:val="91"/>
    <w:link w:val="103"/>
    <w:qFormat/>
    <w:uiPriority w:val="0"/>
    <w:pPr>
      <w:spacing w:line="240" w:lineRule="auto"/>
      <w:ind w:firstLine="0"/>
      <w:jc w:val="center"/>
    </w:pPr>
    <w:rPr>
      <w:rFonts w:ascii="宋体" w:hAnsi="宋体" w:eastAsia="楷体_GB2312"/>
    </w:rPr>
  </w:style>
  <w:style w:type="character" w:customStyle="1" w:styleId="105">
    <w:name w:val="01正文 Char Char"/>
    <w:link w:val="106"/>
    <w:qFormat/>
    <w:uiPriority w:val="0"/>
    <w:rPr>
      <w:rFonts w:eastAsia="方正仿宋_GB2312"/>
      <w:kern w:val="2"/>
      <w:sz w:val="21"/>
    </w:rPr>
  </w:style>
  <w:style w:type="paragraph" w:customStyle="1" w:styleId="106">
    <w:name w:val="01正文"/>
    <w:basedOn w:val="1"/>
    <w:link w:val="105"/>
    <w:qFormat/>
    <w:uiPriority w:val="0"/>
    <w:rPr>
      <w:rFonts w:eastAsia="方正仿宋_GB2312"/>
      <w:szCs w:val="20"/>
    </w:rPr>
  </w:style>
  <w:style w:type="character" w:customStyle="1" w:styleId="107">
    <w:name w:val="标题 Char1"/>
    <w:qFormat/>
    <w:uiPriority w:val="0"/>
    <w:rPr>
      <w:rFonts w:ascii="Arial" w:hAnsi="Arial" w:eastAsia="宋体" w:cs="Arial"/>
      <w:b/>
      <w:bCs/>
      <w:kern w:val="2"/>
      <w:sz w:val="32"/>
      <w:szCs w:val="32"/>
      <w:lang w:val="en-US" w:eastAsia="zh-CN" w:bidi="ar-SA"/>
    </w:rPr>
  </w:style>
  <w:style w:type="character" w:styleId="108">
    <w:name w:val="Placeholder Text"/>
    <w:qFormat/>
    <w:uiPriority w:val="0"/>
    <w:rPr>
      <w:color w:val="808080"/>
    </w:rPr>
  </w:style>
  <w:style w:type="character" w:customStyle="1" w:styleId="109">
    <w:name w:val="页眉字符"/>
    <w:qFormat/>
    <w:uiPriority w:val="0"/>
    <w:rPr>
      <w:rFonts w:ascii="Calibri" w:hAnsi="Calibri" w:eastAsia="宋体" w:cs="Times New Roman"/>
      <w:kern w:val="2"/>
      <w:sz w:val="18"/>
      <w:szCs w:val="18"/>
    </w:rPr>
  </w:style>
  <w:style w:type="character" w:customStyle="1" w:styleId="110">
    <w:name w:val="表名 wsm Char Char"/>
    <w:link w:val="111"/>
    <w:qFormat/>
    <w:uiPriority w:val="0"/>
    <w:rPr>
      <w:rFonts w:ascii="Times New Roman" w:hAnsi="Times New Roman" w:eastAsia="黑体"/>
      <w:kern w:val="2"/>
      <w:sz w:val="21"/>
      <w:szCs w:val="21"/>
    </w:rPr>
  </w:style>
  <w:style w:type="paragraph" w:customStyle="1" w:styleId="111">
    <w:name w:val="表名 wsm"/>
    <w:basedOn w:val="1"/>
    <w:link w:val="110"/>
    <w:qFormat/>
    <w:uiPriority w:val="0"/>
    <w:pPr>
      <w:adjustRightInd w:val="0"/>
      <w:snapToGrid w:val="0"/>
      <w:jc w:val="center"/>
    </w:pPr>
    <w:rPr>
      <w:rFonts w:eastAsia="黑体"/>
    </w:rPr>
  </w:style>
  <w:style w:type="character" w:customStyle="1" w:styleId="112">
    <w:name w:val="标题1wsm Char Char"/>
    <w:qFormat/>
    <w:uiPriority w:val="0"/>
    <w:rPr>
      <w:rFonts w:ascii="Times New Roman" w:hAnsi="Times New Roman" w:eastAsia="黑体" w:cs="黑体"/>
      <w:color w:val="000000"/>
      <w:kern w:val="2"/>
      <w:sz w:val="28"/>
      <w:szCs w:val="30"/>
    </w:rPr>
  </w:style>
  <w:style w:type="character" w:customStyle="1" w:styleId="113">
    <w:name w:val="样式 样式 样式 首行缩进:  2 字符 + 首行缩进:  2 字符 + (中文) 宋体 Char Char"/>
    <w:link w:val="114"/>
    <w:qFormat/>
    <w:uiPriority w:val="0"/>
    <w:rPr>
      <w:rFonts w:ascii="黑体" w:hAnsi="Times New Roman" w:eastAsia="楷体_GB2312" w:cs="宋体"/>
      <w:kern w:val="2"/>
      <w:sz w:val="84"/>
      <w:szCs w:val="24"/>
      <w:lang w:val="en-US" w:eastAsia="zh-CN" w:bidi="ar-SA"/>
    </w:rPr>
  </w:style>
  <w:style w:type="paragraph" w:customStyle="1" w:styleId="114">
    <w:name w:val="样式 样式 样式 首行缩进:  2 字符 + 首行缩进:  2 字符 + (中文) 宋体"/>
    <w:basedOn w:val="115"/>
    <w:link w:val="113"/>
    <w:qFormat/>
    <w:uiPriority w:val="0"/>
    <w:rPr>
      <w:rFonts w:eastAsia="楷体_GB2312"/>
      <w:szCs w:val="24"/>
    </w:rPr>
  </w:style>
  <w:style w:type="paragraph" w:customStyle="1" w:styleId="115">
    <w:name w:val="样式 样式 首行缩进:  2 字符 + 首行缩进:  2 字符"/>
    <w:basedOn w:val="91"/>
    <w:link w:val="116"/>
    <w:qFormat/>
    <w:uiPriority w:val="0"/>
    <w:pPr>
      <w:ind w:left="-4" w:leftChars="-2" w:right="-107" w:rightChars="-51" w:firstLine="8" w:firstLineChars="1"/>
      <w:jc w:val="center"/>
    </w:pPr>
    <w:rPr>
      <w:rFonts w:ascii="黑体" w:eastAsia="黑体"/>
      <w:sz w:val="84"/>
      <w:szCs w:val="84"/>
    </w:rPr>
  </w:style>
  <w:style w:type="character" w:customStyle="1" w:styleId="116">
    <w:name w:val="样式 样式 首行缩进:  2 字符 + 首行缩进:  2 字符 Char Char"/>
    <w:link w:val="115"/>
    <w:qFormat/>
    <w:uiPriority w:val="0"/>
    <w:rPr>
      <w:rFonts w:ascii="黑体" w:hAnsi="Times New Roman" w:eastAsia="黑体" w:cs="宋体"/>
      <w:kern w:val="2"/>
      <w:sz w:val="84"/>
      <w:szCs w:val="84"/>
      <w:lang w:val="en-US" w:eastAsia="zh-CN" w:bidi="ar-SA"/>
    </w:rPr>
  </w:style>
  <w:style w:type="character" w:customStyle="1" w:styleId="117">
    <w:name w:val="正文 chen Char Char"/>
    <w:link w:val="118"/>
    <w:qFormat/>
    <w:uiPriority w:val="0"/>
    <w:rPr>
      <w:rFonts w:ascii="Times New Roman" w:hAnsi="Times New Roman" w:eastAsia="方正仿宋_GB2312"/>
      <w:kern w:val="2"/>
      <w:sz w:val="24"/>
      <w:szCs w:val="24"/>
    </w:rPr>
  </w:style>
  <w:style w:type="paragraph" w:customStyle="1" w:styleId="118">
    <w:name w:val="正文 chen"/>
    <w:basedOn w:val="1"/>
    <w:link w:val="117"/>
    <w:qFormat/>
    <w:uiPriority w:val="0"/>
    <w:pPr>
      <w:adjustRightInd w:val="0"/>
      <w:snapToGrid w:val="0"/>
      <w:spacing w:before="0" w:after="0"/>
      <w:ind w:firstLine="200" w:firstLineChars="200"/>
    </w:pPr>
    <w:rPr>
      <w:rFonts w:eastAsia="方正仿宋_GB2312"/>
      <w:sz w:val="24"/>
      <w:szCs w:val="24"/>
    </w:rPr>
  </w:style>
  <w:style w:type="character" w:customStyle="1" w:styleId="119">
    <w:name w:val="font101"/>
    <w:qFormat/>
    <w:uiPriority w:val="0"/>
    <w:rPr>
      <w:rFonts w:hint="default" w:ascii="Times New Roman" w:hAnsi="Times New Roman" w:eastAsia="宋体" w:cs="Times New Roman"/>
      <w:color w:val="000000"/>
      <w:sz w:val="21"/>
      <w:szCs w:val="21"/>
    </w:rPr>
  </w:style>
  <w:style w:type="character" w:customStyle="1" w:styleId="120">
    <w:name w:val="_00000000-0000-0000-0000-000000000001_1"/>
    <w:qFormat/>
    <w:uiPriority w:val="0"/>
    <w:rPr>
      <w:sz w:val="21"/>
      <w:szCs w:val="21"/>
    </w:rPr>
  </w:style>
  <w:style w:type="character" w:customStyle="1" w:styleId="121">
    <w:name w:val="页脚字符"/>
    <w:qFormat/>
    <w:uiPriority w:val="0"/>
    <w:rPr>
      <w:rFonts w:ascii="Calibri" w:hAnsi="Calibri" w:eastAsia="宋体" w:cs="Times New Roman"/>
      <w:kern w:val="2"/>
      <w:sz w:val="18"/>
      <w:szCs w:val="18"/>
    </w:rPr>
  </w:style>
  <w:style w:type="character" w:customStyle="1" w:styleId="122">
    <w:name w:val="wsm正文 Char Char Char"/>
    <w:link w:val="123"/>
    <w:qFormat/>
    <w:uiPriority w:val="0"/>
    <w:rPr>
      <w:rFonts w:ascii="Times New Roman" w:hAnsi="Times New Roman" w:eastAsia="方正仿宋_GB2312"/>
      <w:kern w:val="2"/>
      <w:sz w:val="24"/>
      <w:szCs w:val="24"/>
    </w:rPr>
  </w:style>
  <w:style w:type="paragraph" w:customStyle="1" w:styleId="123">
    <w:name w:val="wsm正文"/>
    <w:basedOn w:val="1"/>
    <w:link w:val="122"/>
    <w:qFormat/>
    <w:uiPriority w:val="0"/>
    <w:pPr>
      <w:adjustRightInd w:val="0"/>
      <w:snapToGrid w:val="0"/>
      <w:ind w:firstLine="200" w:firstLineChars="200"/>
    </w:pPr>
    <w:rPr>
      <w:rFonts w:eastAsia="方正仿宋_GB2312"/>
      <w:sz w:val="24"/>
      <w:szCs w:val="24"/>
    </w:rPr>
  </w:style>
  <w:style w:type="character" w:customStyle="1" w:styleId="124">
    <w:name w:val="wsm正文 Char Char Char Char"/>
    <w:qFormat/>
    <w:uiPriority w:val="0"/>
    <w:rPr>
      <w:rFonts w:ascii="Times New Roman" w:hAnsi="Times New Roman" w:eastAsia="方正仿宋_GB2312"/>
      <w:sz w:val="24"/>
      <w:szCs w:val="24"/>
    </w:rPr>
  </w:style>
  <w:style w:type="character" w:customStyle="1" w:styleId="125">
    <w:name w:val="样式 wsm正文 + (中文) 楷体_GB2312 黑色 Char Char"/>
    <w:link w:val="126"/>
    <w:qFormat/>
    <w:uiPriority w:val="0"/>
    <w:rPr>
      <w:rFonts w:ascii="Times New Roman" w:hAnsi="Times New Roman" w:eastAsia="楷体_GB2312"/>
      <w:color w:val="000000"/>
      <w:kern w:val="2"/>
      <w:sz w:val="24"/>
      <w:szCs w:val="24"/>
      <w:lang w:val="en-US" w:eastAsia="zh-CN" w:bidi="ar-SA"/>
    </w:rPr>
  </w:style>
  <w:style w:type="paragraph" w:customStyle="1" w:styleId="126">
    <w:name w:val="样式 wsm正文 + (中文) 楷体_GB2312 黑色"/>
    <w:basedOn w:val="123"/>
    <w:link w:val="125"/>
    <w:qFormat/>
    <w:uiPriority w:val="0"/>
    <w:rPr>
      <w:rFonts w:eastAsia="楷体_GB2312"/>
      <w:color w:val="000000"/>
      <w:lang w:val="en-US" w:eastAsia="zh-CN"/>
    </w:rPr>
  </w:style>
  <w:style w:type="character" w:customStyle="1" w:styleId="127">
    <w:name w:val="样式 样式 首行缩进:  2 字符 + 宋体 黑色 Char Char"/>
    <w:link w:val="128"/>
    <w:qFormat/>
    <w:uiPriority w:val="0"/>
    <w:rPr>
      <w:rFonts w:ascii="宋体" w:hAnsi="宋体" w:eastAsia="楷体_GB2312" w:cs="宋体"/>
      <w:color w:val="000000"/>
      <w:kern w:val="2"/>
      <w:sz w:val="24"/>
      <w:lang w:val="en-US" w:eastAsia="zh-CN" w:bidi="ar-SA"/>
    </w:rPr>
  </w:style>
  <w:style w:type="paragraph" w:customStyle="1" w:styleId="128">
    <w:name w:val="样式 样式 首行缩进:  2 字符 + 宋体 黑色"/>
    <w:basedOn w:val="91"/>
    <w:link w:val="127"/>
    <w:qFormat/>
    <w:uiPriority w:val="0"/>
    <w:rPr>
      <w:rFonts w:ascii="宋体" w:hAnsi="宋体" w:eastAsia="楷体_GB2312"/>
      <w:color w:val="000000"/>
    </w:rPr>
  </w:style>
  <w:style w:type="character" w:customStyle="1" w:styleId="129">
    <w:name w:val="wsm Char Char"/>
    <w:qFormat/>
    <w:uiPriority w:val="0"/>
    <w:rPr>
      <w:rFonts w:ascii="Times New Roman" w:hAnsi="Times New Roman" w:eastAsia="黑体"/>
      <w:color w:val="000000"/>
      <w:kern w:val="2"/>
      <w:sz w:val="24"/>
      <w:szCs w:val="30"/>
    </w:rPr>
  </w:style>
  <w:style w:type="character" w:customStyle="1" w:styleId="130">
    <w:name w:val="font51"/>
    <w:qFormat/>
    <w:uiPriority w:val="0"/>
    <w:rPr>
      <w:rFonts w:hint="eastAsia" w:ascii="宋体" w:hAnsi="宋体" w:eastAsia="宋体" w:cs="宋体"/>
      <w:color w:val="000000"/>
      <w:sz w:val="21"/>
      <w:szCs w:val="21"/>
    </w:rPr>
  </w:style>
  <w:style w:type="character" w:customStyle="1" w:styleId="131">
    <w:name w:val="样式 样式 首行缩进:  2 字符1 + 宋体 Char Char"/>
    <w:link w:val="132"/>
    <w:qFormat/>
    <w:uiPriority w:val="0"/>
    <w:rPr>
      <w:rFonts w:ascii="宋体" w:hAnsi="宋体" w:eastAsia="楷体_GB2312" w:cs="宋体"/>
      <w:kern w:val="2"/>
      <w:sz w:val="24"/>
      <w:lang w:val="en-US" w:eastAsia="zh-CN" w:bidi="ar-SA"/>
    </w:rPr>
  </w:style>
  <w:style w:type="paragraph" w:customStyle="1" w:styleId="132">
    <w:name w:val="样式 样式 首行缩进:  2 字符1 + 宋体"/>
    <w:basedOn w:val="99"/>
    <w:link w:val="131"/>
    <w:qFormat/>
    <w:uiPriority w:val="0"/>
    <w:rPr>
      <w:rFonts w:ascii="宋体" w:hAnsi="宋体" w:eastAsia="楷体_GB2312"/>
    </w:rPr>
  </w:style>
  <w:style w:type="character" w:customStyle="1" w:styleId="133">
    <w:name w:val="apple-style-span"/>
    <w:qFormat/>
    <w:uiPriority w:val="0"/>
  </w:style>
  <w:style w:type="character" w:customStyle="1" w:styleId="134">
    <w:name w:val="样式 (西文) 宋体"/>
    <w:qFormat/>
    <w:uiPriority w:val="0"/>
    <w:rPr>
      <w:rFonts w:ascii="宋体" w:hAnsi="宋体" w:eastAsia="华文细黑" w:cs="宋体"/>
      <w:kern w:val="24"/>
      <w:sz w:val="28"/>
      <w:szCs w:val="28"/>
      <w:lang w:val="en-US" w:eastAsia="zh-CN"/>
    </w:rPr>
  </w:style>
  <w:style w:type="character" w:customStyle="1" w:styleId="135">
    <w:name w:val="16"/>
    <w:qFormat/>
    <w:uiPriority w:val="0"/>
    <w:rPr>
      <w:rFonts w:hint="eastAsia" w:ascii="宋体" w:hAnsi="宋体" w:eastAsia="楷体_GB2312"/>
      <w:kern w:val="2"/>
      <w:sz w:val="24"/>
      <w:szCs w:val="24"/>
    </w:rPr>
  </w:style>
  <w:style w:type="character" w:customStyle="1" w:styleId="136">
    <w:name w:val="font11"/>
    <w:qFormat/>
    <w:uiPriority w:val="0"/>
    <w:rPr>
      <w:rFonts w:hint="eastAsia" w:ascii="宋体" w:hAnsi="宋体" w:eastAsia="宋体" w:cs="宋体"/>
      <w:color w:val="000000"/>
      <w:sz w:val="21"/>
      <w:szCs w:val="21"/>
      <w:u w:val="none"/>
    </w:rPr>
  </w:style>
  <w:style w:type="character" w:customStyle="1" w:styleId="137">
    <w:name w:val="font91"/>
    <w:qFormat/>
    <w:uiPriority w:val="0"/>
    <w:rPr>
      <w:rFonts w:hint="eastAsia" w:ascii="宋体" w:hAnsi="宋体" w:eastAsia="宋体" w:cs="宋体"/>
      <w:color w:val="000000"/>
      <w:sz w:val="24"/>
      <w:szCs w:val="24"/>
    </w:rPr>
  </w:style>
  <w:style w:type="character" w:customStyle="1" w:styleId="138">
    <w:name w:val="title"/>
    <w:qFormat/>
    <w:uiPriority w:val="0"/>
  </w:style>
  <w:style w:type="character" w:customStyle="1" w:styleId="139">
    <w:name w:val="title1"/>
    <w:qFormat/>
    <w:uiPriority w:val="0"/>
    <w:rPr>
      <w:b/>
      <w:bCs/>
      <w:color w:val="333333"/>
      <w:sz w:val="21"/>
      <w:szCs w:val="21"/>
      <w:u w:val="none"/>
    </w:rPr>
  </w:style>
  <w:style w:type="character" w:customStyle="1" w:styleId="140">
    <w:name w:val="wsm正文 Char Char"/>
    <w:qFormat/>
    <w:uiPriority w:val="0"/>
    <w:rPr>
      <w:rFonts w:ascii="Times New Roman" w:hAnsi="Times New Roman" w:eastAsia="方正仿宋_GB2312"/>
      <w:kern w:val="2"/>
      <w:sz w:val="24"/>
      <w:szCs w:val="24"/>
    </w:rPr>
  </w:style>
  <w:style w:type="character" w:customStyle="1" w:styleId="141">
    <w:name w:val="cucd-0 Char Char Char"/>
    <w:qFormat/>
    <w:uiPriority w:val="0"/>
    <w:rPr>
      <w:kern w:val="2"/>
      <w:sz w:val="24"/>
      <w:szCs w:val="24"/>
      <w:lang w:val="en-US" w:eastAsia="zh-CN" w:bidi="ar-SA"/>
    </w:rPr>
  </w:style>
  <w:style w:type="character" w:customStyle="1" w:styleId="142">
    <w:name w:val="font21"/>
    <w:qFormat/>
    <w:uiPriority w:val="0"/>
    <w:rPr>
      <w:rFonts w:hint="default" w:ascii="Times New Roman" w:hAnsi="Times New Roman" w:cs="Times New Roman"/>
      <w:color w:val="000000"/>
      <w:sz w:val="21"/>
      <w:szCs w:val="21"/>
      <w:u w:val="none"/>
    </w:rPr>
  </w:style>
  <w:style w:type="character" w:customStyle="1" w:styleId="143">
    <w:name w:val="font41"/>
    <w:qFormat/>
    <w:uiPriority w:val="0"/>
    <w:rPr>
      <w:rFonts w:hint="default" w:ascii="Times New Roman" w:hAnsi="Times New Roman" w:eastAsia="宋体" w:cs="Times New Roman"/>
      <w:b/>
      <w:color w:val="000000"/>
      <w:sz w:val="21"/>
      <w:szCs w:val="21"/>
    </w:rPr>
  </w:style>
  <w:style w:type="character" w:customStyle="1" w:styleId="144">
    <w:name w:val="cn2b"/>
    <w:qFormat/>
    <w:uiPriority w:val="0"/>
  </w:style>
  <w:style w:type="character" w:customStyle="1" w:styleId="145">
    <w:name w:val="正文 chen Char Char Char"/>
    <w:qFormat/>
    <w:uiPriority w:val="0"/>
    <w:rPr>
      <w:rFonts w:eastAsia="方正仿宋_GB2312"/>
      <w:kern w:val="2"/>
      <w:sz w:val="24"/>
      <w:szCs w:val="24"/>
      <w:lang w:val="en-US" w:eastAsia="zh-CN" w:bidi="ar-SA"/>
    </w:rPr>
  </w:style>
  <w:style w:type="character" w:customStyle="1" w:styleId="146">
    <w:name w:val="cucd-0 Char Char"/>
    <w:link w:val="147"/>
    <w:qFormat/>
    <w:uiPriority w:val="0"/>
    <w:rPr>
      <w:kern w:val="2"/>
      <w:sz w:val="24"/>
      <w:szCs w:val="24"/>
      <w:lang w:val="en-US" w:eastAsia="zh-CN" w:bidi="ar-SA"/>
    </w:rPr>
  </w:style>
  <w:style w:type="paragraph" w:customStyle="1" w:styleId="147">
    <w:name w:val="cucd-0"/>
    <w:link w:val="146"/>
    <w:qFormat/>
    <w:uiPriority w:val="0"/>
    <w:pPr>
      <w:spacing w:before="72" w:after="72" w:line="360" w:lineRule="auto"/>
      <w:ind w:firstLine="480"/>
    </w:pPr>
    <w:rPr>
      <w:rFonts w:ascii="Times New Roman" w:hAnsi="Times New Roman" w:eastAsia="宋体" w:cs="Times New Roman"/>
      <w:kern w:val="2"/>
      <w:sz w:val="24"/>
      <w:szCs w:val="24"/>
      <w:lang w:val="en-US" w:eastAsia="zh-CN" w:bidi="ar-SA"/>
    </w:rPr>
  </w:style>
  <w:style w:type="character" w:customStyle="1" w:styleId="148">
    <w:name w:val="wsm 标题 4 Char Char"/>
    <w:qFormat/>
    <w:uiPriority w:val="0"/>
    <w:rPr>
      <w:rFonts w:ascii="Times New Roman" w:hAnsi="Times New Roman" w:eastAsia="方正仿宋_GB2312"/>
      <w:b/>
      <w:color w:val="000000"/>
      <w:kern w:val="2"/>
      <w:sz w:val="24"/>
      <w:szCs w:val="24"/>
    </w:rPr>
  </w:style>
  <w:style w:type="character" w:customStyle="1" w:styleId="149">
    <w:name w:val="hei14"/>
    <w:qFormat/>
    <w:uiPriority w:val="0"/>
  </w:style>
  <w:style w:type="character" w:customStyle="1" w:styleId="150">
    <w:name w:val="font81"/>
    <w:qFormat/>
    <w:uiPriority w:val="0"/>
    <w:rPr>
      <w:rFonts w:hint="eastAsia" w:ascii="宋体" w:hAnsi="宋体" w:eastAsia="宋体" w:cs="宋体"/>
      <w:color w:val="000000"/>
      <w:sz w:val="21"/>
      <w:szCs w:val="21"/>
    </w:rPr>
  </w:style>
  <w:style w:type="character" w:customStyle="1" w:styleId="151">
    <w:name w:val="G-0 Char Char"/>
    <w:link w:val="152"/>
    <w:qFormat/>
    <w:uiPriority w:val="0"/>
    <w:rPr>
      <w:kern w:val="2"/>
      <w:sz w:val="24"/>
      <w:szCs w:val="21"/>
    </w:rPr>
  </w:style>
  <w:style w:type="paragraph" w:customStyle="1" w:styleId="152">
    <w:name w:val="G-0"/>
    <w:basedOn w:val="1"/>
    <w:link w:val="151"/>
    <w:qFormat/>
    <w:uiPriority w:val="0"/>
    <w:pPr>
      <w:adjustRightInd w:val="0"/>
      <w:snapToGrid w:val="0"/>
      <w:spacing w:line="360" w:lineRule="auto"/>
      <w:ind w:firstLine="420" w:firstLineChars="200"/>
      <w:textAlignment w:val="baseline"/>
    </w:pPr>
    <w:rPr>
      <w:sz w:val="24"/>
    </w:rPr>
  </w:style>
  <w:style w:type="character" w:customStyle="1" w:styleId="153">
    <w:name w:val="样式 表名 wsm + (中文) 楷体_GB2312 Char Char"/>
    <w:link w:val="154"/>
    <w:qFormat/>
    <w:uiPriority w:val="0"/>
    <w:rPr>
      <w:rFonts w:ascii="Times New Roman" w:hAnsi="Times New Roman" w:eastAsia="楷体_GB2312"/>
      <w:kern w:val="2"/>
      <w:sz w:val="21"/>
      <w:szCs w:val="21"/>
    </w:rPr>
  </w:style>
  <w:style w:type="paragraph" w:customStyle="1" w:styleId="154">
    <w:name w:val="样式 表名 wsm + (中文) 楷体_GB2312"/>
    <w:basedOn w:val="111"/>
    <w:link w:val="153"/>
    <w:qFormat/>
    <w:uiPriority w:val="0"/>
    <w:rPr>
      <w:rFonts w:eastAsia="楷体_GB2312"/>
    </w:rPr>
  </w:style>
  <w:style w:type="paragraph" w:customStyle="1" w:styleId="155">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kern w:val="0"/>
      <w:sz w:val="20"/>
      <w:szCs w:val="20"/>
    </w:rPr>
  </w:style>
  <w:style w:type="paragraph" w:customStyle="1" w:styleId="156">
    <w:name w:val="首缩"/>
    <w:basedOn w:val="1"/>
    <w:qFormat/>
    <w:uiPriority w:val="0"/>
    <w:pPr>
      <w:tabs>
        <w:tab w:val="left" w:pos="540"/>
      </w:tabs>
      <w:autoSpaceDE w:val="0"/>
      <w:autoSpaceDN w:val="0"/>
      <w:adjustRightInd w:val="0"/>
      <w:spacing w:before="0" w:after="0"/>
      <w:ind w:firstLine="482"/>
      <w:textAlignment w:val="baseline"/>
    </w:pPr>
    <w:rPr>
      <w:rFonts w:ascii="宋体" w:hAnsi="宋体"/>
      <w:kern w:val="0"/>
      <w:sz w:val="24"/>
      <w:szCs w:val="20"/>
    </w:rPr>
  </w:style>
  <w:style w:type="paragraph" w:customStyle="1" w:styleId="157">
    <w:name w:val="文本条款"/>
    <w:basedOn w:val="1"/>
    <w:qFormat/>
    <w:uiPriority w:val="0"/>
    <w:pPr>
      <w:spacing w:before="0" w:after="0"/>
      <w:ind w:left="350" w:hanging="350" w:hangingChars="350"/>
    </w:pPr>
    <w:rPr>
      <w:rFonts w:eastAsia="黑体"/>
      <w:color w:val="000000"/>
      <w:sz w:val="24"/>
    </w:rPr>
  </w:style>
  <w:style w:type="paragraph" w:customStyle="1" w:styleId="158">
    <w:name w:val="kgtxt"/>
    <w:basedOn w:val="1"/>
    <w:next w:val="1"/>
    <w:qFormat/>
    <w:uiPriority w:val="0"/>
  </w:style>
  <w:style w:type="paragraph" w:customStyle="1" w:styleId="159">
    <w:name w:val="_Style 152"/>
    <w:qFormat/>
    <w:uiPriority w:val="0"/>
    <w:rPr>
      <w:rFonts w:ascii="Times New Roman" w:hAnsi="Times New Roman" w:eastAsia="宋体" w:cs="Times New Roman"/>
      <w:kern w:val="2"/>
      <w:sz w:val="21"/>
      <w:szCs w:val="21"/>
      <w:lang w:val="en-US" w:eastAsia="zh-CN" w:bidi="ar-SA"/>
    </w:rPr>
  </w:style>
  <w:style w:type="paragraph" w:customStyle="1" w:styleId="160">
    <w:name w:val="样式 首行缩进:  2 字符2"/>
    <w:basedOn w:val="1"/>
    <w:qFormat/>
    <w:uiPriority w:val="0"/>
    <w:pPr>
      <w:ind w:firstLine="420"/>
    </w:pPr>
    <w:rPr>
      <w:rFonts w:eastAsia="楷体_GB2312" w:cs="宋体"/>
      <w:kern w:val="0"/>
      <w:sz w:val="24"/>
      <w:szCs w:val="20"/>
    </w:rPr>
  </w:style>
  <w:style w:type="paragraph" w:customStyle="1" w:styleId="161">
    <w:name w:val="样式 wsm正文 + 段前: 0.5 行1"/>
    <w:basedOn w:val="123"/>
    <w:qFormat/>
    <w:uiPriority w:val="0"/>
    <w:pPr>
      <w:ind w:firstLine="0"/>
      <w:jc w:val="center"/>
    </w:pPr>
    <w:rPr>
      <w:rFonts w:eastAsia="楷体_GB2312" w:cs="宋体"/>
    </w:rPr>
  </w:style>
  <w:style w:type="paragraph" w:customStyle="1" w:styleId="162">
    <w:name w:val="样式 宋体 居中 首行缩进:  0 厘米 段前: 0 磅 段后: 0 磅 行距: 单倍行距"/>
    <w:basedOn w:val="1"/>
    <w:qFormat/>
    <w:uiPriority w:val="0"/>
    <w:pPr>
      <w:spacing w:before="0" w:after="0" w:line="240" w:lineRule="auto"/>
      <w:ind w:firstLine="0"/>
      <w:jc w:val="center"/>
    </w:pPr>
    <w:rPr>
      <w:rFonts w:ascii="宋体" w:hAnsi="宋体" w:eastAsia="楷体_GB2312" w:cs="宋体"/>
      <w:kern w:val="0"/>
      <w:szCs w:val="20"/>
    </w:rPr>
  </w:style>
  <w:style w:type="paragraph" w:customStyle="1" w:styleId="163">
    <w:name w:val="样式 标题 3 +"/>
    <w:basedOn w:val="5"/>
    <w:qFormat/>
    <w:uiPriority w:val="0"/>
    <w:pPr>
      <w:spacing w:line="520" w:lineRule="exact"/>
      <w:ind w:left="709" w:hanging="709"/>
    </w:pPr>
    <w:rPr>
      <w:rFonts w:eastAsia="宋体"/>
      <w:b/>
      <w:bCs/>
      <w:color w:val="auto"/>
      <w:kern w:val="0"/>
      <w:sz w:val="24"/>
      <w:szCs w:val="32"/>
    </w:rPr>
  </w:style>
  <w:style w:type="paragraph" w:customStyle="1" w:styleId="164">
    <w:name w:val="表格"/>
    <w:basedOn w:val="165"/>
    <w:qFormat/>
    <w:uiPriority w:val="0"/>
    <w:pPr>
      <w:widowControl/>
      <w:snapToGrid/>
    </w:pPr>
    <w:rPr>
      <w:rFonts w:eastAsia="宋体"/>
      <w:kern w:val="0"/>
    </w:rPr>
  </w:style>
  <w:style w:type="paragraph" w:customStyle="1" w:styleId="165">
    <w:name w:val="表头 wsm"/>
    <w:basedOn w:val="1"/>
    <w:qFormat/>
    <w:uiPriority w:val="0"/>
    <w:pPr>
      <w:adjustRightInd w:val="0"/>
      <w:snapToGrid w:val="0"/>
      <w:spacing w:before="0" w:after="0" w:line="240" w:lineRule="auto"/>
      <w:ind w:firstLine="0"/>
      <w:jc w:val="center"/>
    </w:pPr>
    <w:rPr>
      <w:rFonts w:eastAsia="黑体"/>
      <w:color w:val="000000"/>
    </w:rPr>
  </w:style>
  <w:style w:type="paragraph" w:customStyle="1" w:styleId="166">
    <w:name w:val="正文 New"/>
    <w:qFormat/>
    <w:uiPriority w:val="0"/>
    <w:pPr>
      <w:widowControl w:val="0"/>
      <w:jc w:val="both"/>
    </w:pPr>
    <w:rPr>
      <w:rFonts w:ascii="Times New Roman" w:hAnsi="Times New Roman" w:eastAsia="宋体" w:cs="黑体"/>
      <w:kern w:val="2"/>
      <w:sz w:val="21"/>
      <w:szCs w:val="22"/>
      <w:lang w:val="en-US" w:eastAsia="zh-CN" w:bidi="ar-SA"/>
    </w:rPr>
  </w:style>
  <w:style w:type="paragraph" w:customStyle="1" w:styleId="167">
    <w:name w:val="标题3 我"/>
    <w:basedOn w:val="5"/>
    <w:qFormat/>
    <w:uiPriority w:val="0"/>
    <w:pPr>
      <w:numPr>
        <w:ilvl w:val="2"/>
        <w:numId w:val="0"/>
      </w:numPr>
      <w:tabs>
        <w:tab w:val="clear" w:pos="709"/>
      </w:tabs>
      <w:adjustRightInd w:val="0"/>
      <w:snapToGrid w:val="0"/>
      <w:spacing w:before="156" w:beforeLines="50"/>
      <w:ind w:firstLine="200" w:firstLineChars="200"/>
    </w:pPr>
    <w:rPr>
      <w:rFonts w:eastAsia="宋体"/>
      <w:b/>
      <w:bCs/>
      <w:color w:val="auto"/>
      <w:sz w:val="24"/>
      <w:szCs w:val="24"/>
    </w:rPr>
  </w:style>
  <w:style w:type="paragraph" w:customStyle="1" w:styleId="168">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rPr>
  </w:style>
  <w:style w:type="paragraph" w:customStyle="1" w:styleId="169">
    <w:name w:val="font7"/>
    <w:basedOn w:val="1"/>
    <w:qFormat/>
    <w:uiPriority w:val="0"/>
    <w:pPr>
      <w:spacing w:before="100" w:beforeAutospacing="1" w:after="100" w:afterAutospacing="1" w:line="240" w:lineRule="auto"/>
    </w:pPr>
    <w:rPr>
      <w:kern w:val="0"/>
    </w:rPr>
  </w:style>
  <w:style w:type="paragraph" w:customStyle="1" w:styleId="170">
    <w:name w:val="样式 列表编号插图编号 + 左侧:  0.32 厘米"/>
    <w:basedOn w:val="14"/>
    <w:qFormat/>
    <w:uiPriority w:val="0"/>
    <w:pPr>
      <w:tabs>
        <w:tab w:val="clear" w:pos="720"/>
      </w:tabs>
      <w:spacing w:before="120" w:after="156" w:afterLines="50" w:line="360" w:lineRule="exact"/>
      <w:ind w:left="181" w:firstLine="400"/>
    </w:pPr>
    <w:rPr>
      <w:rFonts w:ascii="宋体" w:eastAsia="华文细黑" w:cs="宋体"/>
      <w:b/>
      <w:bCs/>
      <w:sz w:val="20"/>
      <w:szCs w:val="20"/>
    </w:rPr>
  </w:style>
  <w:style w:type="paragraph" w:customStyle="1" w:styleId="171">
    <w:name w:val="xl7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方正仿宋_GB2312" w:hAnsi="宋体" w:eastAsia="方正仿宋_GB2312" w:cs="宋体"/>
      <w:kern w:val="0"/>
    </w:rPr>
  </w:style>
  <w:style w:type="paragraph" w:customStyle="1" w:styleId="172">
    <w:name w:val="样式 小四 黑色 行距: 1.5 倍行距"/>
    <w:basedOn w:val="1"/>
    <w:qFormat/>
    <w:uiPriority w:val="0"/>
    <w:pPr>
      <w:spacing w:before="0" w:after="0"/>
      <w:ind w:firstLine="480" w:firstLineChars="200"/>
      <w:jc w:val="both"/>
    </w:pPr>
    <w:rPr>
      <w:rFonts w:cs="宋体"/>
      <w:color w:val="000000"/>
      <w:sz w:val="28"/>
      <w:szCs w:val="20"/>
    </w:rPr>
  </w:style>
  <w:style w:type="paragraph" w:customStyle="1" w:styleId="173">
    <w:name w:val="三级(1)"/>
    <w:basedOn w:val="1"/>
    <w:qFormat/>
    <w:uiPriority w:val="0"/>
    <w:pPr>
      <w:numPr>
        <w:ilvl w:val="0"/>
        <w:numId w:val="2"/>
      </w:numPr>
      <w:tabs>
        <w:tab w:val="clear" w:pos="862"/>
      </w:tabs>
      <w:adjustRightInd w:val="0"/>
      <w:snapToGrid w:val="0"/>
      <w:spacing w:line="240" w:lineRule="auto"/>
      <w:ind w:left="1111" w:hanging="402"/>
      <w:jc w:val="both"/>
      <w:textAlignment w:val="baseline"/>
    </w:pPr>
    <w:rPr>
      <w:kern w:val="0"/>
      <w:szCs w:val="20"/>
    </w:rPr>
  </w:style>
  <w:style w:type="paragraph" w:customStyle="1" w:styleId="174">
    <w:name w:val="阳江表格标题"/>
    <w:basedOn w:val="43"/>
    <w:qFormat/>
    <w:uiPriority w:val="0"/>
    <w:pPr>
      <w:spacing w:after="0"/>
      <w:ind w:left="0" w:leftChars="0" w:firstLine="0" w:firstLineChars="0"/>
    </w:pPr>
    <w:rPr>
      <w:rFonts w:cs="宋体"/>
      <w:b/>
      <w:szCs w:val="20"/>
    </w:rPr>
  </w:style>
  <w:style w:type="paragraph" w:customStyle="1" w:styleId="175">
    <w:name w:val="wsm图标标题"/>
    <w:basedOn w:val="1"/>
    <w:qFormat/>
    <w:uiPriority w:val="0"/>
    <w:pPr>
      <w:widowControl w:val="0"/>
      <w:adjustRightInd w:val="0"/>
      <w:snapToGrid w:val="0"/>
      <w:jc w:val="center"/>
    </w:pPr>
    <w:rPr>
      <w:rFonts w:ascii="Times New Roman" w:hAnsi="Times New Roman" w:eastAsia="黑体"/>
      <w:bCs/>
    </w:rPr>
  </w:style>
  <w:style w:type="paragraph" w:customStyle="1" w:styleId="176">
    <w:name w:val="正文 New New"/>
    <w:qFormat/>
    <w:uiPriority w:val="0"/>
    <w:pPr>
      <w:widowControl w:val="0"/>
      <w:jc w:val="both"/>
    </w:pPr>
    <w:rPr>
      <w:rFonts w:ascii="Times New Roman" w:hAnsi="Times New Roman" w:eastAsia="宋体" w:cs="黑体"/>
      <w:kern w:val="2"/>
      <w:sz w:val="21"/>
      <w:szCs w:val="22"/>
      <w:lang w:val="en-US" w:eastAsia="zh-CN" w:bidi="ar-SA"/>
    </w:rPr>
  </w:style>
  <w:style w:type="paragraph" w:customStyle="1" w:styleId="177">
    <w:name w:val="样式 样式 首行缩进:  2 字符2 + 首行缩进:  2 字符1"/>
    <w:basedOn w:val="160"/>
    <w:qFormat/>
    <w:uiPriority w:val="0"/>
    <w:pPr>
      <w:spacing w:line="240" w:lineRule="auto"/>
      <w:ind w:firstLine="0" w:firstLineChars="0"/>
    </w:pPr>
    <w:rPr>
      <w:sz w:val="21"/>
    </w:rPr>
  </w:style>
  <w:style w:type="paragraph" w:customStyle="1" w:styleId="178">
    <w:name w:val="样式 标题 2wsm标题2 + 段前: 0.5 行 段后: 0.5 行"/>
    <w:basedOn w:val="4"/>
    <w:qFormat/>
    <w:uiPriority w:val="0"/>
    <w:pPr>
      <w:numPr>
        <w:ilvl w:val="1"/>
        <w:numId w:val="0"/>
      </w:numPr>
      <w:tabs>
        <w:tab w:val="clear" w:pos="540"/>
      </w:tabs>
      <w:adjustRightInd w:val="0"/>
      <w:snapToGrid w:val="0"/>
      <w:spacing w:before="156" w:beforeLines="50" w:after="156" w:afterLines="50"/>
      <w:ind w:firstLine="200" w:firstLineChars="200"/>
      <w:jc w:val="both"/>
    </w:pPr>
    <w:rPr>
      <w:rFonts w:cs="宋体"/>
      <w:bCs/>
      <w:szCs w:val="20"/>
    </w:rPr>
  </w:style>
  <w:style w:type="paragraph" w:customStyle="1" w:styleId="179">
    <w:name w:val="样式 表头 wsm + 首行缩进:  2 字符"/>
    <w:basedOn w:val="165"/>
    <w:qFormat/>
    <w:uiPriority w:val="0"/>
    <w:pPr>
      <w:ind w:firstLineChars="0"/>
    </w:pPr>
    <w:rPr>
      <w:rFonts w:eastAsia="楷体_GB2312" w:cs="宋体"/>
      <w:szCs w:val="20"/>
    </w:rPr>
  </w:style>
  <w:style w:type="paragraph" w:customStyle="1" w:styleId="180">
    <w:name w:val="正文 New New New"/>
    <w:qFormat/>
    <w:uiPriority w:val="0"/>
    <w:pPr>
      <w:widowControl w:val="0"/>
      <w:jc w:val="both"/>
    </w:pPr>
    <w:rPr>
      <w:rFonts w:ascii="Times New Roman" w:hAnsi="Times New Roman" w:eastAsia="宋体" w:cs="黑体"/>
      <w:kern w:val="2"/>
      <w:sz w:val="21"/>
      <w:szCs w:val="22"/>
      <w:lang w:val="en-US" w:eastAsia="zh-CN" w:bidi="ar-SA"/>
    </w:rPr>
  </w:style>
  <w:style w:type="paragraph" w:styleId="181">
    <w:name w:val="List Paragraph"/>
    <w:basedOn w:val="1"/>
    <w:qFormat/>
    <w:uiPriority w:val="0"/>
  </w:style>
  <w:style w:type="paragraph" w:customStyle="1" w:styleId="182">
    <w:name w:val="样式 标题 4副小节标题 + 行距: 多倍行距 1.57 字行"/>
    <w:basedOn w:val="6"/>
    <w:qFormat/>
    <w:uiPriority w:val="0"/>
    <w:pPr>
      <w:tabs>
        <w:tab w:val="left" w:pos="851"/>
      </w:tabs>
      <w:spacing w:before="156" w:beforeLines="50"/>
      <w:ind w:left="851" w:hanging="851"/>
    </w:pPr>
    <w:rPr>
      <w:rFonts w:ascii="Arial" w:hAnsi="Arial" w:cs="宋体"/>
      <w:b/>
      <w:bCs/>
      <w:color w:val="auto"/>
      <w:szCs w:val="20"/>
    </w:rPr>
  </w:style>
  <w:style w:type="paragraph" w:customStyle="1" w:styleId="183">
    <w:name w:val="样式 标题 3wsm + (中文) 楷体_GB2312"/>
    <w:basedOn w:val="5"/>
    <w:qFormat/>
    <w:uiPriority w:val="0"/>
    <w:rPr>
      <w:rFonts w:eastAsia="楷体_GB2312"/>
    </w:rPr>
  </w:style>
  <w:style w:type="paragraph" w:customStyle="1" w:styleId="184">
    <w:name w:val=" Char Char Char"/>
    <w:basedOn w:val="1"/>
    <w:qFormat/>
    <w:uiPriority w:val="0"/>
    <w:pPr>
      <w:widowControl w:val="0"/>
      <w:spacing w:line="240" w:lineRule="auto"/>
      <w:jc w:val="both"/>
    </w:pPr>
    <w:rPr>
      <w:szCs w:val="20"/>
    </w:rPr>
  </w:style>
  <w:style w:type="paragraph" w:customStyle="1" w:styleId="185">
    <w:name w:val="图表名 wsm"/>
    <w:basedOn w:val="1"/>
    <w:qFormat/>
    <w:uiPriority w:val="0"/>
    <w:pPr>
      <w:spacing w:before="156" w:beforeLines="50" w:after="156" w:afterLines="50"/>
      <w:jc w:val="center"/>
    </w:pPr>
    <w:rPr>
      <w:rFonts w:eastAsia="黑体"/>
    </w:rPr>
  </w:style>
  <w:style w:type="paragraph" w:customStyle="1" w:styleId="186">
    <w:name w:val="_Style 12"/>
    <w:basedOn w:val="1"/>
    <w:qFormat/>
    <w:uiPriority w:val="0"/>
  </w:style>
  <w:style w:type="paragraph" w:customStyle="1" w:styleId="187">
    <w:name w:val="Char Char Char Char Char Char Char1"/>
    <w:basedOn w:val="1"/>
    <w:qFormat/>
    <w:uiPriority w:val="0"/>
    <w:rPr>
      <w:rFonts w:ascii="宋体" w:hAnsi="宋体" w:cs="宋体"/>
      <w:sz w:val="24"/>
      <w:szCs w:val="24"/>
    </w:rPr>
  </w:style>
  <w:style w:type="paragraph" w:customStyle="1" w:styleId="188">
    <w:name w:val="正文加粗"/>
    <w:basedOn w:val="123"/>
    <w:qFormat/>
    <w:uiPriority w:val="0"/>
    <w:rPr>
      <w:b/>
    </w:rPr>
  </w:style>
  <w:style w:type="paragraph" w:customStyle="1" w:styleId="189">
    <w:name w:val="wsm标题"/>
    <w:basedOn w:val="40"/>
    <w:qFormat/>
    <w:uiPriority w:val="0"/>
    <w:pPr>
      <w:spacing w:before="312" w:beforeLines="100" w:after="312" w:afterLines="100"/>
      <w:ind w:firstLine="0"/>
    </w:pPr>
    <w:rPr>
      <w:sz w:val="52"/>
    </w:rPr>
  </w:style>
  <w:style w:type="paragraph" w:customStyle="1" w:styleId="190">
    <w:name w:val="Char Char Char1 Char Char Char Char Char Char Char"/>
    <w:basedOn w:val="1"/>
    <w:qFormat/>
    <w:uiPriority w:val="0"/>
    <w:pPr>
      <w:widowControl w:val="0"/>
      <w:spacing w:line="240" w:lineRule="auto"/>
      <w:jc w:val="both"/>
    </w:pPr>
    <w:rPr>
      <w:rFonts w:ascii="Times New Roman" w:hAnsi="Times New Roman"/>
      <w:szCs w:val="24"/>
    </w:rPr>
  </w:style>
  <w:style w:type="paragraph" w:customStyle="1" w:styleId="191">
    <w:name w:val="wsm标题1"/>
    <w:basedOn w:val="3"/>
    <w:qFormat/>
    <w:uiPriority w:val="0"/>
    <w:pPr>
      <w:pageBreakBefore w:val="0"/>
      <w:tabs>
        <w:tab w:val="clear" w:pos="0"/>
        <w:tab w:val="clear" w:pos="420"/>
      </w:tabs>
      <w:adjustRightInd w:val="0"/>
      <w:snapToGrid w:val="0"/>
      <w:spacing w:before="312" w:beforeLines="100" w:after="312" w:afterLines="100"/>
    </w:pPr>
    <w:rPr>
      <w:rFonts w:eastAsia="宋体"/>
      <w:b/>
      <w:bCs/>
      <w:sz w:val="36"/>
      <w:szCs w:val="36"/>
    </w:rPr>
  </w:style>
  <w:style w:type="paragraph" w:customStyle="1" w:styleId="192">
    <w:name w:val="表名右对齐"/>
    <w:basedOn w:val="111"/>
    <w:qFormat/>
    <w:uiPriority w:val="0"/>
    <w:pPr>
      <w:jc w:val="right"/>
    </w:pPr>
  </w:style>
  <w:style w:type="paragraph" w:customStyle="1" w:styleId="193">
    <w:name w:val="0740503"/>
    <w:basedOn w:val="1"/>
    <w:qFormat/>
    <w:uiPriority w:val="0"/>
    <w:pPr>
      <w:widowControl/>
      <w:spacing w:before="100" w:beforeAutospacing="1" w:after="100" w:afterAutospacing="1" w:line="240" w:lineRule="auto"/>
      <w:ind w:firstLine="0"/>
    </w:pPr>
    <w:rPr>
      <w:rFonts w:ascii="宋体" w:hAnsi="宋体" w:cs="宋体"/>
      <w:kern w:val="0"/>
      <w:sz w:val="24"/>
      <w:szCs w:val="24"/>
    </w:rPr>
  </w:style>
  <w:style w:type="paragraph" w:customStyle="1" w:styleId="194">
    <w:name w:val="表头左"/>
    <w:basedOn w:val="165"/>
    <w:qFormat/>
    <w:uiPriority w:val="0"/>
    <w:pPr>
      <w:jc w:val="left"/>
    </w:pPr>
  </w:style>
  <w:style w:type="paragraph" w:customStyle="1" w:styleId="19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96">
    <w:name w:val="xl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kern w:val="0"/>
    </w:rPr>
  </w:style>
  <w:style w:type="paragraph" w:customStyle="1" w:styleId="197">
    <w:name w:val="xl7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kern w:val="0"/>
    </w:rPr>
  </w:style>
  <w:style w:type="paragraph" w:customStyle="1" w:styleId="198">
    <w:name w:val="表名"/>
    <w:basedOn w:val="1"/>
    <w:qFormat/>
    <w:uiPriority w:val="0"/>
    <w:pPr>
      <w:keepNext/>
      <w:widowControl w:val="0"/>
      <w:adjustRightInd w:val="0"/>
      <w:snapToGrid w:val="0"/>
      <w:spacing w:line="240" w:lineRule="auto"/>
      <w:jc w:val="center"/>
    </w:pPr>
    <w:rPr>
      <w:b/>
      <w:sz w:val="24"/>
      <w:szCs w:val="24"/>
    </w:rPr>
  </w:style>
  <w:style w:type="paragraph" w:customStyle="1" w:styleId="199">
    <w:name w:val="陈_正文"/>
    <w:basedOn w:val="2"/>
    <w:qFormat/>
    <w:uiPriority w:val="0"/>
    <w:pPr>
      <w:spacing w:before="0" w:after="0" w:line="440" w:lineRule="exact"/>
      <w:ind w:firstLine="200" w:firstLineChars="200"/>
      <w:jc w:val="both"/>
    </w:pPr>
    <w:rPr>
      <w:rFonts w:eastAsia="方正仿宋_GB2312"/>
      <w:bCs/>
      <w:sz w:val="28"/>
      <w:szCs w:val="24"/>
    </w:rPr>
  </w:style>
  <w:style w:type="paragraph" w:customStyle="1" w:styleId="200">
    <w:name w:val="表格文字左"/>
    <w:basedOn w:val="19"/>
    <w:qFormat/>
    <w:uiPriority w:val="0"/>
    <w:pPr>
      <w:spacing w:after="0" w:line="240" w:lineRule="auto"/>
    </w:pPr>
    <w:rPr>
      <w:rFonts w:eastAsia="方正仿宋_GB2312"/>
    </w:rPr>
  </w:style>
  <w:style w:type="paragraph" w:customStyle="1" w:styleId="201">
    <w:name w:val="表格文字中"/>
    <w:basedOn w:val="19"/>
    <w:qFormat/>
    <w:uiPriority w:val="0"/>
    <w:pPr>
      <w:spacing w:after="0" w:line="240" w:lineRule="auto"/>
      <w:jc w:val="center"/>
    </w:pPr>
    <w:rPr>
      <w:rFonts w:eastAsia="方正仿宋_GB2312"/>
    </w:rPr>
  </w:style>
  <w:style w:type="paragraph" w:customStyle="1" w:styleId="202">
    <w:name w:val="样式2"/>
    <w:basedOn w:val="123"/>
    <w:qFormat/>
    <w:uiPriority w:val="0"/>
  </w:style>
  <w:style w:type="paragraph" w:customStyle="1" w:styleId="203">
    <w:name w:val="wsm 表注"/>
    <w:basedOn w:val="118"/>
    <w:qFormat/>
    <w:uiPriority w:val="0"/>
    <w:pPr>
      <w:ind w:firstLine="0" w:firstLineChars="0"/>
    </w:pPr>
    <w:rPr>
      <w:rFonts w:cs="方正仿宋_GB2312"/>
      <w:bCs/>
      <w:color w:val="000000"/>
      <w:sz w:val="21"/>
      <w:szCs w:val="18"/>
    </w:rPr>
  </w:style>
  <w:style w:type="paragraph" w:customStyle="1" w:styleId="204">
    <w:name w:val="Char Char Char Char Char Char Char2"/>
    <w:basedOn w:val="1"/>
    <w:qFormat/>
    <w:uiPriority w:val="0"/>
    <w:rPr>
      <w:rFonts w:ascii="宋体" w:hAnsi="宋体" w:cs="宋体"/>
      <w:sz w:val="24"/>
      <w:szCs w:val="24"/>
    </w:rPr>
  </w:style>
  <w:style w:type="paragraph" w:customStyle="1" w:styleId="205">
    <w:name w:val="font5"/>
    <w:basedOn w:val="1"/>
    <w:qFormat/>
    <w:uiPriority w:val="0"/>
    <w:pPr>
      <w:spacing w:before="100" w:beforeAutospacing="1" w:after="100" w:afterAutospacing="1" w:line="240" w:lineRule="auto"/>
    </w:pPr>
    <w:rPr>
      <w:rFonts w:ascii="宋体" w:hAnsi="宋体" w:cs="宋体"/>
      <w:kern w:val="0"/>
      <w:sz w:val="18"/>
      <w:szCs w:val="18"/>
    </w:rPr>
  </w:style>
  <w:style w:type="paragraph" w:customStyle="1" w:styleId="206">
    <w:name w:val="样式 首行缩进:  3 字符"/>
    <w:basedOn w:val="1"/>
    <w:qFormat/>
    <w:uiPriority w:val="0"/>
    <w:rPr>
      <w:rFonts w:cs="宋体"/>
      <w:szCs w:val="20"/>
    </w:rPr>
  </w:style>
  <w:style w:type="paragraph" w:customStyle="1" w:styleId="207">
    <w:name w:val="样式 表格文字 + 首行缩进:  2 字符"/>
    <w:basedOn w:val="208"/>
    <w:qFormat/>
    <w:uiPriority w:val="0"/>
    <w:pPr>
      <w:ind w:firstLineChars="0"/>
    </w:pPr>
    <w:rPr>
      <w:rFonts w:cs="宋体"/>
      <w:szCs w:val="20"/>
    </w:rPr>
  </w:style>
  <w:style w:type="paragraph" w:customStyle="1" w:styleId="208">
    <w:name w:val="表格文字"/>
    <w:basedOn w:val="1"/>
    <w:qFormat/>
    <w:uiPriority w:val="0"/>
    <w:pPr>
      <w:adjustRightInd w:val="0"/>
      <w:snapToGrid w:val="0"/>
      <w:spacing w:before="0" w:after="0" w:line="240" w:lineRule="auto"/>
      <w:ind w:firstLine="0"/>
      <w:jc w:val="center"/>
    </w:pPr>
    <w:rPr>
      <w:rFonts w:eastAsia="方正仿宋_GB2312"/>
      <w:color w:val="000000"/>
      <w:kern w:val="0"/>
      <w:szCs w:val="24"/>
    </w:rPr>
  </w:style>
  <w:style w:type="paragraph" w:customStyle="1" w:styleId="209">
    <w:name w:val="样式 正文 chen + 首行缩进:  2 字符"/>
    <w:basedOn w:val="118"/>
    <w:qFormat/>
    <w:uiPriority w:val="0"/>
    <w:pPr>
      <w:ind w:hanging="2" w:firstLineChars="0"/>
    </w:pPr>
    <w:rPr>
      <w:rFonts w:eastAsia="楷体_GB2312" w:cs="宋体"/>
      <w:szCs w:val="20"/>
    </w:rPr>
  </w:style>
  <w:style w:type="paragraph" w:customStyle="1" w:styleId="210">
    <w:name w:val="04表格文字"/>
    <w:basedOn w:val="211"/>
    <w:qFormat/>
    <w:uiPriority w:val="0"/>
    <w:rPr>
      <w:rFonts w:eastAsia="方正仿宋_GB2312"/>
    </w:rPr>
  </w:style>
  <w:style w:type="paragraph" w:customStyle="1" w:styleId="211">
    <w:name w:val="02图表标题"/>
    <w:basedOn w:val="1"/>
    <w:qFormat/>
    <w:uiPriority w:val="0"/>
    <w:pPr>
      <w:spacing w:after="156" w:afterLines="50" w:line="240" w:lineRule="auto"/>
      <w:ind w:firstLine="0" w:firstLineChars="0"/>
      <w:jc w:val="center"/>
    </w:pPr>
    <w:rPr>
      <w:rFonts w:eastAsia="黑体"/>
      <w:sz w:val="21"/>
      <w:szCs w:val="21"/>
    </w:rPr>
  </w:style>
  <w:style w:type="paragraph" w:customStyle="1" w:styleId="212">
    <w:name w:val="正文 New New New New New"/>
    <w:qFormat/>
    <w:uiPriority w:val="0"/>
    <w:pPr>
      <w:widowControl w:val="0"/>
      <w:jc w:val="both"/>
    </w:pPr>
    <w:rPr>
      <w:rFonts w:ascii="Times New Roman" w:hAnsi="Times New Roman" w:eastAsia="宋体" w:cs="黑体"/>
      <w:kern w:val="2"/>
      <w:sz w:val="21"/>
      <w:szCs w:val="22"/>
      <w:lang w:val="en-US" w:eastAsia="zh-CN" w:bidi="ar-SA"/>
    </w:rPr>
  </w:style>
  <w:style w:type="paragraph" w:customStyle="1" w:styleId="213">
    <w:name w:val="_Style 206"/>
    <w:basedOn w:val="3"/>
    <w:next w:val="1"/>
    <w:qFormat/>
    <w:uiPriority w:val="0"/>
    <w:pPr>
      <w:pageBreakBefore w:val="0"/>
      <w:spacing w:before="480" w:line="276" w:lineRule="auto"/>
      <w:jc w:val="left"/>
      <w:outlineLvl w:val="9"/>
    </w:pPr>
    <w:rPr>
      <w:rFonts w:ascii="Cambria" w:hAnsi="Cambria" w:eastAsia="宋体" w:cs="Cambria"/>
      <w:b/>
      <w:bCs/>
      <w:color w:val="365F91"/>
      <w:sz w:val="28"/>
      <w:szCs w:val="28"/>
    </w:rPr>
  </w:style>
  <w:style w:type="paragraph" w:customStyle="1" w:styleId="214">
    <w:name w:val="wsm图表标题"/>
    <w:basedOn w:val="1"/>
    <w:qFormat/>
    <w:uiPriority w:val="0"/>
    <w:pPr>
      <w:adjustRightInd w:val="0"/>
      <w:snapToGrid w:val="0"/>
      <w:spacing w:before="0" w:after="0"/>
      <w:ind w:firstLine="0"/>
      <w:jc w:val="center"/>
    </w:pPr>
    <w:rPr>
      <w:rFonts w:eastAsia="黑体"/>
      <w:bCs/>
    </w:rPr>
  </w:style>
  <w:style w:type="paragraph" w:customStyle="1" w:styleId="215">
    <w:name w:val="样式 样式 首行缩进:  2 字符2 + 首行缩进:  2 字符"/>
    <w:basedOn w:val="160"/>
    <w:qFormat/>
    <w:uiPriority w:val="0"/>
    <w:pPr>
      <w:ind w:firstLine="0" w:firstLineChars="0"/>
    </w:pPr>
  </w:style>
  <w:style w:type="paragraph" w:customStyle="1" w:styleId="216">
    <w:name w:val="04表注"/>
    <w:basedOn w:val="217"/>
    <w:qFormat/>
    <w:uiPriority w:val="0"/>
  </w:style>
  <w:style w:type="paragraph" w:customStyle="1" w:styleId="217">
    <w:name w:val="04 表格文字靠左"/>
    <w:basedOn w:val="210"/>
    <w:qFormat/>
    <w:uiPriority w:val="0"/>
    <w:pPr>
      <w:jc w:val="left"/>
    </w:pPr>
  </w:style>
  <w:style w:type="paragraph" w:customStyle="1" w:styleId="218">
    <w:name w:val="自动编号"/>
    <w:basedOn w:val="123"/>
    <w:qFormat/>
    <w:uiPriority w:val="0"/>
    <w:pPr>
      <w:spacing w:before="0" w:after="0"/>
      <w:ind w:left="400" w:leftChars="200" w:hanging="200" w:hangingChars="200"/>
    </w:pPr>
  </w:style>
  <w:style w:type="paragraph" w:customStyle="1" w:styleId="219">
    <w:name w:val="Char Char Char Char Char Char Char3"/>
    <w:basedOn w:val="1"/>
    <w:qFormat/>
    <w:uiPriority w:val="0"/>
    <w:pPr>
      <w:spacing w:before="0" w:after="0"/>
      <w:ind w:firstLine="200" w:firstLineChars="200"/>
      <w:jc w:val="both"/>
    </w:pPr>
    <w:rPr>
      <w:rFonts w:ascii="宋体" w:hAnsi="宋体" w:cs="宋体"/>
      <w:sz w:val="24"/>
      <w:szCs w:val="24"/>
    </w:rPr>
  </w:style>
  <w:style w:type="paragraph" w:customStyle="1" w:styleId="220">
    <w:name w:val="Char Char Char Char Char Char Char"/>
    <w:basedOn w:val="1"/>
    <w:qFormat/>
    <w:uiPriority w:val="0"/>
    <w:rPr>
      <w:rFonts w:ascii="宋体" w:hAnsi="宋体" w:cs="宋体"/>
      <w:sz w:val="24"/>
      <w:szCs w:val="24"/>
    </w:rPr>
  </w:style>
  <w:style w:type="paragraph" w:customStyle="1" w:styleId="221">
    <w:name w:val="xumz-正文"/>
    <w:basedOn w:val="1"/>
    <w:qFormat/>
    <w:uiPriority w:val="0"/>
    <w:pPr>
      <w:snapToGrid w:val="0"/>
      <w:spacing w:line="360" w:lineRule="auto"/>
      <w:ind w:firstLine="200" w:firstLineChars="200"/>
      <w:textAlignment w:val="baseline"/>
    </w:pPr>
    <w:rPr>
      <w:sz w:val="24"/>
    </w:rPr>
  </w:style>
  <w:style w:type="paragraph" w:customStyle="1" w:styleId="222">
    <w:name w:val="样式 表名 wsm + (中文) 楷体_GB2312 首行缩进:  0.74 厘米"/>
    <w:basedOn w:val="111"/>
    <w:qFormat/>
    <w:uiPriority w:val="0"/>
    <w:pPr>
      <w:ind w:firstLine="420"/>
    </w:pPr>
    <w:rPr>
      <w:rFonts w:eastAsia="楷体_GB2312" w:cs="宋体"/>
      <w:szCs w:val="20"/>
    </w:rPr>
  </w:style>
  <w:style w:type="paragraph" w:customStyle="1" w:styleId="223">
    <w:name w:val="Char"/>
    <w:basedOn w:val="1"/>
    <w:qFormat/>
    <w:uiPriority w:val="0"/>
    <w:pPr>
      <w:widowControl w:val="0"/>
      <w:tabs>
        <w:tab w:val="left" w:pos="425"/>
      </w:tabs>
      <w:spacing w:line="240" w:lineRule="auto"/>
      <w:ind w:left="425" w:hanging="425"/>
      <w:jc w:val="both"/>
    </w:pPr>
    <w:rPr>
      <w:rFonts w:ascii="Times New Roman" w:hAnsi="Times New Roman" w:eastAsia="方正仿宋_GB2312"/>
      <w:kern w:val="24"/>
      <w:sz w:val="24"/>
      <w:szCs w:val="28"/>
    </w:rPr>
  </w:style>
  <w:style w:type="paragraph" w:customStyle="1" w:styleId="224">
    <w:name w:val="xl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方正仿宋_GB2312" w:hAnsi="宋体" w:eastAsia="方正仿宋_GB2312" w:cs="宋体"/>
      <w:kern w:val="0"/>
    </w:rPr>
  </w:style>
  <w:style w:type="paragraph" w:customStyle="1" w:styleId="225">
    <w:name w:val="表格 wsm"/>
    <w:basedOn w:val="1"/>
    <w:qFormat/>
    <w:uiPriority w:val="0"/>
    <w:pPr>
      <w:jc w:val="center"/>
    </w:pPr>
    <w:rPr>
      <w:rFonts w:eastAsia="方正仿宋_GB2312"/>
      <w:color w:val="000000"/>
    </w:rPr>
  </w:style>
  <w:style w:type="paragraph" w:customStyle="1" w:styleId="226">
    <w:name w:val="样式 题注 + 居中1"/>
    <w:basedOn w:val="15"/>
    <w:qFormat/>
    <w:uiPriority w:val="0"/>
    <w:pPr>
      <w:jc w:val="center"/>
    </w:pPr>
    <w:rPr>
      <w:rFonts w:cs="宋体"/>
      <w:szCs w:val="20"/>
    </w:rPr>
  </w:style>
  <w:style w:type="paragraph" w:customStyle="1" w:styleId="227">
    <w:name w:val="样式 标题 2 + Times New Roman 小四 非加粗 段前: 6 磅 段后: 6 磅 行距: 单倍行距"/>
    <w:basedOn w:val="4"/>
    <w:qFormat/>
    <w:uiPriority w:val="0"/>
    <w:pPr>
      <w:tabs>
        <w:tab w:val="clear" w:pos="540"/>
      </w:tabs>
      <w:spacing w:line="240" w:lineRule="auto"/>
      <w:ind w:left="567" w:hanging="567"/>
      <w:jc w:val="both"/>
    </w:pPr>
    <w:rPr>
      <w:rFonts w:cs="宋体"/>
      <w:kern w:val="0"/>
      <w:sz w:val="24"/>
      <w:szCs w:val="20"/>
    </w:rPr>
  </w:style>
  <w:style w:type="paragraph" w:customStyle="1" w:styleId="228">
    <w:name w:val="表名右"/>
    <w:basedOn w:val="1"/>
    <w:qFormat/>
    <w:uiPriority w:val="0"/>
    <w:pPr>
      <w:jc w:val="right"/>
    </w:pPr>
    <w:rPr>
      <w:rFonts w:eastAsia="黑体"/>
    </w:rPr>
  </w:style>
  <w:style w:type="paragraph" w:customStyle="1" w:styleId="229">
    <w:name w:val="文本正文"/>
    <w:basedOn w:val="1"/>
    <w:qFormat/>
    <w:uiPriority w:val="0"/>
    <w:pPr>
      <w:spacing w:before="0" w:after="0"/>
      <w:ind w:left="400" w:leftChars="400" w:firstLine="200" w:firstLineChars="200"/>
    </w:pPr>
    <w:rPr>
      <w:rFonts w:ascii="黑体" w:eastAsia="黑体"/>
      <w:color w:val="000000"/>
    </w:rPr>
  </w:style>
  <w:style w:type="paragraph" w:customStyle="1" w:styleId="230">
    <w:name w:val="正文wsm"/>
    <w:basedOn w:val="1"/>
    <w:qFormat/>
    <w:uiPriority w:val="0"/>
    <w:pPr>
      <w:widowControl w:val="0"/>
      <w:ind w:firstLine="230" w:firstLineChars="230"/>
      <w:jc w:val="both"/>
    </w:pPr>
    <w:rPr>
      <w:rFonts w:cs="宋体"/>
      <w:color w:val="000000"/>
      <w:kern w:val="0"/>
      <w:sz w:val="28"/>
      <w:szCs w:val="28"/>
    </w:rPr>
  </w:style>
  <w:style w:type="paragraph" w:customStyle="1" w:styleId="231">
    <w:name w:val="样式 首行缩进:  0.74 厘米 段前: 0.5 行 段后: 0.3 行"/>
    <w:basedOn w:val="1"/>
    <w:qFormat/>
    <w:uiPriority w:val="0"/>
    <w:pPr>
      <w:spacing w:before="120"/>
    </w:pPr>
    <w:rPr>
      <w:rFonts w:eastAsia="华文细黑"/>
    </w:rPr>
  </w:style>
  <w:style w:type="paragraph" w:customStyle="1" w:styleId="232">
    <w:name w:val="正文小四"/>
    <w:qFormat/>
    <w:uiPriority w:val="0"/>
    <w:pPr>
      <w:spacing w:before="72" w:after="72" w:line="360" w:lineRule="auto"/>
      <w:ind w:firstLine="420"/>
    </w:pPr>
    <w:rPr>
      <w:rFonts w:ascii="Times New Roman" w:hAnsi="Times New Roman" w:eastAsia="宋体" w:cs="Times New Roman"/>
      <w:kern w:val="2"/>
      <w:sz w:val="24"/>
      <w:szCs w:val="24"/>
      <w:lang w:val="en-US" w:eastAsia="zh-CN" w:bidi="ar-SA"/>
    </w:rPr>
  </w:style>
  <w:style w:type="paragraph" w:customStyle="1" w:styleId="233">
    <w:name w:val="项目名称"/>
    <w:basedOn w:val="1"/>
    <w:qFormat/>
    <w:uiPriority w:val="0"/>
    <w:pPr>
      <w:jc w:val="center"/>
    </w:pPr>
    <w:rPr>
      <w:rFonts w:ascii="Arial" w:hAnsi="Arial" w:eastAsia="黑体" w:cs="Arial"/>
      <w:b/>
      <w:bCs/>
      <w:sz w:val="44"/>
      <w:szCs w:val="44"/>
    </w:rPr>
  </w:style>
  <w:style w:type="paragraph" w:customStyle="1" w:styleId="234">
    <w:name w:val="Char Char Char"/>
    <w:basedOn w:val="1"/>
    <w:qFormat/>
    <w:uiPriority w:val="0"/>
    <w:pPr>
      <w:widowControl w:val="0"/>
      <w:spacing w:line="240" w:lineRule="auto"/>
      <w:jc w:val="both"/>
    </w:pPr>
    <w:rPr>
      <w:sz w:val="32"/>
      <w:szCs w:val="20"/>
    </w:rPr>
  </w:style>
  <w:style w:type="paragraph" w:customStyle="1" w:styleId="235">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rPr>
  </w:style>
  <w:style w:type="paragraph" w:customStyle="1" w:styleId="236">
    <w:name w:val="wsm 要点"/>
    <w:basedOn w:val="1"/>
    <w:qFormat/>
    <w:uiPriority w:val="0"/>
    <w:pPr>
      <w:adjustRightInd w:val="0"/>
      <w:snapToGrid w:val="0"/>
      <w:spacing w:before="0" w:after="0"/>
    </w:pPr>
    <w:rPr>
      <w:rFonts w:eastAsia="方正仿宋_GB2312"/>
      <w:b/>
      <w:sz w:val="24"/>
    </w:rPr>
  </w:style>
  <w:style w:type="paragraph" w:customStyle="1" w:styleId="237">
    <w:name w:val="图表标题靠右"/>
    <w:basedOn w:val="19"/>
    <w:qFormat/>
    <w:uiPriority w:val="0"/>
    <w:pPr>
      <w:spacing w:before="0" w:after="0"/>
      <w:ind w:firstLine="0"/>
      <w:jc w:val="right"/>
    </w:pPr>
    <w:rPr>
      <w:rFonts w:eastAsia="黑体"/>
      <w:szCs w:val="24"/>
    </w:rPr>
  </w:style>
  <w:style w:type="paragraph" w:customStyle="1" w:styleId="238">
    <w:name w:val="小五号表头"/>
    <w:basedOn w:val="165"/>
    <w:qFormat/>
    <w:uiPriority w:val="0"/>
    <w:rPr>
      <w:kern w:val="0"/>
      <w:sz w:val="18"/>
    </w:rPr>
  </w:style>
  <w:style w:type="paragraph" w:customStyle="1" w:styleId="239">
    <w:name w:val="正文 New New New New New New New"/>
    <w:qFormat/>
    <w:uiPriority w:val="0"/>
    <w:pPr>
      <w:widowControl w:val="0"/>
      <w:jc w:val="both"/>
    </w:pPr>
    <w:rPr>
      <w:rFonts w:ascii="Times New Roman" w:hAnsi="Times New Roman" w:eastAsia="宋体" w:cs="黑体"/>
      <w:kern w:val="2"/>
      <w:sz w:val="21"/>
      <w:szCs w:val="22"/>
      <w:lang w:val="en-US" w:eastAsia="zh-CN" w:bidi="ar-SA"/>
    </w:rPr>
  </w:style>
  <w:style w:type="paragraph" w:customStyle="1" w:styleId="240">
    <w:name w:val="样式 标题 3wsm + (中文) 仿宋_GB2312"/>
    <w:basedOn w:val="5"/>
    <w:qFormat/>
    <w:uiPriority w:val="0"/>
    <w:pPr>
      <w:ind w:firstLine="560"/>
    </w:pPr>
    <w:rPr>
      <w:rFonts w:eastAsia="方正仿宋_GB2312"/>
      <w:szCs w:val="28"/>
    </w:rPr>
  </w:style>
  <w:style w:type="paragraph" w:customStyle="1" w:styleId="241">
    <w:name w:val="样式 首行缩进:  0.85 厘米 段前: 0.5 行 段后: 0.3 行"/>
    <w:basedOn w:val="1"/>
    <w:qFormat/>
    <w:uiPriority w:val="0"/>
    <w:pPr>
      <w:spacing w:before="120" w:after="120"/>
    </w:pPr>
    <w:rPr>
      <w:rFonts w:eastAsia="华文细黑"/>
    </w:rPr>
  </w:style>
  <w:style w:type="paragraph" w:customStyle="1" w:styleId="242">
    <w:name w:val="表格文字左对齐"/>
    <w:basedOn w:val="208"/>
    <w:qFormat/>
    <w:uiPriority w:val="0"/>
    <w:pPr>
      <w:jc w:val="left"/>
    </w:pPr>
  </w:style>
  <w:style w:type="paragraph" w:customStyle="1" w:styleId="243">
    <w:name w:val="05双括号四级编号"/>
    <w:basedOn w:val="106"/>
    <w:qFormat/>
    <w:uiPriority w:val="0"/>
    <w:pPr>
      <w:numPr>
        <w:ilvl w:val="3"/>
        <w:numId w:val="3"/>
      </w:numPr>
    </w:pPr>
    <w:rPr>
      <w:b/>
    </w:rPr>
  </w:style>
  <w:style w:type="paragraph" w:customStyle="1" w:styleId="244">
    <w:name w:val="样式 题注 + 居中"/>
    <w:basedOn w:val="15"/>
    <w:qFormat/>
    <w:uiPriority w:val="0"/>
    <w:pPr>
      <w:jc w:val="center"/>
    </w:pPr>
    <w:rPr>
      <w:rFonts w:eastAsia="楷体_GB2312" w:cs="宋体"/>
      <w:szCs w:val="20"/>
    </w:rPr>
  </w:style>
  <w:style w:type="paragraph" w:customStyle="1" w:styleId="245">
    <w:name w:val="小五号表格文字"/>
    <w:basedOn w:val="208"/>
    <w:qFormat/>
    <w:uiPriority w:val="0"/>
    <w:rPr>
      <w:sz w:val="18"/>
      <w:szCs w:val="21"/>
    </w:rPr>
  </w:style>
  <w:style w:type="paragraph" w:customStyle="1" w:styleId="246">
    <w:name w:val="xl63"/>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pPr>
    <w:rPr>
      <w:rFonts w:ascii="方正仿宋_GB2312" w:hAnsi="宋体" w:eastAsia="方正仿宋_GB2312" w:cs="宋体"/>
      <w:kern w:val="0"/>
    </w:rPr>
  </w:style>
  <w:style w:type="paragraph" w:customStyle="1" w:styleId="247">
    <w:name w:val="要点 wsm"/>
    <w:basedOn w:val="1"/>
    <w:qFormat/>
    <w:uiPriority w:val="0"/>
    <w:pPr>
      <w:widowControl/>
      <w:ind w:firstLine="482"/>
    </w:pPr>
    <w:rPr>
      <w:rFonts w:eastAsia="方正仿宋_GB2312"/>
      <w:b/>
      <w:bCs/>
      <w:sz w:val="24"/>
      <w:szCs w:val="24"/>
    </w:rPr>
  </w:style>
  <w:style w:type="paragraph" w:customStyle="1" w:styleId="248">
    <w:name w:val="正文李"/>
    <w:basedOn w:val="249"/>
    <w:qFormat/>
    <w:uiPriority w:val="0"/>
    <w:pPr>
      <w:spacing w:before="50"/>
      <w:ind w:firstLine="482"/>
    </w:pPr>
    <w:rPr>
      <w:rFonts w:cs="Times New Roman"/>
    </w:rPr>
  </w:style>
  <w:style w:type="paragraph" w:customStyle="1" w:styleId="249">
    <w:name w:val="样式 wsm正文 + 段前: 0.5 行"/>
    <w:basedOn w:val="123"/>
    <w:qFormat/>
    <w:uiPriority w:val="0"/>
    <w:pPr>
      <w:spacing w:before="120"/>
    </w:pPr>
    <w:rPr>
      <w:rFonts w:eastAsia="楷体_GB2312" w:cs="宋体"/>
      <w:szCs w:val="20"/>
    </w:rPr>
  </w:style>
  <w:style w:type="paragraph" w:customStyle="1" w:styleId="250">
    <w:name w:val="xl73"/>
    <w:basedOn w:val="1"/>
    <w:qFormat/>
    <w:uiPriority w:val="0"/>
    <w:pPr>
      <w:pBdr>
        <w:left w:val="single" w:color="auto" w:sz="4" w:space="0"/>
        <w:right w:val="single" w:color="auto" w:sz="4" w:space="0"/>
      </w:pBdr>
      <w:spacing w:before="100" w:beforeAutospacing="1" w:after="100" w:afterAutospacing="1" w:line="240" w:lineRule="auto"/>
      <w:jc w:val="center"/>
    </w:pPr>
    <w:rPr>
      <w:rFonts w:ascii="方正仿宋_GB2312" w:hAnsi="宋体" w:eastAsia="方正仿宋_GB2312" w:cs="宋体"/>
      <w:kern w:val="0"/>
    </w:rPr>
  </w:style>
  <w:style w:type="paragraph" w:customStyle="1" w:styleId="251">
    <w:name w:val="_Style 89"/>
    <w:basedOn w:val="1"/>
    <w:qFormat/>
    <w:uiPriority w:val="0"/>
    <w:pPr>
      <w:widowControl w:val="0"/>
      <w:spacing w:line="240" w:lineRule="auto"/>
    </w:pPr>
    <w:rPr>
      <w:szCs w:val="22"/>
    </w:rPr>
  </w:style>
  <w:style w:type="paragraph" w:customStyle="1" w:styleId="252">
    <w:name w:val="wsm四级标题"/>
    <w:basedOn w:val="123"/>
    <w:qFormat/>
    <w:uiPriority w:val="0"/>
    <w:pPr>
      <w:spacing w:before="156"/>
      <w:ind w:firstLine="0"/>
    </w:pPr>
    <w:rPr>
      <w:b/>
      <w:bCs/>
    </w:rPr>
  </w:style>
  <w:style w:type="paragraph" w:customStyle="1" w:styleId="253">
    <w:name w:val="样式 阳江表格尾注"/>
    <w:basedOn w:val="254"/>
    <w:qFormat/>
    <w:uiPriority w:val="0"/>
    <w:pPr>
      <w:jc w:val="both"/>
    </w:pPr>
    <w:rPr>
      <w:bCs w:val="0"/>
      <w:szCs w:val="20"/>
    </w:rPr>
  </w:style>
  <w:style w:type="paragraph" w:customStyle="1" w:styleId="254">
    <w:name w:val="阳江表格内部文字"/>
    <w:basedOn w:val="43"/>
    <w:qFormat/>
    <w:uiPriority w:val="0"/>
    <w:pPr>
      <w:spacing w:after="0"/>
      <w:ind w:left="0" w:leftChars="0" w:firstLine="0" w:firstLineChars="0"/>
      <w:jc w:val="center"/>
    </w:pPr>
    <w:rPr>
      <w:rFonts w:cs="宋体"/>
      <w:bCs/>
      <w:sz w:val="18"/>
      <w:szCs w:val="18"/>
    </w:rPr>
  </w:style>
  <w:style w:type="paragraph" w:customStyle="1" w:styleId="255">
    <w:name w:val="03表头"/>
    <w:basedOn w:val="210"/>
    <w:qFormat/>
    <w:uiPriority w:val="0"/>
    <w:rPr>
      <w:b/>
    </w:rPr>
  </w:style>
  <w:style w:type="paragraph" w:customStyle="1" w:styleId="256">
    <w:name w:val="font6"/>
    <w:basedOn w:val="1"/>
    <w:qFormat/>
    <w:uiPriority w:val="0"/>
    <w:pPr>
      <w:spacing w:before="100" w:beforeAutospacing="1" w:after="100" w:afterAutospacing="1" w:line="240" w:lineRule="auto"/>
    </w:pPr>
    <w:rPr>
      <w:rFonts w:ascii="方正仿宋_GB2312" w:hAnsi="宋体" w:eastAsia="方正仿宋_GB2312" w:cs="宋体"/>
      <w:kern w:val="0"/>
    </w:rPr>
  </w:style>
  <w:style w:type="paragraph" w:customStyle="1" w:styleId="257">
    <w:name w:val="_00000000-0000-0000-0000-000000000001_"/>
    <w:qFormat/>
    <w:uiPriority w:val="0"/>
    <w:pPr>
      <w:widowControl w:val="0"/>
      <w:autoSpaceDE w:val="0"/>
      <w:autoSpaceDN w:val="0"/>
      <w:adjustRightInd w:val="0"/>
      <w:spacing w:before="72" w:after="72" w:line="360" w:lineRule="auto"/>
      <w:ind w:firstLine="420"/>
    </w:pPr>
    <w:rPr>
      <w:rFonts w:ascii="Verdana" w:hAnsi="Verdana" w:eastAsia="宋体" w:cs="Verdana"/>
      <w:sz w:val="24"/>
      <w:szCs w:val="24"/>
      <w:lang w:val="en-US" w:eastAsia="zh-CN" w:bidi="ar-SA"/>
    </w:rPr>
  </w:style>
  <w:style w:type="paragraph" w:customStyle="1" w:styleId="258">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方正仿宋_GB2312" w:hAnsi="宋体" w:eastAsia="方正仿宋_GB2312" w:cs="宋体"/>
      <w:kern w:val="0"/>
    </w:rPr>
  </w:style>
  <w:style w:type="paragraph" w:customStyle="1" w:styleId="259">
    <w:name w:val="正文 New New New New New New"/>
    <w:qFormat/>
    <w:uiPriority w:val="0"/>
    <w:pPr>
      <w:widowControl w:val="0"/>
      <w:jc w:val="both"/>
    </w:pPr>
    <w:rPr>
      <w:rFonts w:ascii="Times New Roman" w:hAnsi="Times New Roman" w:eastAsia="宋体" w:cs="黑体"/>
      <w:kern w:val="2"/>
      <w:sz w:val="21"/>
      <w:szCs w:val="22"/>
      <w:lang w:val="en-US" w:eastAsia="zh-CN" w:bidi="ar-SA"/>
    </w:rPr>
  </w:style>
  <w:style w:type="paragraph" w:customStyle="1" w:styleId="260">
    <w:name w:val="正文 调查报告"/>
    <w:basedOn w:val="1"/>
    <w:qFormat/>
    <w:uiPriority w:val="0"/>
    <w:pPr>
      <w:widowControl/>
      <w:ind w:firstLine="480"/>
    </w:pPr>
    <w:rPr>
      <w:sz w:val="24"/>
      <w:szCs w:val="24"/>
    </w:rPr>
  </w:style>
  <w:style w:type="paragraph" w:customStyle="1" w:styleId="261">
    <w:name w:val="List Paragraph1"/>
    <w:basedOn w:val="1"/>
    <w:qFormat/>
    <w:uiPriority w:val="0"/>
    <w:pPr>
      <w:widowControl w:val="0"/>
      <w:spacing w:before="72" w:after="72"/>
      <w:ind w:firstLine="420"/>
    </w:pPr>
  </w:style>
  <w:style w:type="paragraph" w:customStyle="1" w:styleId="262">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kern w:val="0"/>
      <w:sz w:val="20"/>
      <w:szCs w:val="20"/>
    </w:rPr>
  </w:style>
  <w:style w:type="paragraph" w:customStyle="1" w:styleId="263">
    <w:name w:val="正文 New New New New New New New New"/>
    <w:qFormat/>
    <w:uiPriority w:val="0"/>
    <w:pPr>
      <w:widowControl w:val="0"/>
      <w:jc w:val="both"/>
    </w:pPr>
    <w:rPr>
      <w:rFonts w:ascii="Times New Roman" w:hAnsi="Times New Roman" w:eastAsia="宋体" w:cs="黑体"/>
      <w:kern w:val="2"/>
      <w:sz w:val="21"/>
      <w:szCs w:val="22"/>
      <w:lang w:val="en-US" w:eastAsia="zh-CN" w:bidi="ar-SA"/>
    </w:rPr>
  </w:style>
  <w:style w:type="paragraph" w:customStyle="1" w:styleId="264">
    <w:name w:val="xl72"/>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方正仿宋_GB2312" w:hAnsi="宋体" w:eastAsia="方正仿宋_GB2312" w:cs="宋体"/>
      <w:kern w:val="0"/>
    </w:rPr>
  </w:style>
  <w:style w:type="paragraph" w:customStyle="1" w:styleId="265">
    <w:name w:val="样式 样式 首行缩进:  2 字符2 + 首行缩进:  2 字符2"/>
    <w:basedOn w:val="160"/>
    <w:qFormat/>
    <w:uiPriority w:val="0"/>
    <w:pPr>
      <w:spacing w:line="240" w:lineRule="auto"/>
      <w:ind w:firstLine="0"/>
      <w:jc w:val="center"/>
    </w:pPr>
    <w:rPr>
      <w:sz w:val="21"/>
    </w:rPr>
  </w:style>
  <w:style w:type="paragraph" w:customStyle="1" w:styleId="266">
    <w:name w:val="cauc-TB"/>
    <w:qFormat/>
    <w:uiPriority w:val="0"/>
    <w:pPr>
      <w:spacing w:before="72" w:after="72" w:line="360" w:lineRule="auto"/>
      <w:ind w:firstLine="420"/>
      <w:jc w:val="center"/>
    </w:pPr>
    <w:rPr>
      <w:rFonts w:ascii="Times New Roman" w:hAnsi="Times New Roman" w:eastAsia="宋体" w:cs="Times New Roman"/>
      <w:kern w:val="2"/>
      <w:sz w:val="24"/>
      <w:szCs w:val="24"/>
      <w:lang w:val="en-US" w:eastAsia="zh-CN" w:bidi="ar-SA"/>
    </w:rPr>
  </w:style>
  <w:style w:type="paragraph" w:customStyle="1" w:styleId="267">
    <w:name w:val="样式 题注 + 首行缩进:  2 字符"/>
    <w:basedOn w:val="15"/>
    <w:qFormat/>
    <w:uiPriority w:val="0"/>
    <w:pPr>
      <w:ind w:firstLine="0" w:firstLineChars="0"/>
      <w:jc w:val="center"/>
    </w:pPr>
    <w:rPr>
      <w:rFonts w:cs="宋体"/>
    </w:rPr>
  </w:style>
  <w:style w:type="paragraph" w:customStyle="1" w:styleId="268">
    <w:name w:val="样式 宋体 黑色 居中 首行缩进:  0 厘米 段前: 0 磅 段后: 0 磅 行距: 单倍行距"/>
    <w:basedOn w:val="1"/>
    <w:qFormat/>
    <w:uiPriority w:val="0"/>
    <w:pPr>
      <w:spacing w:before="0" w:after="0" w:line="240" w:lineRule="auto"/>
      <w:ind w:firstLine="0"/>
      <w:jc w:val="center"/>
    </w:pPr>
    <w:rPr>
      <w:rFonts w:ascii="宋体" w:hAnsi="宋体" w:eastAsia="楷体_GB2312" w:cs="宋体"/>
      <w:color w:val="000000"/>
      <w:kern w:val="0"/>
      <w:szCs w:val="20"/>
    </w:rPr>
  </w:style>
  <w:style w:type="paragraph" w:customStyle="1" w:styleId="269">
    <w:name w:val="列出段落1"/>
    <w:basedOn w:val="1"/>
    <w:qFormat/>
    <w:uiPriority w:val="0"/>
    <w:pPr>
      <w:spacing w:before="0" w:after="0" w:line="240" w:lineRule="auto"/>
      <w:ind w:firstLineChars="200"/>
      <w:jc w:val="both"/>
    </w:pPr>
    <w:rPr>
      <w:szCs w:val="24"/>
    </w:rPr>
  </w:style>
  <w:style w:type="paragraph" w:customStyle="1" w:styleId="270">
    <w:name w:val="正文 New New New New"/>
    <w:qFormat/>
    <w:uiPriority w:val="0"/>
    <w:pPr>
      <w:widowControl w:val="0"/>
      <w:jc w:val="both"/>
    </w:pPr>
    <w:rPr>
      <w:rFonts w:ascii="Times New Roman" w:hAnsi="Times New Roman" w:eastAsia="宋体" w:cs="黑体"/>
      <w:kern w:val="2"/>
      <w:sz w:val="21"/>
      <w:szCs w:val="22"/>
      <w:lang w:val="en-US" w:eastAsia="zh-CN" w:bidi="ar-SA"/>
    </w:rPr>
  </w:style>
  <w:style w:type="paragraph" w:customStyle="1" w:styleId="271">
    <w:name w:val="Char Char Char Char Char Char1 Char"/>
    <w:basedOn w:val="166"/>
    <w:qFormat/>
    <w:uiPriority w:val="0"/>
    <w:pPr>
      <w:widowControl/>
      <w:spacing w:after="160" w:line="240" w:lineRule="exact"/>
      <w:jc w:val="left"/>
    </w:pPr>
    <w:rPr>
      <w:rFonts w:cs="Times New Roman"/>
      <w:szCs w:val="20"/>
    </w:rPr>
  </w:style>
  <w:style w:type="table" w:customStyle="1" w:styleId="272">
    <w:name w:val="Table Normal"/>
    <w:basedOn w:val="44"/>
    <w:qFormat/>
    <w:uiPriority w:val="0"/>
    <w:rPr>
      <w:rFonts w:eastAsia="Times New Roman"/>
    </w:rPr>
    <w:tblPr>
      <w:tblCellMar>
        <w:left w:w="0" w:type="dxa"/>
        <w:right w:w="0" w:type="dxa"/>
      </w:tblCellMar>
    </w:tblPr>
  </w:style>
  <w:style w:type="character" w:customStyle="1" w:styleId="273">
    <w:name w:val="c-icon32"/>
    <w:basedOn w:val="46"/>
    <w:qFormat/>
    <w:uiPriority w:val="0"/>
  </w:style>
  <w:style w:type="character" w:customStyle="1" w:styleId="274">
    <w:name w:val="hover26"/>
    <w:basedOn w:val="46"/>
    <w:qFormat/>
    <w:uiPriority w:val="0"/>
  </w:style>
  <w:style w:type="character" w:customStyle="1" w:styleId="275">
    <w:name w:val="hover27"/>
    <w:basedOn w:val="46"/>
    <w:qFormat/>
    <w:uiPriority w:val="0"/>
    <w:rPr>
      <w:color w:val="315EFB"/>
    </w:rPr>
  </w:style>
  <w:style w:type="character" w:customStyle="1" w:styleId="276">
    <w:name w:val="hover28"/>
    <w:basedOn w:val="46"/>
    <w:qFormat/>
    <w:uiPriority w:val="0"/>
    <w:rPr>
      <w:color w:val="315EFB"/>
    </w:rPr>
  </w:style>
  <w:style w:type="character" w:customStyle="1" w:styleId="277">
    <w:name w:val="hover29"/>
    <w:basedOn w:val="46"/>
    <w:qFormat/>
    <w:uiPriority w:val="0"/>
    <w:rPr>
      <w:color w:val="315EFB"/>
      <w:shd w:val="clear" w:color="auto" w:fill="F0F3FD"/>
    </w:rPr>
  </w:style>
  <w:style w:type="paragraph" w:customStyle="1" w:styleId="278">
    <w:name w:val="正文 阳山"/>
    <w:basedOn w:val="1"/>
    <w:qFormat/>
    <w:uiPriority w:val="0"/>
    <w:pPr>
      <w:spacing w:line="360" w:lineRule="auto"/>
      <w:ind w:firstLine="200" w:firstLineChars="200"/>
    </w:pPr>
    <w:rPr>
      <w:rFonts w:eastAsia="仿宋_GB2312"/>
      <w:kern w:val="0"/>
      <w:sz w:val="24"/>
      <w:szCs w:val="20"/>
    </w:rPr>
  </w:style>
  <w:style w:type="paragraph" w:customStyle="1" w:styleId="279">
    <w:name w:val="WPSOffice手动目录 1"/>
    <w:qFormat/>
    <w:uiPriority w:val="0"/>
    <w:pPr>
      <w:ind w:leftChars="0"/>
    </w:pPr>
    <w:rPr>
      <w:rFonts w:ascii="Times New Roman" w:hAnsi="Times New Roman" w:eastAsia="宋体" w:cs="Times New Roman"/>
      <w:sz w:val="20"/>
      <w:szCs w:val="20"/>
    </w:rPr>
  </w:style>
  <w:style w:type="paragraph" w:customStyle="1" w:styleId="280">
    <w:name w:val="Table Paragraph"/>
    <w:basedOn w:val="1"/>
    <w:qFormat/>
    <w:uiPriority w:val="1"/>
    <w:rPr>
      <w:rFonts w:ascii="宋体" w:hAnsi="宋体" w:eastAsia="宋体" w:cs="宋体"/>
      <w:lang w:val="zh-CN" w:eastAsia="zh-CN" w:bidi="zh-CN"/>
    </w:rPr>
  </w:style>
  <w:style w:type="paragraph" w:customStyle="1" w:styleId="281">
    <w:name w:val="正文首缩"/>
    <w:basedOn w:val="1"/>
    <w:qFormat/>
    <w:uiPriority w:val="0"/>
    <w:pPr>
      <w:snapToGrid w:val="0"/>
      <w:ind w:firstLine="480"/>
      <w:jc w:val="left"/>
    </w:pPr>
    <w:rPr>
      <w:rFonts w:ascii="宋体" w:hAnsi="宋体" w:cs="仿宋"/>
      <w:szCs w:val="21"/>
      <w:u w:color="000000"/>
      <w:lang w:val="zh-TW"/>
    </w:rPr>
  </w:style>
  <w:style w:type="character" w:customStyle="1" w:styleId="282">
    <w:name w:val="first-child"/>
    <w:basedOn w:val="46"/>
    <w:qFormat/>
    <w:uiPriority w:val="0"/>
  </w:style>
  <w:style w:type="character" w:customStyle="1" w:styleId="283">
    <w:name w:val="layui-layer-tabnow"/>
    <w:basedOn w:val="46"/>
    <w:qFormat/>
    <w:uiPriority w:val="0"/>
    <w:rPr>
      <w:bdr w:val="single" w:color="CCCCCC" w:sz="6" w:space="0"/>
      <w:shd w:val="clear" w:color="auto" w:fill="FFFFFF"/>
    </w:rPr>
  </w:style>
  <w:style w:type="character" w:customStyle="1" w:styleId="284">
    <w:name w:val="样式 条标题"/>
    <w:qFormat/>
    <w:uiPriority w:val="0"/>
    <w:rPr>
      <w:rFonts w:eastAsia="黑体"/>
      <w:b/>
      <w:bCs/>
      <w:sz w:val="30"/>
      <w:szCs w:val="30"/>
    </w:rPr>
  </w:style>
  <w:style w:type="paragraph" w:customStyle="1" w:styleId="285">
    <w:name w:val="正文（1）"/>
    <w:basedOn w:val="1"/>
    <w:qFormat/>
    <w:uiPriority w:val="34"/>
    <w:pPr>
      <w:numPr>
        <w:ilvl w:val="0"/>
        <w:numId w:val="4"/>
      </w:numPr>
      <w:ind w:firstLine="0" w:firstLineChars="0"/>
    </w:pPr>
    <w:rPr>
      <w:rFonts w:ascii="仿宋_GB2312" w:hAnsi="仿宋_GB2312" w:cs="仿宋_GB2312"/>
      <w:color w:val="000000"/>
      <w:szCs w:val="32"/>
    </w:rPr>
  </w:style>
  <w:style w:type="paragraph" w:customStyle="1" w:styleId="286">
    <w:name w:val="WPSOffice手动目录 2"/>
    <w:qFormat/>
    <w:uiPriority w:val="0"/>
    <w:pPr>
      <w:ind w:leftChars="200"/>
    </w:pPr>
    <w:rPr>
      <w:rFonts w:ascii="Times New Roman" w:hAnsi="Times New Roman" w:eastAsia="宋体" w:cs="Times New Roman"/>
      <w:sz w:val="20"/>
      <w:szCs w:val="20"/>
    </w:rPr>
  </w:style>
  <w:style w:type="paragraph" w:customStyle="1" w:styleId="287">
    <w:name w:val="节标题2"/>
    <w:basedOn w:val="288"/>
    <w:next w:val="1"/>
    <w:qFormat/>
    <w:uiPriority w:val="0"/>
    <w:pPr>
      <w:numPr>
        <w:ilvl w:val="2"/>
      </w:numPr>
      <w:tabs>
        <w:tab w:val="left" w:pos="0"/>
      </w:tabs>
      <w:outlineLvl w:val="2"/>
    </w:pPr>
    <w:rPr>
      <w:rFonts w:ascii="Times New Roman" w:hAnsi="Times New Roman" w:eastAsia="宋体" w:cs="Times New Roman"/>
      <w:sz w:val="30"/>
    </w:rPr>
  </w:style>
  <w:style w:type="paragraph" w:customStyle="1" w:styleId="288">
    <w:name w:val="节标题1"/>
    <w:basedOn w:val="3"/>
    <w:next w:val="1"/>
    <w:qFormat/>
    <w:uiPriority w:val="0"/>
    <w:pPr>
      <w:numPr>
        <w:ilvl w:val="1"/>
        <w:numId w:val="5"/>
      </w:numPr>
      <w:tabs>
        <w:tab w:val="clear" w:pos="420"/>
      </w:tabs>
      <w:spacing w:before="50" w:beforeLines="50" w:after="50" w:afterLines="50" w:line="360" w:lineRule="auto"/>
      <w:jc w:val="left"/>
      <w:outlineLvl w:val="1"/>
    </w:pPr>
    <w:rPr>
      <w:rFonts w:ascii="Times New Roman" w:hAnsi="Times New Roman" w:eastAsia="黑体" w:cs="Times New Roman"/>
      <w:sz w:val="32"/>
    </w:rPr>
  </w:style>
  <w:style w:type="paragraph" w:customStyle="1" w:styleId="289">
    <w:name w:val="正文（文本）"/>
    <w:basedOn w:val="1"/>
    <w:qFormat/>
    <w:uiPriority w:val="0"/>
    <w:pPr>
      <w:spacing w:beforeAutospacing="1" w:afterAutospacing="1" w:line="560" w:lineRule="exact"/>
      <w:ind w:left="0" w:hanging="420"/>
    </w:pPr>
    <w:rPr>
      <w:rFonts w:ascii="仿宋_GB2312" w:hAnsi="仿宋_GB2312" w:cs="宋体"/>
      <w:color w:val="000000"/>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95</Pages>
  <Words>4573</Words>
  <Characters>5148</Characters>
  <Paragraphs>468</Paragraphs>
  <TotalTime>0</TotalTime>
  <ScaleCrop>false</ScaleCrop>
  <LinksUpToDate>false</LinksUpToDate>
  <CharactersWithSpaces>5550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2018-12-12T11:21:00Z</dcterms:created>
  <dc:creator>Administrator</dc:creator>
  <cp:lastModifiedBy>Administrator</cp:lastModifiedBy>
  <cp:lastPrinted>2025-02-19T01:09:00Z</cp:lastPrinted>
  <dcterms:modified xsi:type="dcterms:W3CDTF">2025-03-05T09:43:14Z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56F1B581A6DC684F6FCC876721DB3B5A_43</vt:lpwstr>
  </property>
  <property fmtid="{D5CDD505-2E9C-101B-9397-08002B2CF9AE}" pid="4" name="KSOTemplateDocerSaveRecord">
    <vt:lpwstr>eyJoZGlkIjoiMGUxN2JjNzVmNWQwMmI1MWI3ZjM4ZDZlMjZhODQ4MDMifQ==</vt:lpwstr>
  </property>
</Properties>
</file>