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ascii="仿宋_GB2312" w:hAnsi="仿宋_GB2312" w:eastAsia="仿宋_GB2312" w:cs="仿宋_GB2312"/>
          <w:color w:val="000000"/>
          <w:sz w:val="32"/>
          <w:szCs w:val="32"/>
        </w:rPr>
      </w:pPr>
    </w:p>
    <w:p>
      <w:pPr>
        <w:widowControl/>
        <w:spacing w:line="600" w:lineRule="exact"/>
        <w:ind w:firstLine="645"/>
        <w:jc w:val="right"/>
        <w:textAlignment w:val="baseline"/>
        <w:rPr>
          <w:rFonts w:hint="eastAsia" w:ascii="仿宋_GB2312" w:hAnsi="仿宋_GB2312" w:eastAsia="仿宋_GB2312" w:cs="仿宋_GB2312"/>
          <w:color w:val="000000"/>
          <w:sz w:val="32"/>
          <w:szCs w:val="32"/>
        </w:rPr>
      </w:pPr>
    </w:p>
    <w:p>
      <w:pPr>
        <w:widowControl/>
        <w:spacing w:line="600" w:lineRule="exact"/>
        <w:ind w:firstLine="645"/>
        <w:jc w:val="right"/>
        <w:textAlignment w:val="baseline"/>
        <w:rPr>
          <w:rFonts w:hint="eastAsia" w:ascii="仿宋_GB2312" w:hAnsi="仿宋_GB2312" w:eastAsia="仿宋_GB2312" w:cs="仿宋_GB2312"/>
          <w:color w:val="000000"/>
          <w:sz w:val="32"/>
          <w:szCs w:val="32"/>
        </w:rPr>
      </w:pPr>
    </w:p>
    <w:p>
      <w:pPr>
        <w:widowControl/>
        <w:spacing w:line="600" w:lineRule="exact"/>
        <w:ind w:firstLine="645"/>
        <w:jc w:val="righ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粤府土审（02）〔20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189</w:t>
      </w:r>
      <w:r>
        <w:rPr>
          <w:rFonts w:hint="eastAsia" w:ascii="仿宋_GB2312" w:hAnsi="仿宋_GB2312" w:eastAsia="仿宋_GB2312" w:cs="仿宋_GB2312"/>
          <w:color w:val="000000"/>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color w:val="000000"/>
          <w:sz w:val="44"/>
          <w:szCs w:val="44"/>
          <w:highlight w:val="none"/>
          <w:lang w:val="en-US" w:eastAsia="zh-CN"/>
        </w:rPr>
      </w:pPr>
      <w:r>
        <w:rPr>
          <w:rFonts w:hint="eastAsia" w:ascii="方正小标宋简体" w:hAnsi="方正小标宋简体" w:eastAsia="方正小标宋简体" w:cs="方正小标宋简体"/>
          <w:bCs/>
          <w:color w:val="000000"/>
          <w:sz w:val="44"/>
          <w:szCs w:val="44"/>
          <w:highlight w:val="none"/>
        </w:rPr>
        <w:t>广东省人民政府关于广州市</w:t>
      </w:r>
      <w:r>
        <w:rPr>
          <w:rFonts w:hint="eastAsia" w:ascii="方正小标宋简体" w:hAnsi="方正小标宋简体" w:eastAsia="方正小标宋简体" w:cs="方正小标宋简体"/>
          <w:bCs/>
          <w:color w:val="000000"/>
          <w:sz w:val="44"/>
          <w:szCs w:val="44"/>
          <w:highlight w:val="none"/>
          <w:lang w:eastAsia="zh-CN"/>
        </w:rPr>
        <w:t>增城</w:t>
      </w:r>
      <w:r>
        <w:rPr>
          <w:rFonts w:hint="eastAsia" w:ascii="方正小标宋简体" w:hAnsi="方正小标宋简体" w:eastAsia="方正小标宋简体" w:cs="方正小标宋简体"/>
          <w:bCs/>
          <w:color w:val="000000"/>
          <w:sz w:val="44"/>
          <w:szCs w:val="44"/>
          <w:highlight w:val="none"/>
        </w:rPr>
        <w:t>区</w:t>
      </w:r>
      <w:r>
        <w:rPr>
          <w:rFonts w:hint="eastAsia" w:ascii="方正小标宋简体" w:hAnsi="方正小标宋简体" w:eastAsia="方正小标宋简体" w:cs="方正小标宋简体"/>
          <w:bCs/>
          <w:color w:val="000000"/>
          <w:sz w:val="44"/>
          <w:szCs w:val="44"/>
          <w:highlight w:val="none"/>
          <w:lang w:val="en-US" w:eastAsia="zh-CN"/>
        </w:rPr>
        <w:t>2022</w:t>
      </w:r>
    </w:p>
    <w:p>
      <w:pPr>
        <w:spacing w:line="560" w:lineRule="exact"/>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年度第</w:t>
      </w:r>
      <w:r>
        <w:rPr>
          <w:rFonts w:hint="eastAsia" w:ascii="方正小标宋简体" w:hAnsi="方正小标宋简体" w:eastAsia="方正小标宋简体" w:cs="方正小标宋简体"/>
          <w:bCs/>
          <w:color w:val="000000"/>
          <w:sz w:val="44"/>
          <w:szCs w:val="44"/>
          <w:highlight w:val="none"/>
          <w:lang w:eastAsia="zh-CN"/>
        </w:rPr>
        <w:t>八十五</w:t>
      </w:r>
      <w:r>
        <w:rPr>
          <w:rFonts w:hint="eastAsia" w:ascii="方正小标宋简体" w:hAnsi="方正小标宋简体" w:eastAsia="方正小标宋简体" w:cs="方正小标宋简体"/>
          <w:bCs/>
          <w:color w:val="000000"/>
          <w:sz w:val="44"/>
          <w:szCs w:val="44"/>
          <w:highlight w:val="none"/>
        </w:rPr>
        <w:t>批次城镇建设用地</w:t>
      </w:r>
    </w:p>
    <w:p>
      <w:pPr>
        <w:spacing w:line="560" w:lineRule="exact"/>
        <w:jc w:val="center"/>
        <w:rPr>
          <w:rFonts w:hint="eastAsia" w:ascii="方正小标宋简体" w:hAnsi="方正小标宋简体" w:eastAsia="方正小标宋简体" w:cs="方正小标宋简体"/>
          <w:bCs/>
          <w:color w:val="auto"/>
          <w:sz w:val="44"/>
          <w:szCs w:val="44"/>
          <w:highlight w:val="none"/>
          <w:u w:val="none"/>
        </w:rPr>
      </w:pPr>
      <w:r>
        <w:rPr>
          <w:rFonts w:hint="eastAsia" w:ascii="方正小标宋简体" w:hAnsi="方正小标宋简体" w:eastAsia="方正小标宋简体" w:cs="方正小标宋简体"/>
          <w:bCs/>
          <w:color w:val="000000"/>
          <w:sz w:val="44"/>
          <w:szCs w:val="44"/>
          <w:highlight w:val="none"/>
          <w:lang w:eastAsia="zh-CN"/>
        </w:rPr>
        <w:t>（增减挂钩）</w:t>
      </w:r>
      <w:r>
        <w:rPr>
          <w:rFonts w:hint="eastAsia" w:ascii="方正小标宋简体" w:hAnsi="方正小标宋简体" w:eastAsia="方正小标宋简体" w:cs="方正小标宋简体"/>
          <w:bCs/>
          <w:color w:val="auto"/>
          <w:sz w:val="44"/>
          <w:szCs w:val="44"/>
          <w:highlight w:val="none"/>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广州市人民政府：</w:t>
      </w:r>
    </w:p>
    <w:p>
      <w:pPr>
        <w:widowControl/>
        <w:spacing w:line="560" w:lineRule="exact"/>
        <w:ind w:firstLine="645"/>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《广州市规划和自然资源局关于审批广州市</w:t>
      </w:r>
      <w:r>
        <w:rPr>
          <w:rFonts w:hint="eastAsia" w:ascii="仿宋_GB2312" w:hAnsi="仿宋_GB2312" w:eastAsia="仿宋_GB2312" w:cs="仿宋_GB2312"/>
          <w:color w:val="auto"/>
          <w:sz w:val="32"/>
          <w:szCs w:val="32"/>
          <w:highlight w:val="none"/>
          <w:u w:val="none"/>
          <w:lang w:eastAsia="zh-CN"/>
        </w:rPr>
        <w:t>增城</w:t>
      </w:r>
      <w:r>
        <w:rPr>
          <w:rFonts w:hint="eastAsia" w:ascii="仿宋_GB2312" w:hAnsi="仿宋_GB2312" w:eastAsia="仿宋_GB2312" w:cs="仿宋_GB2312"/>
          <w:color w:val="auto"/>
          <w:sz w:val="32"/>
          <w:szCs w:val="32"/>
          <w:highlight w:val="none"/>
          <w:u w:val="none"/>
        </w:rPr>
        <w:t>区</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仿宋_GB2312" w:eastAsia="仿宋_GB2312" w:cs="仿宋_GB2312"/>
          <w:color w:val="auto"/>
          <w:sz w:val="32"/>
          <w:szCs w:val="32"/>
          <w:highlight w:val="none"/>
          <w:u w:val="none"/>
        </w:rPr>
        <w:t>年度第</w:t>
      </w:r>
      <w:r>
        <w:rPr>
          <w:rFonts w:hint="eastAsia" w:ascii="仿宋_GB2312" w:hAnsi="仿宋_GB2312" w:eastAsia="仿宋_GB2312" w:cs="仿宋_GB2312"/>
          <w:color w:val="auto"/>
          <w:sz w:val="32"/>
          <w:szCs w:val="32"/>
          <w:highlight w:val="none"/>
          <w:u w:val="none"/>
          <w:lang w:eastAsia="zh-CN"/>
        </w:rPr>
        <w:t>八十五</w:t>
      </w:r>
      <w:r>
        <w:rPr>
          <w:rFonts w:hint="eastAsia" w:ascii="仿宋_GB2312" w:hAnsi="仿宋_GB2312" w:eastAsia="仿宋_GB2312" w:cs="仿宋_GB2312"/>
          <w:color w:val="auto"/>
          <w:sz w:val="32"/>
          <w:szCs w:val="32"/>
          <w:highlight w:val="none"/>
          <w:u w:val="none"/>
        </w:rPr>
        <w:t>批次城镇建设用地</w:t>
      </w:r>
      <w:r>
        <w:rPr>
          <w:rFonts w:hint="eastAsia" w:ascii="仿宋_GB2312" w:hAnsi="仿宋_GB2312" w:eastAsia="仿宋_GB2312" w:cs="仿宋_GB2312"/>
          <w:color w:val="auto"/>
          <w:sz w:val="32"/>
          <w:szCs w:val="32"/>
          <w:highlight w:val="none"/>
          <w:u w:val="none"/>
          <w:lang w:eastAsia="zh-CN"/>
        </w:rPr>
        <w:t>（增减挂钩）</w:t>
      </w:r>
      <w:r>
        <w:rPr>
          <w:rFonts w:hint="eastAsia" w:ascii="仿宋_GB2312" w:hAnsi="仿宋_GB2312" w:eastAsia="仿宋_GB2312" w:cs="仿宋_GB2312"/>
          <w:color w:val="auto"/>
          <w:sz w:val="32"/>
          <w:szCs w:val="32"/>
          <w:highlight w:val="none"/>
          <w:u w:val="none"/>
        </w:rPr>
        <w:t>的请示》（</w:t>
      </w:r>
      <w:r>
        <w:rPr>
          <w:rFonts w:hint="eastAsia" w:ascii="仿宋_GB2312" w:hAnsi="仿宋_GB2312" w:eastAsia="仿宋_GB2312" w:cs="仿宋_GB2312"/>
          <w:color w:val="auto"/>
          <w:sz w:val="32"/>
          <w:szCs w:val="32"/>
          <w:u w:val="none"/>
          <w:lang w:eastAsia="zh-CN"/>
        </w:rPr>
        <w:t>穗规划资源（用地）报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2023</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315</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lang w:val="en-US" w:eastAsia="zh-CN"/>
        </w:rPr>
        <w:t>《广州市增城区人民政府</w:t>
      </w:r>
      <w:r>
        <w:rPr>
          <w:rFonts w:hint="eastAsia" w:ascii="仿宋_GB2312" w:hAnsi="仿宋_GB2312" w:eastAsia="仿宋_GB2312" w:cs="仿宋_GB2312"/>
          <w:sz w:val="32"/>
          <w:szCs w:val="32"/>
          <w:lang w:eastAsia="zh-CN"/>
        </w:rPr>
        <w:t>关于申请广州市增城区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年度第八十五批次城镇建设用地（增减挂钩）</w:t>
      </w:r>
      <w:r>
        <w:rPr>
          <w:rFonts w:hint="eastAsia" w:ascii="仿宋_GB2312" w:hAnsi="仿宋_GB2312" w:eastAsia="仿宋_GB2312" w:cs="仿宋_GB2312"/>
          <w:sz w:val="32"/>
          <w:szCs w:val="32"/>
          <w:lang w:val="en-US" w:eastAsia="zh-CN"/>
        </w:rPr>
        <w:t>土地征收</w:t>
      </w:r>
      <w:r>
        <w:rPr>
          <w:rFonts w:hint="eastAsia" w:ascii="仿宋_GB2312" w:hAnsi="仿宋_GB2312" w:eastAsia="仿宋_GB2312" w:cs="仿宋_GB2312"/>
          <w:sz w:val="32"/>
          <w:szCs w:val="32"/>
          <w:lang w:eastAsia="zh-CN"/>
        </w:rPr>
        <w:t>的请示》</w:t>
      </w:r>
      <w:r>
        <w:rPr>
          <w:rFonts w:hint="eastAsia" w:ascii="仿宋_GB2312" w:hAnsi="仿宋_GB2312" w:eastAsia="仿宋_GB2312" w:cs="仿宋_GB2312"/>
          <w:sz w:val="32"/>
          <w:szCs w:val="32"/>
          <w:lang w:val="en-US" w:eastAsia="zh-CN"/>
        </w:rPr>
        <w:t>（增府报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color w:val="auto"/>
          <w:sz w:val="32"/>
          <w:szCs w:val="32"/>
          <w:highlight w:val="none"/>
          <w:u w:val="none"/>
        </w:rPr>
        <w:t>及相关材料已通过审核。根据《中华人民共和国土地管理法》第四十四、</w:t>
      </w:r>
      <w:r>
        <w:rPr>
          <w:rFonts w:hint="eastAsia" w:ascii="仿宋_GB2312" w:hAnsi="仿宋_GB2312" w:eastAsia="仿宋_GB2312" w:cs="仿宋_GB2312"/>
          <w:color w:val="auto"/>
          <w:sz w:val="32"/>
          <w:szCs w:val="32"/>
          <w:highlight w:val="none"/>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条以及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广东省土地管理条例》第二十</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条的有关规定，批复如下：</w:t>
      </w:r>
    </w:p>
    <w:p>
      <w:pPr>
        <w:widowControl/>
        <w:numPr>
          <w:ilvl w:val="0"/>
          <w:numId w:val="1"/>
        </w:numPr>
        <w:spacing w:line="560" w:lineRule="exact"/>
        <w:ind w:firstLine="645"/>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该批次用地属使用</w:t>
      </w:r>
      <w:r>
        <w:rPr>
          <w:rFonts w:hint="eastAsia" w:ascii="仿宋_GB2312" w:hAnsi="仿宋_GB2312" w:eastAsia="仿宋_GB2312" w:cs="仿宋_GB2312"/>
          <w:color w:val="auto"/>
          <w:sz w:val="32"/>
          <w:szCs w:val="32"/>
          <w:highlight w:val="none"/>
          <w:u w:val="none"/>
          <w:lang w:val="zh-CN"/>
        </w:rPr>
        <w:t>跨省调剂城乡建设用地增减挂钩节余指标的用地，建新方案已获批复（粤自然资（穗）函〔</w:t>
      </w:r>
      <w:r>
        <w:rPr>
          <w:rFonts w:hint="eastAsia" w:ascii="仿宋_GB2312" w:hAnsi="仿宋_GB2312" w:eastAsia="仿宋_GB2312" w:cs="仿宋_GB2312"/>
          <w:color w:val="auto"/>
          <w:sz w:val="32"/>
          <w:szCs w:val="32"/>
          <w:highlight w:val="none"/>
          <w:u w:val="none"/>
        </w:rPr>
        <w:t>20</w:t>
      </w:r>
      <w:r>
        <w:rPr>
          <w:rFonts w:hint="eastAsia"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lang w:val="en-US" w:eastAsia="zh-CN"/>
        </w:rPr>
        <w:t>67</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val="zh-CN"/>
        </w:rPr>
        <w:t>），不再单独办理农用地转用审批手续。</w:t>
      </w:r>
    </w:p>
    <w:p>
      <w:pPr>
        <w:pStyle w:val="5"/>
        <w:widowControl w:val="0"/>
        <w:autoSpaceDE w:val="0"/>
        <w:autoSpaceDN w:val="0"/>
        <w:spacing w:line="58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同意使用</w:t>
      </w:r>
      <w:r>
        <w:rPr>
          <w:rFonts w:hint="eastAsia" w:ascii="仿宋_GB2312" w:hAnsi="仿宋_GB2312" w:eastAsia="仿宋_GB2312" w:cs="仿宋_GB2312"/>
          <w:color w:val="auto"/>
          <w:sz w:val="32"/>
          <w:szCs w:val="32"/>
          <w:lang w:val="en-US" w:eastAsia="zh-CN"/>
        </w:rPr>
        <w:t>16.7120</w:t>
      </w:r>
      <w:r>
        <w:rPr>
          <w:rFonts w:hint="eastAsia" w:ascii="仿宋_GB2312" w:hAnsi="仿宋_GB2312" w:eastAsia="仿宋_GB2312" w:cs="仿宋_GB2312"/>
          <w:color w:val="auto"/>
          <w:sz w:val="32"/>
          <w:szCs w:val="32"/>
        </w:rPr>
        <w:t>公顷城</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highlight w:val="none"/>
        </w:rPr>
        <w:t>设用地</w:t>
      </w:r>
      <w:r>
        <w:rPr>
          <w:rFonts w:hint="eastAsia" w:ascii="仿宋_GB2312" w:hAnsi="仿宋_GB2312" w:eastAsia="仿宋_GB2312" w:cs="仿宋_GB2312"/>
          <w:color w:val="auto"/>
          <w:sz w:val="32"/>
          <w:szCs w:val="32"/>
          <w:highlight w:val="none"/>
          <w:u w:val="none"/>
          <w:lang w:eastAsia="zh-CN"/>
        </w:rPr>
        <w:t>，即</w:t>
      </w:r>
      <w:r>
        <w:rPr>
          <w:rFonts w:hint="eastAsia" w:ascii="仿宋_GB2312" w:hAnsi="仿宋_GB2312" w:eastAsia="仿宋_GB2312" w:cs="仿宋_GB2312"/>
          <w:color w:val="auto"/>
          <w:sz w:val="32"/>
          <w:szCs w:val="32"/>
          <w:highlight w:val="none"/>
          <w:u w:val="none"/>
        </w:rPr>
        <w:t>同意你市将</w:t>
      </w:r>
      <w:r>
        <w:rPr>
          <w:rFonts w:hint="eastAsia" w:ascii="仿宋_GB2312" w:hAnsi="仿宋_GB2312" w:eastAsia="仿宋_GB2312" w:cs="仿宋_GB2312"/>
          <w:color w:val="auto"/>
          <w:sz w:val="32"/>
          <w:szCs w:val="32"/>
          <w:highlight w:val="none"/>
          <w:u w:val="none"/>
          <w:lang w:eastAsia="zh-CN"/>
        </w:rPr>
        <w:t>增城</w:t>
      </w:r>
      <w:r>
        <w:rPr>
          <w:rFonts w:hint="eastAsia" w:ascii="仿宋_GB2312" w:hAnsi="仿宋_GB2312" w:eastAsia="仿宋_GB2312" w:cs="仿宋_GB2312"/>
          <w:color w:val="auto"/>
          <w:sz w:val="32"/>
          <w:szCs w:val="32"/>
          <w:highlight w:val="none"/>
          <w:u w:val="none"/>
        </w:rPr>
        <w:t>区</w:t>
      </w:r>
      <w:r>
        <w:rPr>
          <w:rFonts w:hint="eastAsia" w:ascii="仿宋_GB2312" w:hAnsi="仿宋_GB2312" w:eastAsia="仿宋_GB2312" w:cs="仿宋_GB2312"/>
          <w:color w:val="auto"/>
          <w:sz w:val="32"/>
          <w:szCs w:val="32"/>
          <w:highlight w:val="none"/>
          <w:u w:val="none"/>
          <w:lang w:eastAsia="zh-CN"/>
        </w:rPr>
        <w:t>新塘</w:t>
      </w:r>
      <w:r>
        <w:rPr>
          <w:rFonts w:hint="eastAsia" w:ascii="仿宋_GB2312" w:hAnsi="仿宋_GB2312" w:eastAsia="仿宋_GB2312" w:cs="仿宋_GB2312"/>
          <w:color w:val="auto"/>
          <w:sz w:val="32"/>
          <w:szCs w:val="32"/>
          <w:highlight w:val="none"/>
          <w:u w:val="none"/>
        </w:rPr>
        <w:t>镇</w:t>
      </w:r>
      <w:r>
        <w:rPr>
          <w:rFonts w:hint="eastAsia" w:ascii="仿宋_GB2312" w:hAnsi="仿宋_GB2312" w:eastAsia="仿宋_GB2312" w:cs="仿宋_GB2312"/>
          <w:color w:val="auto"/>
          <w:sz w:val="32"/>
          <w:szCs w:val="32"/>
          <w:highlight w:val="none"/>
          <w:u w:val="none"/>
          <w:lang w:eastAsia="zh-CN"/>
        </w:rPr>
        <w:t>新墩村</w:t>
      </w:r>
      <w:r>
        <w:rPr>
          <w:rFonts w:hint="eastAsia" w:ascii="仿宋_GB2312" w:hAnsi="仿宋_GB2312" w:eastAsia="仿宋_GB2312" w:cs="仿宋_GB2312"/>
          <w:color w:val="auto"/>
          <w:sz w:val="32"/>
          <w:szCs w:val="32"/>
          <w:highlight w:val="none"/>
          <w:u w:val="none"/>
        </w:rPr>
        <w:t>属下的集体农用地</w:t>
      </w:r>
      <w:r>
        <w:rPr>
          <w:rFonts w:hint="eastAsia" w:ascii="仿宋_GB2312" w:hAnsi="仿宋_GB2312" w:eastAsia="仿宋_GB2312" w:cs="仿宋_GB2312"/>
          <w:color w:val="auto"/>
          <w:sz w:val="32"/>
          <w:szCs w:val="32"/>
          <w:highlight w:val="none"/>
          <w:u w:val="none"/>
          <w:lang w:val="en-US" w:eastAsia="zh-CN"/>
        </w:rPr>
        <w:t>14.6501</w:t>
      </w:r>
      <w:r>
        <w:rPr>
          <w:rFonts w:hint="eastAsia" w:ascii="仿宋_GB2312" w:hAnsi="仿宋_GB2312" w:eastAsia="仿宋_GB2312" w:cs="仿宋_GB2312"/>
          <w:color w:val="auto"/>
          <w:sz w:val="32"/>
          <w:szCs w:val="32"/>
          <w:highlight w:val="none"/>
          <w:u w:val="none"/>
        </w:rPr>
        <w:t>公顷（</w:t>
      </w:r>
      <w:r>
        <w:rPr>
          <w:rFonts w:hint="eastAsia" w:ascii="仿宋_GB2312" w:hAnsi="仿宋_GB2312" w:eastAsia="仿宋_GB2312" w:cs="仿宋_GB2312"/>
          <w:color w:val="auto"/>
          <w:sz w:val="32"/>
          <w:szCs w:val="32"/>
          <w:highlight w:val="none"/>
          <w:u w:val="none"/>
          <w:lang w:eastAsia="zh-CN"/>
        </w:rPr>
        <w:t>其中</w:t>
      </w:r>
      <w:r>
        <w:rPr>
          <w:rFonts w:hint="eastAsia" w:ascii="仿宋_GB2312" w:hAnsi="仿宋_GB2312" w:eastAsia="仿宋_GB2312" w:cs="仿宋_GB2312"/>
          <w:color w:val="auto"/>
          <w:sz w:val="32"/>
          <w:szCs w:val="32"/>
          <w:highlight w:val="none"/>
          <w:u w:val="none"/>
        </w:rPr>
        <w:t>耕地</w:t>
      </w:r>
      <w:r>
        <w:rPr>
          <w:rFonts w:hint="eastAsia" w:ascii="仿宋_GB2312" w:hAnsi="仿宋_GB2312" w:eastAsia="仿宋_GB2312" w:cs="仿宋_GB2312"/>
          <w:color w:val="auto"/>
          <w:sz w:val="32"/>
          <w:szCs w:val="32"/>
          <w:highlight w:val="none"/>
          <w:u w:val="none"/>
          <w:lang w:val="en-US" w:eastAsia="zh-CN"/>
        </w:rPr>
        <w:t>7.9655</w:t>
      </w:r>
      <w:r>
        <w:rPr>
          <w:rFonts w:hint="eastAsia" w:ascii="仿宋_GB2312" w:hAnsi="仿宋_GB2312" w:eastAsia="仿宋_GB2312" w:cs="仿宋_GB2312"/>
          <w:color w:val="auto"/>
          <w:sz w:val="32"/>
          <w:szCs w:val="32"/>
          <w:highlight w:val="none"/>
          <w:u w:val="none"/>
        </w:rPr>
        <w:t>公顷）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未利用地</w:t>
      </w:r>
      <w:r>
        <w:rPr>
          <w:rFonts w:hint="eastAsia" w:ascii="仿宋_GB2312" w:hAnsi="仿宋_GB2312" w:eastAsia="仿宋_GB2312" w:cs="仿宋_GB2312"/>
          <w:color w:val="auto"/>
          <w:sz w:val="32"/>
          <w:szCs w:val="32"/>
          <w:highlight w:val="none"/>
          <w:u w:val="none"/>
          <w:lang w:val="en-US" w:eastAsia="zh-CN"/>
        </w:rPr>
        <w:t>1.3185</w:t>
      </w:r>
      <w:r>
        <w:rPr>
          <w:rFonts w:hint="eastAsia" w:ascii="仿宋_GB2312" w:hAnsi="仿宋_GB2312" w:eastAsia="仿宋_GB2312" w:cs="仿宋_GB2312"/>
          <w:color w:val="auto"/>
          <w:sz w:val="32"/>
          <w:szCs w:val="32"/>
          <w:highlight w:val="none"/>
          <w:u w:val="none"/>
        </w:rPr>
        <w:t>公顷转为建设用地，同时使用上述有关村集体建设用地</w:t>
      </w:r>
      <w:r>
        <w:rPr>
          <w:rFonts w:hint="eastAsia" w:ascii="仿宋_GB2312" w:hAnsi="仿宋_GB2312" w:eastAsia="仿宋_GB2312" w:cs="仿宋_GB2312"/>
          <w:color w:val="auto"/>
          <w:sz w:val="32"/>
          <w:szCs w:val="32"/>
          <w:highlight w:val="none"/>
          <w:u w:val="none"/>
          <w:lang w:val="en-US" w:eastAsia="zh-CN"/>
        </w:rPr>
        <w:t>0.7434</w:t>
      </w:r>
      <w:r>
        <w:rPr>
          <w:rFonts w:hint="eastAsia" w:ascii="仿宋_GB2312" w:hAnsi="仿宋_GB2312" w:eastAsia="仿宋_GB2312" w:cs="仿宋_GB2312"/>
          <w:color w:val="auto"/>
          <w:sz w:val="32"/>
          <w:szCs w:val="32"/>
          <w:highlight w:val="none"/>
          <w:u w:val="none"/>
        </w:rPr>
        <w:t>公顷，以上合计</w:t>
      </w:r>
      <w:r>
        <w:rPr>
          <w:rFonts w:hint="eastAsia" w:ascii="仿宋_GB2312" w:hAnsi="仿宋_GB2312" w:eastAsia="仿宋_GB2312" w:cs="仿宋_GB2312"/>
          <w:color w:val="auto"/>
          <w:sz w:val="32"/>
          <w:szCs w:val="32"/>
          <w:highlight w:val="none"/>
          <w:u w:val="none"/>
          <w:lang w:val="en-US" w:eastAsia="zh-CN"/>
        </w:rPr>
        <w:t>16.7120</w:t>
      </w:r>
      <w:r>
        <w:rPr>
          <w:rFonts w:hint="eastAsia" w:ascii="仿宋_GB2312" w:hAnsi="仿宋_GB2312" w:eastAsia="仿宋_GB2312" w:cs="仿宋_GB2312"/>
          <w:color w:val="auto"/>
          <w:sz w:val="32"/>
          <w:szCs w:val="32"/>
          <w:highlight w:val="none"/>
          <w:u w:val="none"/>
        </w:rPr>
        <w:t>公顷集体土地一并办理</w:t>
      </w:r>
      <w:r>
        <w:rPr>
          <w:rFonts w:hint="eastAsia" w:ascii="仿宋_GB2312" w:hAnsi="仿宋_GB2312" w:eastAsia="仿宋_GB2312" w:cs="仿宋_GB2312"/>
          <w:color w:val="auto"/>
          <w:sz w:val="32"/>
          <w:szCs w:val="32"/>
          <w:highlight w:val="none"/>
          <w:u w:val="none"/>
          <w:lang w:eastAsia="zh-CN"/>
        </w:rPr>
        <w:t>征地</w:t>
      </w:r>
      <w:r>
        <w:rPr>
          <w:rFonts w:hint="eastAsia" w:ascii="仿宋_GB2312" w:hAnsi="仿宋_GB2312" w:eastAsia="仿宋_GB2312" w:cs="仿宋_GB2312"/>
          <w:color w:val="auto"/>
          <w:sz w:val="32"/>
          <w:szCs w:val="32"/>
          <w:highlight w:val="none"/>
          <w:u w:val="none"/>
        </w:rPr>
        <w:t>手续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上述土地经完善征收手续后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color w:val="000000"/>
          <w:kern w:val="0"/>
          <w:sz w:val="32"/>
          <w:szCs w:val="32"/>
          <w:u w:val="none"/>
          <w:lang w:val="en-US" w:eastAsia="zh-CN" w:bidi="ar"/>
        </w:rPr>
        <w:t>当地人民政府按照土地利用总体规划和城乡规划确定的用途供应</w:t>
      </w:r>
      <w:r>
        <w:rPr>
          <w:rFonts w:hint="eastAsia" w:ascii="仿宋_GB2312" w:hAnsi="仿宋_GB2312" w:eastAsia="仿宋_GB2312" w:cs="仿宋_GB2312"/>
          <w:color w:val="000000"/>
          <w:sz w:val="32"/>
          <w:szCs w:val="32"/>
        </w:rPr>
        <w:t>。</w:t>
      </w:r>
    </w:p>
    <w:p>
      <w:pPr>
        <w:widowControl/>
        <w:spacing w:line="560" w:lineRule="exact"/>
        <w:ind w:firstLine="645"/>
        <w:textAlignment w:val="baseline"/>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b w:val="0"/>
          <w:bCs w:val="0"/>
          <w:color w:val="000000"/>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000000"/>
          <w:kern w:val="0"/>
          <w:sz w:val="32"/>
          <w:szCs w:val="32"/>
          <w:lang w:val="en-US" w:eastAsia="zh-CN" w:bidi="ar"/>
        </w:rPr>
        <w:t>。</w:t>
      </w:r>
    </w:p>
    <w:p>
      <w:pPr>
        <w:widowControl/>
        <w:spacing w:line="560" w:lineRule="exact"/>
        <w:ind w:firstLine="645"/>
        <w:textAlignment w:val="baseline"/>
        <w:rPr>
          <w:rFonts w:hint="eastAsia" w:ascii="仿宋_GB2312" w:hAnsi="仿宋_GB2312" w:eastAsia="仿宋_GB2312" w:cs="仿宋_GB2312"/>
          <w:b w:val="0"/>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、征地批后实施情况和具体项目供地情况须按规定报备。</w:t>
      </w:r>
    </w:p>
    <w:p>
      <w:pPr>
        <w:widowControl/>
        <w:spacing w:line="600" w:lineRule="exact"/>
        <w:textAlignment w:val="baseline"/>
        <w:rPr>
          <w:rFonts w:hint="eastAsia" w:ascii="仿宋_GB2312" w:hAnsi="仿宋_GB2312" w:eastAsia="仿宋_GB2312" w:cs="仿宋_GB2312"/>
          <w:color w:val="auto"/>
          <w:sz w:val="32"/>
          <w:szCs w:val="32"/>
          <w:u w:val="none"/>
        </w:rPr>
      </w:pPr>
    </w:p>
    <w:p>
      <w:pPr>
        <w:pStyle w:val="2"/>
        <w:rPr>
          <w:rFonts w:hint="eastAsia"/>
        </w:rPr>
      </w:pPr>
    </w:p>
    <w:p>
      <w:pPr>
        <w:widowControl/>
        <w:spacing w:line="600" w:lineRule="exact"/>
        <w:textAlignment w:val="baseline"/>
        <w:rPr>
          <w:rFonts w:hint="eastAsia" w:ascii="仿宋_GB2312" w:hAnsi="仿宋_GB2312" w:eastAsia="仿宋_GB2312" w:cs="仿宋_GB2312"/>
          <w:color w:val="auto"/>
          <w:sz w:val="32"/>
          <w:szCs w:val="32"/>
          <w:u w:val="none"/>
        </w:rPr>
      </w:pPr>
    </w:p>
    <w:p>
      <w:pPr>
        <w:widowControl/>
        <w:spacing w:line="60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highlight w:val="none"/>
          <w:u w:val="none"/>
        </w:rPr>
        <w:t>广东省人民政府</w:t>
      </w:r>
    </w:p>
    <w:p>
      <w:pPr>
        <w:widowControl/>
        <w:spacing w:line="600" w:lineRule="exact"/>
        <w:ind w:firstLine="645"/>
        <w:jc w:val="center"/>
        <w:textAlignment w:val="baseline"/>
        <w:rPr>
          <w:rFonts w:hint="eastAsia" w:eastAsia="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 xml:space="preserve">      2023</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highlight w:val="none"/>
          <w:u w:val="none"/>
          <w:lang w:val="en-US" w:eastAsia="zh-CN"/>
        </w:rPr>
        <w:t>26</w:t>
      </w:r>
      <w:bookmarkStart w:id="0" w:name="_GoBack"/>
      <w:bookmarkEnd w:id="0"/>
      <w:r>
        <w:rPr>
          <w:rFonts w:hint="eastAsia" w:ascii="仿宋_GB2312" w:hAnsi="仿宋_GB2312" w:eastAsia="仿宋_GB2312" w:cs="仿宋_GB2312"/>
          <w:color w:val="auto"/>
          <w:sz w:val="32"/>
          <w:szCs w:val="32"/>
          <w:u w:val="none"/>
        </w:rPr>
        <w:t>日</w:t>
      </w:r>
    </w:p>
    <w:p>
      <w:pPr>
        <w:widowControl/>
        <w:spacing w:line="600" w:lineRule="exact"/>
        <w:textAlignment w:val="baseline"/>
        <w:rPr>
          <w:rFonts w:hint="eastAsia" w:eastAsia="仿宋_GB2312"/>
          <w:color w:val="auto"/>
          <w:sz w:val="32"/>
          <w:szCs w:val="32"/>
          <w:u w:val="none"/>
        </w:rPr>
      </w:pPr>
    </w:p>
    <w:p>
      <w:pPr>
        <w:pStyle w:val="2"/>
        <w:rPr>
          <w:rFonts w:hint="eastAsia" w:eastAsia="仿宋_GB2312"/>
          <w:color w:val="auto"/>
          <w:sz w:val="32"/>
          <w:szCs w:val="32"/>
          <w:u w:val="none"/>
        </w:rPr>
      </w:pPr>
    </w:p>
    <w:p>
      <w:pPr>
        <w:rPr>
          <w:rFonts w:hint="eastAsia" w:eastAsia="仿宋_GB2312"/>
          <w:color w:val="auto"/>
          <w:sz w:val="32"/>
          <w:szCs w:val="32"/>
          <w:u w:val="none"/>
        </w:rPr>
      </w:pPr>
    </w:p>
    <w:p>
      <w:pPr>
        <w:pStyle w:val="2"/>
        <w:jc w:val="both"/>
        <w:rPr>
          <w:rFonts w:hint="eastAsia" w:eastAsia="仿宋_GB2312"/>
          <w:color w:val="auto"/>
          <w:sz w:val="32"/>
          <w:szCs w:val="32"/>
          <w:u w:val="none"/>
        </w:rPr>
      </w:pPr>
    </w:p>
    <w:p>
      <w:pPr>
        <w:rPr>
          <w:rFonts w:hint="eastAsia"/>
        </w:rPr>
      </w:pPr>
    </w:p>
    <w:p>
      <w:pPr>
        <w:spacing w:line="600" w:lineRule="exact"/>
        <w:rPr>
          <w:rFonts w:hint="eastAsia" w:ascii="黑体" w:hAnsi="黑体" w:eastAsia="黑体"/>
          <w:color w:val="auto"/>
          <w:sz w:val="32"/>
          <w:szCs w:val="32"/>
          <w:u w:val="none"/>
        </w:rPr>
      </w:pPr>
      <w:r>
        <w:rPr>
          <w:rFonts w:hint="eastAsia" w:ascii="黑体" w:hAnsi="黑体" w:eastAsia="黑体"/>
          <w:color w:val="auto"/>
          <w:sz w:val="32"/>
          <w:szCs w:val="32"/>
          <w:u w:val="none"/>
        </w:rPr>
        <w:t>公开方式：</w:t>
      </w:r>
      <w:r>
        <w:rPr>
          <w:rFonts w:hint="eastAsia" w:eastAsia="仿宋_GB2312"/>
          <w:color w:val="auto"/>
          <w:sz w:val="32"/>
          <w:szCs w:val="32"/>
          <w:u w:val="none"/>
        </w:rPr>
        <w:t>主动公开</w:t>
      </w:r>
    </w:p>
    <w:p>
      <w:pPr>
        <w:spacing w:line="600" w:lineRule="exact"/>
        <w:ind w:left="907" w:leftChars="0" w:hanging="907" w:hangingChars="324"/>
        <w:rPr>
          <w:rFonts w:hint="eastAsia" w:eastAsia="仿宋_GB2312"/>
          <w:color w:val="auto"/>
          <w:sz w:val="28"/>
          <w:szCs w:val="28"/>
          <w:u w:val="none"/>
        </w:rPr>
      </w:pPr>
      <w:r>
        <w:rPr>
          <w:rFonts w:hint="eastAsia" w:eastAsia="仿宋_GB2312"/>
          <w:color w:val="auto"/>
          <w:sz w:val="28"/>
          <w:szCs w:val="28"/>
          <w:highlight w:val="none"/>
          <w:u w:val="none"/>
        </w:rPr>
        <w:t>抄送：国家自然资源督察广州局，财政部广东监管局，省财政厅、省人力资源和社会保障厅、省自然资源厅、省农业农村厅、国家税务总局广东省税务局。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C3189"/>
    <w:rsid w:val="00360EF9"/>
    <w:rsid w:val="0E6E0C7C"/>
    <w:rsid w:val="246C3189"/>
    <w:rsid w:val="46CA7641"/>
    <w:rsid w:val="5461431A"/>
    <w:rsid w:val="5A002B7F"/>
    <w:rsid w:val="5A555C54"/>
    <w:rsid w:val="5B1A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2023-10-13T02:45:00Z</dcterms:created>
  <dc:creator>NTKO</dc:creator>
  <cp:lastModifiedBy>NTKO</cp:lastModifiedBy>
  <dcterms:modified xsi:type="dcterms:W3CDTF">2023-11-29T07:26:18Z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75229687412E4423AC2F59A4C7B97492</vt:lpwstr>
  </property>
</Properties>
</file>