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黑体" w:hAnsi="黑体" w:eastAsia="黑体" w:cs="黑体"/>
          <w:caps w:val="0"/>
          <w:color w:val="000000"/>
          <w:spacing w:val="0"/>
          <w:sz w:val="32"/>
          <w:szCs w:val="32"/>
          <w:lang w:val="en-US" w:eastAsia="zh-CN"/>
        </w:rPr>
      </w:pPr>
      <w:r>
        <w:rPr>
          <w:rFonts w:hint="eastAsia" w:ascii="黑体" w:hAnsi="黑体" w:eastAsia="黑体" w:cs="黑体"/>
          <w:caps w:val="0"/>
          <w:color w:val="000000"/>
          <w:spacing w:val="0"/>
          <w:sz w:val="32"/>
          <w:szCs w:val="32"/>
          <w:shd w:val="clear" w:fill="FBFBFB"/>
        </w:rPr>
        <w:t>附件</w:t>
      </w:r>
      <w:r>
        <w:rPr>
          <w:rFonts w:hint="eastAsia" w:ascii="黑体" w:hAnsi="黑体" w:eastAsia="黑体" w:cs="黑体"/>
          <w:caps w:val="0"/>
          <w:color w:val="000000"/>
          <w:spacing w:val="0"/>
          <w:sz w:val="32"/>
          <w:szCs w:val="32"/>
          <w:shd w:val="clear" w:fill="FBFBFB"/>
          <w:lang w:val="en-US" w:eastAsia="zh-CN"/>
        </w:rPr>
        <w:t>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jc w:val="center"/>
        <w:rPr>
          <w:rFonts w:hint="eastAsia" w:ascii="微软雅黑" w:hAnsi="微软雅黑" w:eastAsia="微软雅黑" w:cs="微软雅黑"/>
          <w:caps w:val="0"/>
          <w:color w:val="000000"/>
          <w:spacing w:val="0"/>
          <w:sz w:val="27"/>
          <w:szCs w:val="27"/>
        </w:rPr>
      </w:pPr>
      <w:r>
        <w:rPr>
          <w:rFonts w:hint="eastAsia" w:ascii="方正小标宋简体" w:hAnsi="方正小标宋简体" w:eastAsia="方正小标宋简体" w:cs="方正小标宋简体"/>
          <w:caps w:val="0"/>
          <w:color w:val="000000"/>
          <w:spacing w:val="0"/>
          <w:sz w:val="44"/>
          <w:szCs w:val="44"/>
          <w:shd w:val="clear" w:fill="FBFBFB"/>
        </w:rPr>
        <w:t>考生疫情防控须知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微软雅黑" w:hAnsi="微软雅黑" w:eastAsia="微软雅黑" w:cs="微软雅黑"/>
          <w:caps w:val="0"/>
          <w:color w:val="000000"/>
          <w:spacing w:val="0"/>
          <w:sz w:val="27"/>
          <w:szCs w:val="27"/>
          <w:shd w:val="clear" w:fill="FBFBFB"/>
        </w:rPr>
        <w:t>　　</w:t>
      </w:r>
      <w:r>
        <w:rPr>
          <w:rFonts w:hint="eastAsia" w:ascii="仿宋_GB2312" w:hAnsi="仿宋_GB2312" w:eastAsia="仿宋_GB2312" w:cs="仿宋_GB2312"/>
          <w:caps w:val="0"/>
          <w:color w:val="000000"/>
          <w:spacing w:val="0"/>
          <w:sz w:val="32"/>
          <w:szCs w:val="32"/>
          <w:shd w:val="clear" w:fill="FBFBFB"/>
        </w:rPr>
        <w:t>按照《广东省2022年人事考试疫情防控工作操作指引（第三版）》和最新防疫要求，为保障广大考生和考务工作人员生命安全和身体健康，确保本次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一、考生分类管理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（一）正常参加考试：粤康码为绿码，有考前（以每科目开考时间为准，下同）48 小时内核酸检测阴性证明（电子、纸质同等效力，下同），现场测量体温正常（体温&lt;37.3℃），且不存在下述不得参加考试情况的考生。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（二）不得参加考试：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1.正处于隔离治疗期的确诊病例、无症状感染者，隔离期未满的密切接触者，以及其他正处于集中隔离、居家隔离、居家健康监测的考生；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2.粤康码为红码或黄码的考生；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3.不能提供考前48 小时内核酸检测阴性证明的考生；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4.现场测量体温不正常（体温≥37.3℃），在临时观察区适当休息后使用水银体温计再次测量体温仍然不正常的考生；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5.其他不符合正常参加考试情况的考生。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二、考前准备事项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（一）考生须按要求提前准备考前48小时内核酸检测阴性证明。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（二）考生需自备一次性使用医用口罩或以上级别口罩。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（三）提前做好出行安排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1.考生应提前了解考点入口位置和前往路线。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2.因考点内疫情防控管理要求，社会车辆禁止进入考点。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3.在考点门口入场时，提前准备好身份证、准考证、粤康码、考前48 小时内的核酸检测阴性证明。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三、考试期间义务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（一）配合和服从防疫管理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1. 考生应严格按照考点所在城市、考点的疫情防控要求参加考试。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2. 所有考生在考点期间务必全程规范佩戴口罩，进行身份核验时须摘除口罩。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3. 自觉配合完成检测流程后经规定通道前往考场，在规定区域活动，考后及时离开。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4. 如有相应症状或经检测发现有异常情况的，要服从考务人员管理，接受“不得参加考试”“安排到隔离考场考试”等相关处置。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（二）关注身体状况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105" w:beforeAutospacing="0" w:after="105" w:afterAutospacing="0" w:line="525" w:lineRule="atLeast"/>
        <w:ind w:left="0" w:right="0" w:firstLine="0"/>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BFBFB"/>
        </w:rPr>
        <w:t>　　考试期间考生出现发热（体温≥37.3℃）、咳嗽、乏力等不适症状，应及时报告并自觉服从考务人员管理，由卫生防疫人员研判是否可继续参加考试。</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11454"/>
    <w:rsid w:val="2DFD580C"/>
    <w:rsid w:val="6C87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WPS_305109741</cp:lastModifiedBy>
  <dcterms:modified xsi:type="dcterms:W3CDTF">2022-12-16T08:19:17Z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