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157"/>
        <w:jc w:val="left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157"/>
        <w:jc w:val="right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lang w:eastAsia="zh-CN"/>
        </w:rPr>
        <w:t>增城区2022年基层农技推广体系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lang w:eastAsia="zh-CN"/>
        </w:rPr>
        <w:t>改革与建设补助项目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56"/>
          <w:szCs w:val="56"/>
          <w:lang w:eastAsia="zh-CN"/>
        </w:rPr>
        <w:t>实施主体遴选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1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72"/>
          <w:szCs w:val="72"/>
        </w:rPr>
        <w:t>表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eastAsia="zh-CN"/>
        </w:rPr>
        <w:t>申报类别：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7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申报日期: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/>
        </w:rPr>
        <w:t xml:space="preserve"> 年   月   日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 xml:space="preserve">       </w:t>
      </w:r>
      <w:r>
        <w:rPr>
          <w:rFonts w:ascii="仿宋_GB2312" w:hAnsi="仿宋_GB2312" w:eastAsia="仿宋_GB2312" w:cs="仿宋_GB2312"/>
          <w:snapToGrid w:val="0"/>
          <w:color w:val="auto"/>
          <w:kern w:val="0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  <w:u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70" w:lineRule="exact"/>
        <w:textAlignment w:val="auto"/>
        <w:rPr>
          <w:rFonts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6"/>
          <w:szCs w:val="36"/>
          <w:lang w:eastAsia="zh-CN"/>
        </w:rPr>
        <w:t>广州市增城区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6"/>
          <w:szCs w:val="36"/>
        </w:rPr>
        <w:t>农业农村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6"/>
          <w:szCs w:val="36"/>
          <w:lang w:eastAsia="zh-CN"/>
        </w:rPr>
        <w:t>局</w:t>
      </w:r>
      <w:r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6"/>
          <w:szCs w:val="36"/>
        </w:rPr>
        <w:t>制</w:t>
      </w:r>
    </w:p>
    <w:p>
      <w:pPr>
        <w:pStyle w:val="3"/>
        <w:pageBreakBefore w:val="0"/>
        <w:kinsoku/>
        <w:wordWrap/>
        <w:overflowPunct w:val="0"/>
        <w:topLinePunct w:val="0"/>
        <w:autoSpaceDE/>
        <w:autoSpaceDN/>
        <w:bidi w:val="0"/>
        <w:rPr>
          <w:rFonts w:hint="eastAsia" w:ascii="楷体_GB2312" w:hAnsi="楷体_GB2312" w:eastAsia="楷体_GB2312" w:cs="楷体_GB2312"/>
          <w:b w:val="0"/>
          <w:bCs/>
          <w:snapToGrid w:val="0"/>
          <w:color w:val="auto"/>
          <w:kern w:val="0"/>
          <w:sz w:val="36"/>
          <w:szCs w:val="36"/>
        </w:rPr>
      </w:pPr>
    </w:p>
    <w:tbl>
      <w:tblPr>
        <w:tblStyle w:val="5"/>
        <w:tblW w:w="8970" w:type="dxa"/>
        <w:jc w:val="center"/>
        <w:tblInd w:w="7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8"/>
        <w:gridCol w:w="5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8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eastAsia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黑体" w:eastAsia="黑体"/>
                <w:color w:val="auto"/>
                <w:sz w:val="32"/>
                <w:szCs w:val="32"/>
              </w:rPr>
              <w:t>基本</w:t>
            </w:r>
            <w:r>
              <w:rPr>
                <w:rFonts w:hint="eastAsia" w:ascii="黑体" w:eastAsia="黑体"/>
                <w:color w:val="auto"/>
                <w:sz w:val="32"/>
                <w:szCs w:val="32"/>
                <w:lang w:eastAsia="zh-CN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419" w:leftChars="0" w:right="0" w:hanging="419" w:hangingChars="131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5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5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3.申报种类</w:t>
            </w:r>
          </w:p>
        </w:tc>
        <w:tc>
          <w:tcPr>
            <w:tcW w:w="5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840" w:firstLineChars="300"/>
              <w:jc w:val="both"/>
              <w:rPr>
                <w:rFonts w:hint="default" w:eastAsia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□服务驿站          □示范基地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4.主要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产业</w:t>
            </w:r>
          </w:p>
        </w:tc>
        <w:tc>
          <w:tcPr>
            <w:tcW w:w="5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法人代表</w:t>
            </w:r>
          </w:p>
        </w:tc>
        <w:tc>
          <w:tcPr>
            <w:tcW w:w="5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599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8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二、单位概况、主要业绩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rightChars="0" w:firstLine="640" w:firstLineChars="200"/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包括且不限于：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单位基本情况、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服务对象数量、参加培训、示范推广技术、带动增产增收、优势特色、发展方向、获得荣誉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等情况。（800字左右，可另加附页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pStyle w:val="2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pStyle w:val="2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/>
                <w:color w:val="auto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/>
                <w:color w:val="auto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rPr>
                <w:rFonts w:hint="default"/>
                <w:color w:val="auto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/>
                <w:color w:val="auto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/>
                <w:color w:val="auto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/>
                <w:color w:val="auto"/>
                <w:szCs w:val="22"/>
              </w:rPr>
            </w:pPr>
          </w:p>
          <w:p>
            <w:pPr>
              <w:pStyle w:val="3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rPr>
                <w:rFonts w:hint="default"/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8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建成后达到效果（包括基础建设、示范带动、主推技术推广面积等）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260" w:beforeAutospacing="0" w:after="260" w:afterAutospacing="0" w:line="416" w:lineRule="auto"/>
              <w:ind w:left="0" w:right="0"/>
              <w:jc w:val="both"/>
              <w:outlineLvl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2"/>
                <w:lang w:val="en-US" w:eastAsia="zh-CN"/>
              </w:rPr>
            </w:pPr>
          </w:p>
          <w:p>
            <w:pPr>
              <w:pStyle w:val="2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2"/>
                <w:lang w:val="en-US" w:eastAsia="zh-CN"/>
              </w:rPr>
            </w:pPr>
          </w:p>
          <w:p>
            <w:pPr>
              <w:pStyle w:val="2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申报承诺</w:t>
            </w:r>
          </w:p>
          <w:p>
            <w:pPr>
              <w:keepNext w:val="0"/>
              <w:keepLines w:val="0"/>
              <w:pageBreakBefore w:val="0"/>
              <w:suppressLineNumbers w:val="0"/>
              <w:tabs>
                <w:tab w:val="left" w:pos="58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tabs>
                <w:tab w:val="left" w:pos="58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本单位郑重承诺，所提交的申请材料真实、有效，没有重复申报政府财政补贴资金，无弄虚作假行为；若有违背，愿承担因此所产生的一切法律责任，并全额退回财政资金。</w:t>
            </w:r>
          </w:p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  <w:p>
            <w:pPr>
              <w:pStyle w:val="2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Autospacing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 xml:space="preserve">法定代表人签名：             单位盖章：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 w:firstLine="4800" w:firstLineChars="1500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日   期：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2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A49D40"/>
    <w:multiLevelType w:val="singleLevel"/>
    <w:tmpl w:val="9FA49D4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2022-10-11T07:28:20Z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