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征收土地方案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5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南安村股份经济联合社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0.0985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0.2501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0.0301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 xml:space="preserve">续一 ：                      </w:t>
      </w:r>
      <w:r>
        <w:rPr>
          <w:rFonts w:hint="eastAsia" w:ascii="宋体" w:hAnsi="宋体"/>
          <w:sz w:val="24"/>
          <w:highlight w:val="none"/>
        </w:rPr>
        <w:t xml:space="preserve">         计量单位：公顷、万元、人、亩/人</w:t>
      </w:r>
    </w:p>
    <w:tbl>
      <w:tblPr>
        <w:tblStyle w:val="5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费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22.154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183.1037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按实际征地面积的10%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核计出的留用地（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0379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）以折算货币方式进行补偿，补偿标准为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2598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万元/公顷，补偿总额为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98.4642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spacing w:line="58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D76D4"/>
    <w:rsid w:val="1FDD76D4"/>
    <w:rsid w:val="496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2022-04-28T08:01:00Z</dcterms:created>
  <dc:creator>李依琪</dc:creator>
  <cp:lastModifiedBy>李依琪</cp:lastModifiedBy>
  <dcterms:modified xsi:type="dcterms:W3CDTF">2022-05-09T03:18:16Z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