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二十二</w:t>
            </w:r>
            <w:r>
              <w:rPr>
                <w:rFonts w:hint="eastAsia" w:ascii="宋体" w:hAnsi="宋体"/>
                <w:color w:val="auto"/>
                <w:sz w:val="24"/>
              </w:rPr>
              <w:t>批次城镇建</w:t>
            </w:r>
            <w:r>
              <w:rPr>
                <w:rFonts w:hint="eastAsia" w:ascii="宋体" w:hAnsi="宋体"/>
                <w:sz w:val="24"/>
              </w:rPr>
              <w:t>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3.9531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3.9531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3.9531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3.8589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2.7268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2.7268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0.0484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0.6279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0.0268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0.4290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0.0942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二十二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3.9531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4"/>
                <w:lang w:eastAsia="zh-CN"/>
              </w:rPr>
              <w:t>交通</w:t>
            </w:r>
            <w:r>
              <w:rPr>
                <w:rFonts w:hint="default" w:eastAsia="仿宋_GB2312"/>
                <w:b w:val="0"/>
                <w:bCs w:val="0"/>
                <w:color w:val="auto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val="en-US" w:eastAsia="zh-CN"/>
        </w:rPr>
        <w:t>刘健华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3.8589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3.3303（含可调整地类）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3.3303（含可调整地类）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3.8589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3.8589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3.3303（含可调整地类）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该批次城镇建设用地开发用途为交通用地，用作增城区费得斯公学实验学校周边市政道路建设工程项目，已列入我市2021年度土地利用计划，按规定申请使用我市2021年度土地利用计划指标（新增建设用地指标3.8589公顷、农转用指标3.8589公顷，耕地指标3.3303公顷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刘健华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2.7268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0.6035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93.2484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3.3303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93.2484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3.3303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440000202104992489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3.3303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3.3303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0.0194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51060.3000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51060.3000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新塘镇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南安村经济联合社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2.4190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0.3068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0.0484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0.6279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0.0268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0.4290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0.0942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231.2564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883.5179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按实际征地面积的10%比例（即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0.3953</w:t>
            </w:r>
            <w:r>
              <w:rPr>
                <w:rFonts w:hint="eastAsia" w:ascii="Times New Roman" w:hAnsi="Times New Roman"/>
                <w:sz w:val="24"/>
              </w:rPr>
              <w:t>公顷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</w:rPr>
              <w:t>核定留用地指标，以折算货币方式进行补偿，补偿标准为2598万元/公顷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补偿总额为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1026.9894</w:t>
            </w:r>
            <w:r>
              <w:rPr>
                <w:rFonts w:hint="eastAsia" w:ascii="Times New Roman" w:hAnsi="Times New Roman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刘健华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G Omega">
    <w:altName w:val="AmdtSymbols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CG Times">
    <w:altName w:val="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  <w:font w:name="CommercialScript BT"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SRI Business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0F78BC"/>
    <w:rsid w:val="054352FD"/>
    <w:rsid w:val="0DEE2B85"/>
    <w:rsid w:val="121B345D"/>
    <w:rsid w:val="13D011BC"/>
    <w:rsid w:val="14E0296D"/>
    <w:rsid w:val="19B52602"/>
    <w:rsid w:val="1ED405F7"/>
    <w:rsid w:val="20D248A7"/>
    <w:rsid w:val="210339BE"/>
    <w:rsid w:val="226106C9"/>
    <w:rsid w:val="23211EC3"/>
    <w:rsid w:val="242F0F3A"/>
    <w:rsid w:val="25222972"/>
    <w:rsid w:val="257E42C3"/>
    <w:rsid w:val="25E140CB"/>
    <w:rsid w:val="263445AB"/>
    <w:rsid w:val="26573861"/>
    <w:rsid w:val="2C7951BE"/>
    <w:rsid w:val="2CAA574A"/>
    <w:rsid w:val="2DC20F5B"/>
    <w:rsid w:val="33762E19"/>
    <w:rsid w:val="33FA3CE6"/>
    <w:rsid w:val="344B79A2"/>
    <w:rsid w:val="35E2463F"/>
    <w:rsid w:val="38B57B45"/>
    <w:rsid w:val="3B7202BF"/>
    <w:rsid w:val="3CB54D2E"/>
    <w:rsid w:val="3E982D5F"/>
    <w:rsid w:val="3FA9029A"/>
    <w:rsid w:val="41385DEB"/>
    <w:rsid w:val="42B763FD"/>
    <w:rsid w:val="430F10E3"/>
    <w:rsid w:val="437134FD"/>
    <w:rsid w:val="446966E3"/>
    <w:rsid w:val="4D792686"/>
    <w:rsid w:val="4EE43832"/>
    <w:rsid w:val="512C09E0"/>
    <w:rsid w:val="514779EC"/>
    <w:rsid w:val="51644A8D"/>
    <w:rsid w:val="5547153D"/>
    <w:rsid w:val="55A042F1"/>
    <w:rsid w:val="593501AC"/>
    <w:rsid w:val="5BF603B0"/>
    <w:rsid w:val="5CF01CCE"/>
    <w:rsid w:val="5D374E0E"/>
    <w:rsid w:val="63634792"/>
    <w:rsid w:val="654A4D52"/>
    <w:rsid w:val="65E47B5D"/>
    <w:rsid w:val="67680287"/>
    <w:rsid w:val="67AA1B87"/>
    <w:rsid w:val="67C40926"/>
    <w:rsid w:val="68E24A58"/>
    <w:rsid w:val="6A6F57F3"/>
    <w:rsid w:val="6B465512"/>
    <w:rsid w:val="6DD8226E"/>
    <w:rsid w:val="6FA562EB"/>
    <w:rsid w:val="70BF505C"/>
    <w:rsid w:val="70D77898"/>
    <w:rsid w:val="788F059A"/>
    <w:rsid w:val="78D70B54"/>
    <w:rsid w:val="7A7B6C04"/>
    <w:rsid w:val="7BBA3085"/>
    <w:rsid w:val="7EB7481C"/>
    <w:rsid w:val="7F032F35"/>
    <w:rsid w:val="7F2771B4"/>
    <w:rsid w:val="7F3D44C8"/>
    <w:rsid w:val="7FB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2021-11-09T09:49:02Z</cp:lastPrinted>
  <dcterms:modified xsi:type="dcterms:W3CDTF">2021-11-09T09:49:11Z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