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</w:t>
      </w:r>
      <w:r>
        <w:rPr>
          <w:rFonts w:hint="eastAsia" w:ascii="宋体" w:hAnsi="宋体"/>
          <w:color w:val="auto"/>
          <w:sz w:val="32"/>
          <w:szCs w:val="32"/>
        </w:rPr>
        <w:t>　 间：20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10"/>
        <w:tblW w:w="9676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82"/>
        <w:gridCol w:w="1704"/>
        <w:gridCol w:w="216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增减挂钩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7.7716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448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470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7.7716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7.7487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7.7487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6.9783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6.9783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0.2022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0.1054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0.4628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0.0229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增减挂钩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7.0651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0.7065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red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10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Times New Roman" w:hAnsi="Times New Roman"/>
          <w:sz w:val="24"/>
          <w:lang w:val="en-US" w:eastAsia="zh-CN"/>
        </w:rPr>
        <w:t>李依琪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10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该批次城镇建设用地涉及新增建设用地7.7716公顷、农用地转用7.7487公顷、耕地7.2283公顷（含可调整地类和兴建前为耕地的设施农业用地），按规定安排使用增城区购买的2019年度跨省调剂城乡建设用地增减挂钩节余指标7.7716公顷，建新方案已获得批复（粤自然资（穗）函〔2021〕47号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widowControl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/>
          <w:b/>
          <w:bCs/>
          <w:sz w:val="30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李依琪</w:t>
      </w:r>
      <w:bookmarkStart w:id="0" w:name="_GoBack"/>
      <w:bookmarkEnd w:id="0"/>
    </w:p>
    <w:p>
      <w:pPr>
        <w:jc w:val="center"/>
        <w:rPr>
          <w:rFonts w:hint="eastAsia" w:eastAsia="黑体"/>
          <w:sz w:val="36"/>
          <w:highlight w:val="yellow"/>
        </w:rPr>
      </w:pPr>
      <w:r>
        <w:rPr>
          <w:rFonts w:hint="eastAsia" w:eastAsia="黑体"/>
          <w:sz w:val="36"/>
          <w:highlight w:val="none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10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  <w:r>
        <w:rPr>
          <w:rFonts w:hint="eastAsia" w:ascii="宋体" w:hAnsi="宋体"/>
          <w:sz w:val="24"/>
          <w:highlight w:val="none"/>
        </w:rPr>
        <w:t>填表人：</w:t>
      </w:r>
      <w:r>
        <w:rPr>
          <w:rFonts w:hint="eastAsia" w:ascii="宋体" w:hAnsi="宋体"/>
          <w:sz w:val="24"/>
          <w:highlight w:val="none"/>
          <w:lang w:val="en-US" w:eastAsia="zh-CN"/>
        </w:rPr>
        <w:t>李依琪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10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荔城街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廖村村股份经济联合社，廖村村第一、第三、第四、第七、第九、第十一股份经济合作社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5.9308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1.0475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0.2022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0.1054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0.4628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0.0229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 xml:space="preserve">续一 ：                      </w:t>
      </w:r>
      <w:r>
        <w:rPr>
          <w:rFonts w:hint="eastAsia" w:ascii="宋体" w:hAnsi="宋体"/>
          <w:sz w:val="24"/>
          <w:highlight w:val="none"/>
        </w:rPr>
        <w:t xml:space="preserve">         计量单位：公顷、万元、人、亩/人</w:t>
      </w:r>
    </w:p>
    <w:tbl>
      <w:tblPr>
        <w:tblStyle w:val="10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454.6375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209.8332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/>
                <w:lang w:val="en-US" w:eastAsia="zh-CN"/>
              </w:rPr>
              <w:t>1946.7861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/>
                <w:lang w:val="en-US" w:eastAsia="zh-CN"/>
              </w:rPr>
              <w:t>250.5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留用地按实际征地面积的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highlight w:val="none"/>
              </w:rPr>
              <w:t>%安排，在本批次内一并报批，增城区人民政府已组织制定留用地安置方案，在本村范围内安置的留用地不实际支付补偿款,被征地农村集体经济组织已出具表决同意留用地安置方案的书面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证</w:t>
            </w:r>
            <w:r>
              <w:rPr>
                <w:rFonts w:hint="eastAsia" w:ascii="宋体" w:hAnsi="宋体"/>
                <w:sz w:val="24"/>
                <w:highlight w:val="none"/>
              </w:rPr>
              <w:t>明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填表人：</w:t>
      </w:r>
      <w:r>
        <w:rPr>
          <w:rFonts w:hint="eastAsia" w:ascii="宋体" w:hAnsi="宋体"/>
          <w:sz w:val="24"/>
          <w:highlight w:val="none"/>
          <w:lang w:val="en-US" w:eastAsia="zh-CN"/>
        </w:rPr>
        <w:t>李依琪</w:t>
      </w:r>
    </w:p>
    <w:p>
      <w:pPr>
        <w:rPr>
          <w:rFonts w:hint="eastAsia" w:ascii="宋体" w:hAnsi="宋体"/>
          <w:sz w:val="24"/>
          <w:highlight w:val="none"/>
          <w:lang w:val="en-US" w:eastAsia="zh-CN"/>
        </w:rPr>
      </w:pP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</w:t>
      </w:r>
      <w:r>
        <w:rPr>
          <w:rFonts w:hint="eastAsia" w:ascii="宋体" w:hAnsi="宋体"/>
          <w:b/>
          <w:bCs/>
          <w:sz w:val="32"/>
          <w:lang w:val="en-US" w:eastAsia="zh-CN"/>
        </w:rPr>
        <w:t>一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10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荔城街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/>
                <w:lang w:val="en-US" w:eastAsia="zh-CN"/>
              </w:rPr>
              <w:t>廖村村股份经济联合社，廖村村第一、第三、第四、第七、第九、第十一股份经济合作社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5.4222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0.9040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0.2022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0.1054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0.4084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0.0229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 xml:space="preserve">续一 ：                      </w:t>
      </w:r>
      <w:r>
        <w:rPr>
          <w:rFonts w:hint="eastAsia" w:ascii="宋体" w:hAnsi="宋体"/>
          <w:sz w:val="24"/>
          <w:highlight w:val="none"/>
        </w:rPr>
        <w:t xml:space="preserve">         计量单位：公顷、万元、人、亩/人</w:t>
      </w:r>
    </w:p>
    <w:tbl>
      <w:tblPr>
        <w:tblStyle w:val="10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413.3073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190.7577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1769.8078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按实际征地面积的10%安排留用地，在本批次内一并报批。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填表人：</w:t>
      </w:r>
      <w:r>
        <w:rPr>
          <w:rFonts w:hint="eastAsia" w:ascii="宋体" w:hAnsi="宋体"/>
          <w:sz w:val="24"/>
          <w:highlight w:val="none"/>
          <w:lang w:val="en-US" w:eastAsia="zh-CN"/>
        </w:rPr>
        <w:t>李依琪</w:t>
      </w: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</w:t>
      </w:r>
      <w:r>
        <w:rPr>
          <w:rFonts w:hint="eastAsia" w:ascii="宋体" w:hAnsi="宋体"/>
          <w:b/>
          <w:bCs/>
          <w:sz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10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荔城街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廖村村股份经济联合社，廖村村第一、第九股份经济合作社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0.5086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0.1435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0.0544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 xml:space="preserve">续一 ：                      </w:t>
      </w:r>
      <w:r>
        <w:rPr>
          <w:rFonts w:hint="eastAsia" w:ascii="宋体" w:hAnsi="宋体"/>
          <w:sz w:val="24"/>
          <w:highlight w:val="none"/>
        </w:rPr>
        <w:t xml:space="preserve">         计量单位：公顷、万元、人、亩/人</w:t>
      </w:r>
    </w:p>
    <w:tbl>
      <w:tblPr>
        <w:tblStyle w:val="10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41.3302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19.0755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176.9783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该地块为按实际征地面积10%安排的留用地0.7065公顷，在本批次内一并报批，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属</w:t>
            </w:r>
            <w:r>
              <w:rPr>
                <w:rFonts w:hint="eastAsia" w:ascii="宋体" w:hAnsi="宋体"/>
                <w:sz w:val="24"/>
                <w:highlight w:val="none"/>
              </w:rPr>
              <w:t>本村范围内安置的留用地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highlight w:val="none"/>
              </w:rPr>
              <w:t>不实际支付补偿款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spacing w:line="580" w:lineRule="exact"/>
      </w:pPr>
      <w:r>
        <w:rPr>
          <w:rFonts w:hint="eastAsia" w:ascii="宋体" w:hAnsi="宋体"/>
          <w:sz w:val="24"/>
          <w:highlight w:val="none"/>
        </w:rPr>
        <w:t>填表人：</w:t>
      </w:r>
      <w:r>
        <w:rPr>
          <w:rFonts w:hint="eastAsia" w:ascii="宋体" w:hAnsi="宋体"/>
          <w:sz w:val="24"/>
          <w:highlight w:val="none"/>
          <w:lang w:val="en-US" w:eastAsia="zh-CN"/>
        </w:rPr>
        <w:t>李依琪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4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554B6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675F1F"/>
    <w:rsid w:val="03CC6F97"/>
    <w:rsid w:val="050F78BC"/>
    <w:rsid w:val="054352FD"/>
    <w:rsid w:val="057C290E"/>
    <w:rsid w:val="07A0597E"/>
    <w:rsid w:val="07E54F72"/>
    <w:rsid w:val="08C31D7C"/>
    <w:rsid w:val="0BF064DB"/>
    <w:rsid w:val="0D68536F"/>
    <w:rsid w:val="0DEE2B85"/>
    <w:rsid w:val="121B345D"/>
    <w:rsid w:val="12572401"/>
    <w:rsid w:val="14AF1CD7"/>
    <w:rsid w:val="15C036A7"/>
    <w:rsid w:val="17356ABF"/>
    <w:rsid w:val="17E87C3D"/>
    <w:rsid w:val="19B52602"/>
    <w:rsid w:val="1A5233E8"/>
    <w:rsid w:val="1CE03C0B"/>
    <w:rsid w:val="1F79016B"/>
    <w:rsid w:val="1FFB1A14"/>
    <w:rsid w:val="20D248A7"/>
    <w:rsid w:val="210339BE"/>
    <w:rsid w:val="21963341"/>
    <w:rsid w:val="21972B38"/>
    <w:rsid w:val="226106C9"/>
    <w:rsid w:val="23211EC3"/>
    <w:rsid w:val="242F0F3A"/>
    <w:rsid w:val="25222972"/>
    <w:rsid w:val="25E140CB"/>
    <w:rsid w:val="263445AB"/>
    <w:rsid w:val="26573861"/>
    <w:rsid w:val="265A157E"/>
    <w:rsid w:val="2807514B"/>
    <w:rsid w:val="2A212A0F"/>
    <w:rsid w:val="2C7951BE"/>
    <w:rsid w:val="2CAA574A"/>
    <w:rsid w:val="2D563D52"/>
    <w:rsid w:val="2F175248"/>
    <w:rsid w:val="2F2A47C5"/>
    <w:rsid w:val="30F849FA"/>
    <w:rsid w:val="316A1719"/>
    <w:rsid w:val="31B35802"/>
    <w:rsid w:val="33762E19"/>
    <w:rsid w:val="344B79A2"/>
    <w:rsid w:val="3799509E"/>
    <w:rsid w:val="38B57B45"/>
    <w:rsid w:val="39291830"/>
    <w:rsid w:val="39931A56"/>
    <w:rsid w:val="3A577892"/>
    <w:rsid w:val="3B7202BF"/>
    <w:rsid w:val="3BCD2AD8"/>
    <w:rsid w:val="3BD94F3B"/>
    <w:rsid w:val="3C350E52"/>
    <w:rsid w:val="3CB54D2E"/>
    <w:rsid w:val="3FA9029A"/>
    <w:rsid w:val="41385DEB"/>
    <w:rsid w:val="42077556"/>
    <w:rsid w:val="42164286"/>
    <w:rsid w:val="42B763FD"/>
    <w:rsid w:val="42BA1084"/>
    <w:rsid w:val="42C17E48"/>
    <w:rsid w:val="430F10E3"/>
    <w:rsid w:val="437134FD"/>
    <w:rsid w:val="43F02BE3"/>
    <w:rsid w:val="446966E3"/>
    <w:rsid w:val="447A5CC5"/>
    <w:rsid w:val="44B36CAB"/>
    <w:rsid w:val="475F5070"/>
    <w:rsid w:val="48847861"/>
    <w:rsid w:val="4EE43832"/>
    <w:rsid w:val="504F2415"/>
    <w:rsid w:val="512C09E0"/>
    <w:rsid w:val="514779EC"/>
    <w:rsid w:val="52BD73A0"/>
    <w:rsid w:val="53632840"/>
    <w:rsid w:val="54573C6B"/>
    <w:rsid w:val="54601839"/>
    <w:rsid w:val="551D4C4A"/>
    <w:rsid w:val="57521BCD"/>
    <w:rsid w:val="57527C77"/>
    <w:rsid w:val="57B46B1A"/>
    <w:rsid w:val="597A4043"/>
    <w:rsid w:val="5AE72627"/>
    <w:rsid w:val="5BED0EC1"/>
    <w:rsid w:val="5BF603B0"/>
    <w:rsid w:val="5CF01CCE"/>
    <w:rsid w:val="5D374E0E"/>
    <w:rsid w:val="61434960"/>
    <w:rsid w:val="61A9211D"/>
    <w:rsid w:val="63634792"/>
    <w:rsid w:val="64120B63"/>
    <w:rsid w:val="654A4D52"/>
    <w:rsid w:val="66A0613D"/>
    <w:rsid w:val="67680287"/>
    <w:rsid w:val="679C6BA1"/>
    <w:rsid w:val="67AA1B87"/>
    <w:rsid w:val="67C40926"/>
    <w:rsid w:val="68E24A58"/>
    <w:rsid w:val="68E43E47"/>
    <w:rsid w:val="69B34D41"/>
    <w:rsid w:val="6A6F57F3"/>
    <w:rsid w:val="6B465512"/>
    <w:rsid w:val="6D00301E"/>
    <w:rsid w:val="6D4C42A8"/>
    <w:rsid w:val="6FA562EB"/>
    <w:rsid w:val="70BF505C"/>
    <w:rsid w:val="70D77898"/>
    <w:rsid w:val="77C400E4"/>
    <w:rsid w:val="788F059A"/>
    <w:rsid w:val="78D70B54"/>
    <w:rsid w:val="7A7B6C04"/>
    <w:rsid w:val="7BBA3085"/>
    <w:rsid w:val="7D2A7ECD"/>
    <w:rsid w:val="7EB7481C"/>
    <w:rsid w:val="7F032F35"/>
    <w:rsid w:val="7F2771B4"/>
    <w:rsid w:val="7F277369"/>
    <w:rsid w:val="7F2E790A"/>
    <w:rsid w:val="7F3D44C8"/>
    <w:rsid w:val="7F7C6325"/>
    <w:rsid w:val="7FB0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13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4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5">
    <w:name w:val="Char1"/>
    <w:basedOn w:val="1"/>
    <w:qFormat/>
    <w:uiPriority w:val="0"/>
    <w:pPr>
      <w:tabs>
        <w:tab w:val="left" w:pos="2280"/>
      </w:tabs>
    </w:pPr>
  </w:style>
  <w:style w:type="character" w:customStyle="1" w:styleId="16">
    <w:name w:val="批注框文本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李依琪</cp:lastModifiedBy>
  <cp:lastPrinted>2021-06-01T03:10:00Z</cp:lastPrinted>
  <dcterms:modified xsi:type="dcterms:W3CDTF">2021-12-23T07:26:27Z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