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13.5490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13.5490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0.0611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1.3152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0.0451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0.0049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12.0852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12.0852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0.0375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12.3173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1.2317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val="en-US" w:eastAsia="zh-CN"/>
        </w:rPr>
        <w:t>黄金水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1.1734（可调地类：1.1123）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1.1734（可调地类：1.1123）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1.4263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1.1734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该批次城镇建设用地</w:t>
            </w:r>
            <w:r>
              <w:rPr>
                <w:rFonts w:hint="default" w:ascii="宋体" w:hAnsi="宋体"/>
                <w:color w:val="auto"/>
                <w:sz w:val="24"/>
              </w:rPr>
              <w:t>涉及新增建设用地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1.4638</w:t>
            </w:r>
            <w:r>
              <w:rPr>
                <w:rFonts w:hint="default" w:ascii="宋体" w:hAnsi="宋体"/>
                <w:color w:val="auto"/>
                <w:sz w:val="24"/>
              </w:rPr>
              <w:t>公顷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、农用地转用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公顷（耕地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1.1734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公顷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，含可调整地类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1.1123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公顷</w:t>
            </w:r>
            <w:r>
              <w:rPr>
                <w:rFonts w:hint="default" w:ascii="宋体" w:hAnsi="宋体"/>
                <w:color w:val="auto"/>
                <w:sz w:val="24"/>
                <w:lang w:eastAsia="zh-CN"/>
              </w:rPr>
              <w:t>），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按规定申请使用2021年度我市土地利用计划指标（新增建设用地指标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1.4638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公顷，农转用指标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1.4263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公顷，耕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地指标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1.1734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公顷）。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黄金水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0.0611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1.1123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32.8552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32.8552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440000202103686284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1.1734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0.0000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14473.5000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14473.5000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黄金水</w:t>
      </w: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304"/>
        <w:gridCol w:w="1155"/>
        <w:gridCol w:w="1140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仙村镇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下境村股份经济联合社、下境村巷美第一、第二、第三、第四份经济合作社、下境村第一、第二、第三、第四、第五、第六股份经济合作社、下境村新田东股份经济合作社、下境村新田西股份经济合作社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0.0492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411"/>
              </w:tabs>
              <w:ind w:left="113" w:right="207" w:rightChars="0"/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其它农用地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1.3152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0.0451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农用地（不含养殖水面）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建设用地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12.0852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leftChars="0" w:right="207" w:right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未利用地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0.0375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792.6159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203.235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3231.4365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238.5000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</w:t>
            </w:r>
            <w:r>
              <w:rPr>
                <w:rFonts w:hint="eastAsia"/>
                <w:color w:val="auto"/>
                <w:sz w:val="24"/>
                <w:lang w:eastAsia="zh-CN"/>
              </w:rPr>
              <w:t>在本批次用地内一并报批，不实际支付征地补偿费用。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黄金水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一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89"/>
        <w:gridCol w:w="1140"/>
        <w:gridCol w:w="1170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仙村镇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下境村股份经济联合社、下境村巷美第一、第二、第三、第四份经济合作社、下境村第一、第二、第三、第四、第五、第六股份经济合作社、下境村新田东股份经济合作社、下境村新田西股份经济合作社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0.0492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0.0119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411"/>
              </w:tabs>
              <w:ind w:left="113" w:right="207" w:rightChars="0"/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其它农用地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1.3146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0.0451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农用地（不含养殖水面）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0.0049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10.8802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0.0114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720.5543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184.7590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2937.6681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238.4994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黄金水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二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319"/>
        <w:gridCol w:w="975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仙村镇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下境村新田东股份经济合作社、下境村新田西股份经济合作社、下境村巷美第一、第二、第三、第四股份经济合作社、下境村第一、第二、第三、第四、第五、第六股份经济合作社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411"/>
              </w:tabs>
              <w:ind w:left="113" w:right="207" w:rightChars="0"/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其它农用地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0.0006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  <w:lang w:eastAsia="zh-CN"/>
              </w:rPr>
              <w:t>它</w:t>
            </w:r>
            <w:r>
              <w:rPr>
                <w:rFonts w:hint="eastAsia"/>
                <w:szCs w:val="21"/>
              </w:rPr>
              <w:t>农用地（不含养殖水面）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1.2050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0.0261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72.0616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18.4760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293.7684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238.5065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本地块为实际征地面积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10%安排的</w:t>
            </w:r>
            <w:r>
              <w:rPr>
                <w:rFonts w:hint="eastAsia"/>
                <w:color w:val="auto"/>
                <w:sz w:val="24"/>
              </w:rPr>
              <w:t>留用地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1.2317公顷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黄金水</w:t>
      </w: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5255F73"/>
    <w:rsid w:val="054352FD"/>
    <w:rsid w:val="05D92E91"/>
    <w:rsid w:val="09BE78B4"/>
    <w:rsid w:val="0DEE2B85"/>
    <w:rsid w:val="105057E3"/>
    <w:rsid w:val="121B345D"/>
    <w:rsid w:val="19B52602"/>
    <w:rsid w:val="1B2A19B6"/>
    <w:rsid w:val="20D248A7"/>
    <w:rsid w:val="210339BE"/>
    <w:rsid w:val="226106C9"/>
    <w:rsid w:val="23211EC3"/>
    <w:rsid w:val="242F0F3A"/>
    <w:rsid w:val="25222972"/>
    <w:rsid w:val="256D6A39"/>
    <w:rsid w:val="257E42C3"/>
    <w:rsid w:val="25E140CB"/>
    <w:rsid w:val="263445AB"/>
    <w:rsid w:val="26573861"/>
    <w:rsid w:val="2C434CF9"/>
    <w:rsid w:val="2C7951BE"/>
    <w:rsid w:val="2CAA574A"/>
    <w:rsid w:val="2E3903E8"/>
    <w:rsid w:val="2F4017DF"/>
    <w:rsid w:val="33762E19"/>
    <w:rsid w:val="33FA3CE6"/>
    <w:rsid w:val="344B79A2"/>
    <w:rsid w:val="3530693F"/>
    <w:rsid w:val="38300593"/>
    <w:rsid w:val="38B57B45"/>
    <w:rsid w:val="3B7202BF"/>
    <w:rsid w:val="3CB54D2E"/>
    <w:rsid w:val="3FA9029A"/>
    <w:rsid w:val="41385DEB"/>
    <w:rsid w:val="42B763FD"/>
    <w:rsid w:val="430F10E3"/>
    <w:rsid w:val="437134FD"/>
    <w:rsid w:val="446966E3"/>
    <w:rsid w:val="46DD6D85"/>
    <w:rsid w:val="479E337B"/>
    <w:rsid w:val="4EC14E75"/>
    <w:rsid w:val="4EE43832"/>
    <w:rsid w:val="512C09E0"/>
    <w:rsid w:val="514779EC"/>
    <w:rsid w:val="59475E5E"/>
    <w:rsid w:val="598F7FAE"/>
    <w:rsid w:val="5A120D76"/>
    <w:rsid w:val="5BF603B0"/>
    <w:rsid w:val="5CF01CCE"/>
    <w:rsid w:val="5D374E0E"/>
    <w:rsid w:val="63634792"/>
    <w:rsid w:val="654A4D52"/>
    <w:rsid w:val="67680287"/>
    <w:rsid w:val="67AA1B87"/>
    <w:rsid w:val="67C40926"/>
    <w:rsid w:val="68E24A58"/>
    <w:rsid w:val="6A69067A"/>
    <w:rsid w:val="6A6F57F3"/>
    <w:rsid w:val="6B465512"/>
    <w:rsid w:val="6D3A2E04"/>
    <w:rsid w:val="6FA562EB"/>
    <w:rsid w:val="70BF505C"/>
    <w:rsid w:val="70D77898"/>
    <w:rsid w:val="73690F75"/>
    <w:rsid w:val="788F059A"/>
    <w:rsid w:val="78D70B54"/>
    <w:rsid w:val="7A7B6C04"/>
    <w:rsid w:val="7BBA3085"/>
    <w:rsid w:val="7D092E78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杨慧娟</cp:lastModifiedBy>
  <cp:lastPrinted>2020-11-24T13:17:00Z</cp:lastPrinted>
  <dcterms:modified xsi:type="dcterms:W3CDTF">2021-06-18T03:25:31Z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