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为实施增城区荔城街建设规划，完善城市功能，改善城市环境，促进经济、文化发展。拟征收</w:t>
      </w:r>
      <w:r>
        <w:rPr>
          <w:rFonts w:hint="eastAsia" w:ascii="仿宋_GB2312" w:eastAsia="仿宋_GB2312"/>
          <w:sz w:val="32"/>
          <w:szCs w:val="32"/>
        </w:rPr>
        <w:t>太平村鹰咀经济合作社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集体土地共0.1581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实际情况拟定了征地补偿安置方案，并予以公告，具体征地安置补偿情况如下：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征收集体土地总面积0.1581公顷，征收集体土地的地类为农用地0.1581公顷(其中园地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0.0235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公顷、其他农用地&lt;不含养殖水面&gt;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0.1346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公顷)。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5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79"/>
        <w:gridCol w:w="1147"/>
        <w:gridCol w:w="1205"/>
        <w:gridCol w:w="1223"/>
        <w:gridCol w:w="106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土地类别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（公顷）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土地补偿（万元）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安置补助（万元）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补偿标准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补偿金额</w:t>
            </w: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园地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0.0235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39.9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0.9377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28.5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0.6698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(不含养殖水面)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0.1346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39.9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5.3705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28.5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3.8361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汇总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0.1581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10.8141万元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（二）青苗补偿款7.1152万元，由</w:t>
      </w:r>
      <w:r>
        <w:rPr>
          <w:rFonts w:hint="eastAsia" w:eastAsia="仿宋_GB2312"/>
          <w:kern w:val="0"/>
          <w:sz w:val="32"/>
          <w:szCs w:val="32"/>
        </w:rPr>
        <w:t>荔城街太平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村鹰咀经济合作社转付土地承包者。青苗暂按此补偿，待日后清算确认后如不足的，将补足差额部分。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0.0158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公顷)在本批次荔城街三联村0.1460公顷中落实留用地；给上述被征地农民落实基本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ind w:right="16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广州市增城区国土资源和规划局</w:t>
      </w:r>
    </w:p>
    <w:p>
      <w:pPr>
        <w:ind w:right="112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2017年11月6日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multilevel"/>
    <w:tmpl w:val="27227E17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6E"/>
    <w:rsid w:val="00324CB0"/>
    <w:rsid w:val="00B87B6E"/>
    <w:rsid w:val="00C61B88"/>
    <w:rsid w:val="00E13BF4"/>
    <w:rsid w:val="2E1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2018-12-06T02:03:00Z</dcterms:created>
  <dc:creator>钟贤</dc:creator>
  <cp:lastModifiedBy>略</cp:lastModifiedBy>
  <dcterms:modified xsi:type="dcterms:W3CDTF">2018-12-06T09:42:32Z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